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Heading1"/>
        <w:numPr>
          <w:ilvl w:val="0"/>
          <w:numId w:val="4"/>
        </w:numPr>
        <w:tabs>
          <w:tab w:val="left" w:pos="841"/>
        </w:tabs>
        <w:spacing w:before="199" w:after="0" w:line="240" w:lineRule="auto"/>
        <w:ind w:left="840" w:right="0" w:hanging="548"/>
        <w:jc w:val="left"/>
      </w:pPr>
      <w:r>
        <w:rPr>
          <w:w w:val="95"/>
        </w:rPr>
        <w:t>引言</w:t>
      </w:r>
    </w:p>
    <w:p>
      <w:pPr>
        <w:pStyle w:val="BodyText"/>
        <w:spacing w:before="8"/>
        <w:rPr>
          <w:b/>
          <w:sz w:val="44"/>
        </w:rPr>
      </w:pPr>
    </w:p>
    <w:p>
      <w:pPr>
        <w:pStyle w:val="BodyText"/>
        <w:spacing w:line="304" w:lineRule="auto"/>
        <w:ind w:left="1013" w:right="163"/>
      </w:pPr>
      <w:r>
        <w:rPr>
          <w:spacing w:val="-10"/>
        </w:rPr>
        <w:t xml:space="preserve">本次毕业设计是关于 </w:t>
      </w:r>
      <w:r>
        <w:rPr>
          <w:spacing w:val="-1"/>
        </w:rPr>
        <w:t>R180</w:t>
      </w:r>
      <w:r>
        <w:rPr>
          <w:spacing w:val="-11"/>
        </w:rPr>
        <w:t xml:space="preserve"> 柴油机曲轴的工艺设计及其中两道工序的夹具设计。</w:t>
      </w:r>
      <w:r>
        <w:t>曲轴是柴油机中的关键零件之一，其材质大体分为两类：一是钢锻曲轴，二是</w:t>
      </w:r>
    </w:p>
    <w:p>
      <w:pPr>
        <w:pStyle w:val="BodyText"/>
        <w:spacing w:line="304" w:lineRule="auto"/>
        <w:ind w:left="293" w:right="134"/>
      </w:pPr>
      <w:r>
        <w:t>球墨铸铁曲轴。由于承受铸造方法可获得较为抱负的构造外形,从而减轻质量，且机加工余量随铸造工艺水平的提高而减小。球铁的切削性能良好，并和钢制曲轴一样可以进展各种热处理和外表强化处理，来提高曲轴的抗疲乏强度和耐磨性。而且球铁中的内摩擦所耗功比钢大，减小了工作时的扭转振动的振幅和应力，应力集中也没有钢制曲轴来的敏感。所以球墨铸铁曲轴在国内外得到广泛承受。本次设计中曲轴的材质为球铁。</w:t>
      </w:r>
    </w:p>
    <w:p>
      <w:pPr>
        <w:pStyle w:val="BodyText"/>
        <w:tabs>
          <w:tab w:val="left" w:pos="10187"/>
          <w:tab w:val="left" w:pos="11289"/>
        </w:tabs>
        <w:spacing w:line="304" w:lineRule="auto"/>
        <w:ind w:left="293" w:right="129" w:firstLine="719"/>
      </w:pPr>
      <w:r>
        <w:t>从目前整体水平来</w:t>
      </w:r>
      <w:r>
        <w:rPr>
          <w:spacing w:val="65"/>
        </w:rPr>
        <w:t>看</w:t>
      </w:r>
      <w:r>
        <w:t>,</w:t>
      </w:r>
      <w:r>
        <w:rPr>
          <w:spacing w:val="3"/>
        </w:rPr>
        <w:t xml:space="preserve"> </w:t>
      </w:r>
      <w:r>
        <w:t>毛坯的铸造工艺存在生产效率低，工艺装备落后，毛坯机械性能不稳定、精度低、废品率高等问题。从以下几个工艺环节实行措施对提高曲轴质量具有普遍意义。①熔炼</w:t>
      </w:r>
      <w:r>
        <w:rPr>
          <w:spacing w:val="16"/>
        </w:rPr>
        <w:t xml:space="preserve"> </w:t>
      </w:r>
      <w:r>
        <w:t>国内外全都认</w:t>
      </w:r>
      <w:r>
        <w:rPr>
          <w:spacing w:val="11"/>
        </w:rPr>
        <w:t>为</w:t>
      </w:r>
      <w:r>
        <w:t>,高温低硫纯洁铁水的获得是生产高质量球铁的关键所在。为获得高温低硫磷的纯洁铁水，可用冲天炉熔化铁水，经炉外脱硫，然后在感应电炉中升温并调整成分。②球化处理</w:t>
        <w:tab/>
        <w:t>③孕育处理</w:t>
      </w:r>
      <w:r>
        <w:rPr>
          <w:spacing w:val="25"/>
        </w:rPr>
        <w:t xml:space="preserve"> </w:t>
      </w:r>
      <w:r>
        <w:t>冲天炉熔化球铁原铁水,对铜钼合金球铁承受二次孕育。这对于防止孕育衰退，改善石墨形态，细化石墨及保证高强度球铁机械性能具有重要作用。④合金化</w:t>
        <w:tab/>
        <w:t>协作好铜和钼的比例对形成珠光体组织格外有利</w:t>
      </w:r>
      <w:r>
        <w:rPr>
          <w:spacing w:val="-81"/>
        </w:rPr>
        <w:t xml:space="preserve"> </w:t>
      </w:r>
      <w:r>
        <w:t>,可提高球铁的强</w:t>
      </w:r>
      <w:r>
        <w:rPr>
          <w:spacing w:val="51"/>
        </w:rPr>
        <w:t>度</w:t>
      </w:r>
      <w:r>
        <w:t>,而且铜和钼还可大大降低球铁件对壁厚的敏感性。</w:t>
      </w:r>
      <w:r>
        <w:rPr>
          <w:spacing w:val="11"/>
        </w:rPr>
        <w:t xml:space="preserve"> </w:t>
      </w:r>
      <w:r>
        <w:t>⑤造型工艺</w:t>
      </w:r>
      <w:r>
        <w:rPr>
          <w:spacing w:val="8"/>
        </w:rPr>
        <w:t xml:space="preserve"> </w:t>
      </w:r>
      <w:r>
        <w:t>气流冲击造型工艺优于粘土砂造型工艺，可获得高精度的曲轴铸件，该工艺制作的砂型具有无反弹变形量的特</w:t>
      </w:r>
      <w:r>
        <w:rPr>
          <w:spacing w:val="30"/>
        </w:rPr>
        <w:t>点</w:t>
      </w:r>
      <w:r>
        <w:t>,这对于多拐曲轴尤为重要。⑥浇注冷却工艺</w:t>
      </w:r>
      <w:r>
        <w:rPr>
          <w:spacing w:val="88"/>
        </w:rPr>
        <w:t xml:space="preserve"> </w:t>
      </w:r>
      <w:r>
        <w:t>承受立浇—立冷，斜浇—斜冷、斜浇—反斜冷三种浇注方式较为抱负,其中后一种最好。斜浇—反斜冷的优点是：型腔排气充分，铁水充型平稳，浇注系统撇渣效果好，冒口对铸件的补缩效果好，适应大批量流水线生</w:t>
      </w:r>
    </w:p>
    <w:p>
      <w:pPr>
        <w:pStyle w:val="BodyText"/>
        <w:spacing w:line="453" w:lineRule="exact"/>
        <w:ind w:left="293"/>
      </w:pPr>
      <w:r>
        <w:t>产。</w:t>
      </w:r>
    </w:p>
    <w:p>
      <w:pPr>
        <w:pStyle w:val="BodyText"/>
        <w:spacing w:before="117" w:line="304" w:lineRule="auto"/>
        <w:ind w:left="293" w:right="126" w:firstLine="719"/>
      </w:pPr>
      <w:r>
        <w:t>目前，国内大局部专业厂家普遍承受一般机床和专用组合机床组成的流水线生产，生产效率、自动化程度较低。曲轴的关键技术工程仍与国外相差 1～2</w:t>
      </w:r>
      <w:r>
        <w:rPr>
          <w:spacing w:val="1"/>
        </w:rPr>
        <w:t xml:space="preserve"> 个数量</w:t>
      </w:r>
      <w:r>
        <w:t>级。国外的机加工工艺大致可归纳为如下几个特点。①广泛承受数控技术和自动</w:t>
      </w:r>
    </w:p>
    <w:p>
      <w:pPr>
        <w:pStyle w:val="BodyText"/>
        <w:spacing w:line="304" w:lineRule="auto"/>
        <w:ind w:left="293" w:right="344"/>
      </w:pPr>
      <w:r>
        <w:rPr>
          <w:spacing w:val="-1"/>
        </w:rPr>
        <w:t>线，生产线一般由几段独立的自动化生产单元组成，具有很高的敏捷性和适应性。承受龙门式自动上下料，集放式机动滚道传输，切削液分粗加工与精加工两段集中</w:t>
      </w:r>
      <w:r>
        <w:t>供给和回收处理。②曲轴的主要加工工序基准中心孔，一般承受质量定心加工方</w:t>
      </w:r>
      <w:r>
        <w:rPr>
          <w:spacing w:val="1"/>
        </w:rPr>
        <w:t xml:space="preserve"> </w:t>
      </w:r>
      <w:r>
        <w:t>式，这样在静平衡时，加工量很少。③轴颈的粗加工一般承受数控铣削或车拉工</w:t>
      </w:r>
      <w:r>
        <w:rPr>
          <w:spacing w:val="1"/>
        </w:rPr>
        <w:t xml:space="preserve"> </w:t>
      </w:r>
      <w:r>
        <w:rPr>
          <w:spacing w:val="-1"/>
        </w:rPr>
        <w:t>艺。工序质量可到达国内粗磨后的水平，且切削变形小、效率高。铣削和车拉是曲</w:t>
      </w:r>
    </w:p>
    <w:p>
      <w:pPr>
        <w:pStyle w:val="BodyText"/>
        <w:spacing w:line="304" w:lineRule="auto"/>
        <w:ind w:left="293" w:right="134"/>
        <w:sectPr>
          <w:footerReference w:type="default" r:id="rId4"/>
          <w:type w:val="continuous"/>
          <w:pgSz w:w="17860" w:h="25270"/>
          <w:pgMar w:top="2440" w:right="2000" w:bottom="2380" w:left="2260" w:header="708" w:footer="2183"/>
          <w:pgNumType w:start="1"/>
          <w:cols w:space="708"/>
        </w:sectPr>
      </w:pPr>
      <w:r>
        <w:t>轴粗加工的进展方向。④国外的曲轴磨床均承受 CNC</w:t>
      </w:r>
      <w:r>
        <w:rPr>
          <w:spacing w:val="-3"/>
        </w:rPr>
        <w:t xml:space="preserve"> 掌握技术，具有自动进给、自</w:t>
      </w:r>
    </w:p>
    <w:p>
      <w:pPr>
        <w:pStyle w:val="BodyText"/>
        <w:spacing w:line="304" w:lineRule="auto"/>
        <w:ind w:left="293" w:right="134"/>
      </w:pPr>
      <w:r>
        <w:t>动修正砂轮、自动补偿和自动分度功能，使曲轴的磨削精度和效率显著提高。⑤油</w:t>
      </w:r>
    </w:p>
    <w:p>
      <w:pPr>
        <w:spacing w:after="0" w:line="304"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https://d.book118.com/097003035123006025</w:t>
        </w:r>
      </w:hyperlink>
    </w:p>
    <w:p>
      <w:pPr>
        <w:spacing w:after="0" w:line="304" w:lineRule="auto"/>
      </w:pPr>
    </w:p>
    <w:sectPr>
      <w:footerReference w:type="default" r:id="rId6"/>
      <w:type w:val="nextPage"/>
      <w:pgSz w:w="17860" w:h="25270"/>
      <w:pgMar w:top="2440" w:right="2000" w:bottom="2380" w:left="2260" w:header="708" w:footer="2183"/>
      <w:pgNumType w:start="2"/>
      <w:cols w:space="708"/>
      <w:titlePg w:val="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Cambria">
    <w:altName w:val="Cambria"/>
    <w:charset w:val="00"/>
    <w:family w:val="roman"/>
    <w:pitch w:val="variable"/>
    <w:sig w:usb0="00000000" w:usb1="00000000" w:usb2="00000000" w:usb3="00000000" w:csb0="00000001" w:csb1="00000000"/>
  </w:font>
  <w:font w:name="Garamond">
    <w:altName w:val="Garamond"/>
    <w:charset w:val="00"/>
    <w:family w:val="roman"/>
    <w:pitch w:val="variable"/>
    <w:sig w:usb0="00000000" w:usb1="00000000" w:usb2="00000000" w:usb3="00000000" w:csb0="00000001" w:csb1="00000000"/>
  </w:font>
  <w:font w:name="Arial Narrow">
    <w:altName w:val="Arial Narrow"/>
    <w:charset w:val="00"/>
    <w:family w:val="swiss"/>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61pt;height:20pt;margin-top:1142.91pt;margin-left:433.76pt;mso-position-horizontal-relative:page;mso-position-vertical-relative:page;position:absolute;z-index:-251658240" filled="f" stroked="f">
          <v:textbox inset="0,0,0,0">
            <w:txbxContent>
              <w:p>
                <w:pPr>
                  <w:pStyle w:val="BodyText"/>
                  <w:spacing w:line="400" w:lineRule="exact"/>
                  <w:ind w:left="60"/>
                  <w:rPr>
                    <w:rFonts w:ascii="幼圆"/>
                  </w:rPr>
                </w:pPr>
                <w:r>
                  <w:fldChar w:fldCharType="begin"/>
                </w:r>
                <w:r>
                  <w:rPr>
                    <w:rFonts w:ascii="幼圆"/>
                  </w:rPr>
                  <w:instrText xml:space="preserve">  </w:instrText>
                </w:r>
                <w:r>
                  <w:fldChar w:fldCharType="separate"/>
                </w:r>
                <w:r>
                  <w:t>1</w:t>
                </w:r>
                <w:r>
                  <w:fldChar w:fldCharType="end"/>
                </w:r>
                <w:r>
                  <w:rPr>
                    <w:rFonts w:ascii="幼圆"/>
                  </w:rPr>
                  <w:t xml:space="preserve"> / 27</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61pt;height:20pt;margin-top:1142.91pt;margin-left:433.76pt;mso-position-horizontal-relative:page;mso-position-vertical-relative:page;position:absolute;z-index:-251657216" filled="f" stroked="f">
          <v:textbox inset="0,0,0,0">
            <w:txbxContent>
              <w:p>
                <w:pPr>
                  <w:pStyle w:val="BodyText"/>
                  <w:spacing w:line="400" w:lineRule="exact"/>
                  <w:ind w:left="60"/>
                  <w:rPr>
                    <w:rFonts w:ascii="幼圆"/>
                  </w:rPr>
                </w:pPr>
                <w:r>
                  <w:fldChar w:fldCharType="begin"/>
                </w:r>
                <w:r>
                  <w:rPr>
                    <w:rFonts w:ascii="幼圆"/>
                  </w:rPr>
                  <w:instrText xml:space="preserve">  </w:instrText>
                </w:r>
                <w:r>
                  <w:fldChar w:fldCharType="separate"/>
                </w:r>
                <w:r>
                  <w:t>1</w:t>
                </w:r>
                <w:r>
                  <w:fldChar w:fldCharType="end"/>
                </w:r>
                <w:r>
                  <w:rPr>
                    <w:rFonts w:ascii="幼圆"/>
                  </w:rPr>
                  <w:t xml:space="preserve"> / 27</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88FE4"/>
    <w:multiLevelType w:val="hybridMultilevel"/>
    <w:tmpl w:val="00000000"/>
    <w:lvl w:ilvl="0">
      <w:start w:val="3"/>
      <w:numFmt w:val="decimal"/>
      <w:lvlText w:val="%1）"/>
      <w:lvlJc w:val="left"/>
      <w:pPr>
        <w:ind w:left="293" w:hanging="545"/>
        <w:jc w:val="left"/>
      </w:pPr>
      <w:rPr>
        <w:rFonts w:ascii="宋体" w:eastAsia="宋体" w:hAnsi="宋体" w:cs="宋体" w:hint="default"/>
        <w:spacing w:val="0"/>
        <w:w w:val="100"/>
        <w:sz w:val="34"/>
        <w:szCs w:val="34"/>
      </w:rPr>
    </w:lvl>
    <w:lvl w:ilvl="1">
      <w:start w:val="0"/>
      <w:numFmt w:val="bullet"/>
      <w:lvlText w:val="•"/>
      <w:lvlJc w:val="left"/>
      <w:pPr>
        <w:ind w:left="1629" w:hanging="545"/>
      </w:pPr>
      <w:rPr>
        <w:rFonts w:hint="default"/>
      </w:rPr>
    </w:lvl>
    <w:lvl w:ilvl="2">
      <w:start w:val="0"/>
      <w:numFmt w:val="bullet"/>
      <w:lvlText w:val="•"/>
      <w:lvlJc w:val="left"/>
      <w:pPr>
        <w:ind w:left="2959" w:hanging="545"/>
      </w:pPr>
      <w:rPr>
        <w:rFonts w:hint="default"/>
      </w:rPr>
    </w:lvl>
    <w:lvl w:ilvl="3">
      <w:start w:val="0"/>
      <w:numFmt w:val="bullet"/>
      <w:lvlText w:val="•"/>
      <w:lvlJc w:val="left"/>
      <w:pPr>
        <w:ind w:left="4289" w:hanging="545"/>
      </w:pPr>
      <w:rPr>
        <w:rFonts w:hint="default"/>
      </w:rPr>
    </w:lvl>
    <w:lvl w:ilvl="4">
      <w:start w:val="0"/>
      <w:numFmt w:val="bullet"/>
      <w:lvlText w:val="•"/>
      <w:lvlJc w:val="left"/>
      <w:pPr>
        <w:ind w:left="5619" w:hanging="545"/>
      </w:pPr>
      <w:rPr>
        <w:rFonts w:hint="default"/>
      </w:rPr>
    </w:lvl>
    <w:lvl w:ilvl="5">
      <w:start w:val="0"/>
      <w:numFmt w:val="bullet"/>
      <w:lvlText w:val="•"/>
      <w:lvlJc w:val="left"/>
      <w:pPr>
        <w:ind w:left="6949" w:hanging="545"/>
      </w:pPr>
      <w:rPr>
        <w:rFonts w:hint="default"/>
      </w:rPr>
    </w:lvl>
    <w:lvl w:ilvl="6">
      <w:start w:val="0"/>
      <w:numFmt w:val="bullet"/>
      <w:lvlText w:val="•"/>
      <w:lvlJc w:val="left"/>
      <w:pPr>
        <w:ind w:left="8279" w:hanging="545"/>
      </w:pPr>
      <w:rPr>
        <w:rFonts w:hint="default"/>
      </w:rPr>
    </w:lvl>
    <w:lvl w:ilvl="7">
      <w:start w:val="0"/>
      <w:numFmt w:val="bullet"/>
      <w:lvlText w:val="•"/>
      <w:lvlJc w:val="left"/>
      <w:pPr>
        <w:ind w:left="9609" w:hanging="545"/>
      </w:pPr>
      <w:rPr>
        <w:rFonts w:hint="default"/>
      </w:rPr>
    </w:lvl>
    <w:lvl w:ilvl="8">
      <w:start w:val="0"/>
      <w:numFmt w:val="bullet"/>
      <w:lvlText w:val="•"/>
      <w:lvlJc w:val="left"/>
      <w:pPr>
        <w:ind w:left="10939" w:hanging="545"/>
      </w:pPr>
      <w:rPr>
        <w:rFonts w:hint="default"/>
      </w:rPr>
    </w:lvl>
  </w:abstractNum>
  <w:abstractNum w:abstractNumId="1">
    <w:nsid w:val="2762D3F6"/>
    <w:multiLevelType w:val="hybridMultilevel"/>
    <w:tmpl w:val="00000000"/>
    <w:lvl w:ilvl="0">
      <w:start w:val="0"/>
      <w:numFmt w:val="decimal"/>
      <w:lvlText w:val="%1"/>
      <w:lvlJc w:val="left"/>
      <w:pPr>
        <w:ind w:left="840" w:hanging="547"/>
        <w:jc w:val="left"/>
      </w:pPr>
      <w:rPr>
        <w:rFonts w:ascii="宋体" w:eastAsia="宋体" w:hAnsi="宋体" w:cs="宋体" w:hint="default"/>
        <w:b/>
        <w:bCs/>
        <w:w w:val="99"/>
        <w:sz w:val="54"/>
        <w:szCs w:val="54"/>
      </w:rPr>
    </w:lvl>
    <w:lvl w:ilvl="1">
      <w:start w:val="1"/>
      <w:numFmt w:val="decimal"/>
      <w:lvlText w:val="%1.%2"/>
      <w:lvlJc w:val="left"/>
      <w:pPr>
        <w:ind w:left="1200" w:hanging="907"/>
        <w:jc w:val="left"/>
      </w:pPr>
      <w:rPr>
        <w:rFonts w:hint="default"/>
        <w:b/>
        <w:bCs/>
        <w:w w:val="99"/>
      </w:rPr>
    </w:lvl>
    <w:lvl w:ilvl="2">
      <w:start w:val="1"/>
      <w:numFmt w:val="decimal"/>
      <w:lvlText w:val="%1.%2.%3"/>
      <w:lvlJc w:val="left"/>
      <w:pPr>
        <w:ind w:left="1556" w:hanging="907"/>
        <w:jc w:val="left"/>
      </w:pPr>
      <w:rPr>
        <w:rFonts w:ascii="宋体" w:eastAsia="宋体" w:hAnsi="宋体" w:cs="宋体" w:hint="default"/>
        <w:w w:val="100"/>
        <w:sz w:val="42"/>
        <w:szCs w:val="42"/>
      </w:rPr>
    </w:lvl>
    <w:lvl w:ilvl="3">
      <w:start w:val="0"/>
      <w:numFmt w:val="bullet"/>
      <w:lvlText w:val="•"/>
      <w:lvlJc w:val="left"/>
      <w:pPr>
        <w:ind w:left="1480" w:hanging="907"/>
      </w:pPr>
      <w:rPr>
        <w:rFonts w:hint="default"/>
      </w:rPr>
    </w:lvl>
    <w:lvl w:ilvl="4">
      <w:start w:val="0"/>
      <w:numFmt w:val="bullet"/>
      <w:lvlText w:val="•"/>
      <w:lvlJc w:val="left"/>
      <w:pPr>
        <w:ind w:left="1560" w:hanging="907"/>
      </w:pPr>
      <w:rPr>
        <w:rFonts w:hint="default"/>
      </w:rPr>
    </w:lvl>
    <w:lvl w:ilvl="5">
      <w:start w:val="0"/>
      <w:numFmt w:val="bullet"/>
      <w:lvlText w:val="•"/>
      <w:lvlJc w:val="left"/>
      <w:pPr>
        <w:ind w:left="3566" w:hanging="907"/>
      </w:pPr>
      <w:rPr>
        <w:rFonts w:hint="default"/>
      </w:rPr>
    </w:lvl>
    <w:lvl w:ilvl="6">
      <w:start w:val="0"/>
      <w:numFmt w:val="bullet"/>
      <w:lvlText w:val="•"/>
      <w:lvlJc w:val="left"/>
      <w:pPr>
        <w:ind w:left="5573" w:hanging="907"/>
      </w:pPr>
      <w:rPr>
        <w:rFonts w:hint="default"/>
      </w:rPr>
    </w:lvl>
    <w:lvl w:ilvl="7">
      <w:start w:val="0"/>
      <w:numFmt w:val="bullet"/>
      <w:lvlText w:val="•"/>
      <w:lvlJc w:val="left"/>
      <w:pPr>
        <w:ind w:left="7579" w:hanging="907"/>
      </w:pPr>
      <w:rPr>
        <w:rFonts w:hint="default"/>
      </w:rPr>
    </w:lvl>
    <w:lvl w:ilvl="8">
      <w:start w:val="0"/>
      <w:numFmt w:val="bullet"/>
      <w:lvlText w:val="•"/>
      <w:lvlJc w:val="left"/>
      <w:pPr>
        <w:ind w:left="9586" w:hanging="907"/>
      </w:pPr>
      <w:rPr>
        <w:rFonts w:hint="default"/>
      </w:rPr>
    </w:lvl>
  </w:abstractNum>
  <w:abstractNum w:abstractNumId="2">
    <w:nsid w:val="2A1C9A16"/>
    <w:multiLevelType w:val="hybridMultilevel"/>
    <w:tmpl w:val="00000000"/>
    <w:lvl w:ilvl="0">
      <w:start w:val="6"/>
      <w:numFmt w:val="decimal"/>
      <w:lvlText w:val="%1"/>
      <w:lvlJc w:val="left"/>
      <w:pPr>
        <w:ind w:left="1553" w:hanging="540"/>
        <w:jc w:val="left"/>
      </w:pPr>
      <w:rPr>
        <w:rFonts w:ascii="宋体" w:eastAsia="宋体" w:hAnsi="宋体" w:cs="宋体" w:hint="default"/>
        <w:w w:val="100"/>
        <w:sz w:val="36"/>
        <w:szCs w:val="36"/>
      </w:rPr>
    </w:lvl>
    <w:lvl w:ilvl="1">
      <w:start w:val="0"/>
      <w:numFmt w:val="bullet"/>
      <w:lvlText w:val="•"/>
      <w:lvlJc w:val="left"/>
      <w:pPr>
        <w:ind w:left="2763" w:hanging="540"/>
      </w:pPr>
      <w:rPr>
        <w:rFonts w:hint="default"/>
      </w:rPr>
    </w:lvl>
    <w:lvl w:ilvl="2">
      <w:start w:val="0"/>
      <w:numFmt w:val="bullet"/>
      <w:lvlText w:val="•"/>
      <w:lvlJc w:val="left"/>
      <w:pPr>
        <w:ind w:left="3967" w:hanging="540"/>
      </w:pPr>
      <w:rPr>
        <w:rFonts w:hint="default"/>
      </w:rPr>
    </w:lvl>
    <w:lvl w:ilvl="3">
      <w:start w:val="0"/>
      <w:numFmt w:val="bullet"/>
      <w:lvlText w:val="•"/>
      <w:lvlJc w:val="left"/>
      <w:pPr>
        <w:ind w:left="5171" w:hanging="540"/>
      </w:pPr>
      <w:rPr>
        <w:rFonts w:hint="default"/>
      </w:rPr>
    </w:lvl>
    <w:lvl w:ilvl="4">
      <w:start w:val="0"/>
      <w:numFmt w:val="bullet"/>
      <w:lvlText w:val="•"/>
      <w:lvlJc w:val="left"/>
      <w:pPr>
        <w:ind w:left="6375" w:hanging="540"/>
      </w:pPr>
      <w:rPr>
        <w:rFonts w:hint="default"/>
      </w:rPr>
    </w:lvl>
    <w:lvl w:ilvl="5">
      <w:start w:val="0"/>
      <w:numFmt w:val="bullet"/>
      <w:lvlText w:val="•"/>
      <w:lvlJc w:val="left"/>
      <w:pPr>
        <w:ind w:left="7579" w:hanging="540"/>
      </w:pPr>
      <w:rPr>
        <w:rFonts w:hint="default"/>
      </w:rPr>
    </w:lvl>
    <w:lvl w:ilvl="6">
      <w:start w:val="0"/>
      <w:numFmt w:val="bullet"/>
      <w:lvlText w:val="•"/>
      <w:lvlJc w:val="left"/>
      <w:pPr>
        <w:ind w:left="8783" w:hanging="540"/>
      </w:pPr>
      <w:rPr>
        <w:rFonts w:hint="default"/>
      </w:rPr>
    </w:lvl>
    <w:lvl w:ilvl="7">
      <w:start w:val="0"/>
      <w:numFmt w:val="bullet"/>
      <w:lvlText w:val="•"/>
      <w:lvlJc w:val="left"/>
      <w:pPr>
        <w:ind w:left="9987" w:hanging="540"/>
      </w:pPr>
      <w:rPr>
        <w:rFonts w:hint="default"/>
      </w:rPr>
    </w:lvl>
    <w:lvl w:ilvl="8">
      <w:start w:val="0"/>
      <w:numFmt w:val="bullet"/>
      <w:lvlText w:val="•"/>
      <w:lvlJc w:val="left"/>
      <w:pPr>
        <w:ind w:left="11191" w:hanging="540"/>
      </w:pPr>
      <w:rPr>
        <w:rFonts w:hint="default"/>
      </w:rPr>
    </w:lvl>
  </w:abstractNum>
  <w:abstractNum w:abstractNumId="3">
    <w:nsid w:val="6F786CED"/>
    <w:multiLevelType w:val="hybridMultilevel"/>
    <w:tmpl w:val="00000000"/>
    <w:lvl w:ilvl="0">
      <w:start w:val="1"/>
      <w:numFmt w:val="decimal"/>
      <w:lvlText w:val="%1"/>
      <w:lvlJc w:val="left"/>
      <w:pPr>
        <w:ind w:left="1553" w:hanging="540"/>
        <w:jc w:val="left"/>
      </w:pPr>
      <w:rPr>
        <w:rFonts w:ascii="宋体" w:eastAsia="宋体" w:hAnsi="宋体" w:cs="宋体" w:hint="default"/>
        <w:w w:val="100"/>
        <w:sz w:val="36"/>
        <w:szCs w:val="36"/>
      </w:rPr>
    </w:lvl>
    <w:lvl w:ilvl="1">
      <w:start w:val="0"/>
      <w:numFmt w:val="bullet"/>
      <w:lvlText w:val="•"/>
      <w:lvlJc w:val="left"/>
      <w:pPr>
        <w:ind w:left="2763" w:hanging="540"/>
      </w:pPr>
      <w:rPr>
        <w:rFonts w:hint="default"/>
      </w:rPr>
    </w:lvl>
    <w:lvl w:ilvl="2">
      <w:start w:val="0"/>
      <w:numFmt w:val="bullet"/>
      <w:lvlText w:val="•"/>
      <w:lvlJc w:val="left"/>
      <w:pPr>
        <w:ind w:left="3967" w:hanging="540"/>
      </w:pPr>
      <w:rPr>
        <w:rFonts w:hint="default"/>
      </w:rPr>
    </w:lvl>
    <w:lvl w:ilvl="3">
      <w:start w:val="0"/>
      <w:numFmt w:val="bullet"/>
      <w:lvlText w:val="•"/>
      <w:lvlJc w:val="left"/>
      <w:pPr>
        <w:ind w:left="5171" w:hanging="540"/>
      </w:pPr>
      <w:rPr>
        <w:rFonts w:hint="default"/>
      </w:rPr>
    </w:lvl>
    <w:lvl w:ilvl="4">
      <w:start w:val="0"/>
      <w:numFmt w:val="bullet"/>
      <w:lvlText w:val="•"/>
      <w:lvlJc w:val="left"/>
      <w:pPr>
        <w:ind w:left="6375" w:hanging="540"/>
      </w:pPr>
      <w:rPr>
        <w:rFonts w:hint="default"/>
      </w:rPr>
    </w:lvl>
    <w:lvl w:ilvl="5">
      <w:start w:val="0"/>
      <w:numFmt w:val="bullet"/>
      <w:lvlText w:val="•"/>
      <w:lvlJc w:val="left"/>
      <w:pPr>
        <w:ind w:left="7579" w:hanging="540"/>
      </w:pPr>
      <w:rPr>
        <w:rFonts w:hint="default"/>
      </w:rPr>
    </w:lvl>
    <w:lvl w:ilvl="6">
      <w:start w:val="0"/>
      <w:numFmt w:val="bullet"/>
      <w:lvlText w:val="•"/>
      <w:lvlJc w:val="left"/>
      <w:pPr>
        <w:ind w:left="8783" w:hanging="540"/>
      </w:pPr>
      <w:rPr>
        <w:rFonts w:hint="default"/>
      </w:rPr>
    </w:lvl>
    <w:lvl w:ilvl="7">
      <w:start w:val="0"/>
      <w:numFmt w:val="bullet"/>
      <w:lvlText w:val="•"/>
      <w:lvlJc w:val="left"/>
      <w:pPr>
        <w:ind w:left="9987" w:hanging="540"/>
      </w:pPr>
      <w:rPr>
        <w:rFonts w:hint="default"/>
      </w:rPr>
    </w:lvl>
    <w:lvl w:ilvl="8">
      <w:start w:val="0"/>
      <w:numFmt w:val="bullet"/>
      <w:lvlText w:val="•"/>
      <w:lvlJc w:val="left"/>
      <w:pPr>
        <w:ind w:left="11191" w:hanging="54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36"/>
      <w:szCs w:val="36"/>
    </w:rPr>
  </w:style>
  <w:style w:type="paragraph" w:customStyle="1" w:styleId="Heading1">
    <w:name w:val="Heading 1"/>
    <w:basedOn w:val="Normal"/>
    <w:uiPriority w:val="1"/>
    <w:qFormat/>
    <w:pPr>
      <w:spacing w:before="24"/>
      <w:ind w:left="833" w:hanging="541"/>
      <w:outlineLvl w:val="1"/>
    </w:pPr>
    <w:rPr>
      <w:rFonts w:ascii="宋体" w:eastAsia="宋体" w:hAnsi="宋体" w:cs="宋体"/>
      <w:b/>
      <w:bCs/>
      <w:sz w:val="54"/>
      <w:szCs w:val="54"/>
    </w:rPr>
  </w:style>
  <w:style w:type="paragraph" w:customStyle="1" w:styleId="Heading2">
    <w:name w:val="Heading 2"/>
    <w:basedOn w:val="Normal"/>
    <w:uiPriority w:val="1"/>
    <w:qFormat/>
    <w:pPr>
      <w:spacing w:before="310"/>
      <w:ind w:left="1265" w:hanging="1214"/>
      <w:outlineLvl w:val="2"/>
    </w:pPr>
    <w:rPr>
      <w:rFonts w:ascii="宋体" w:eastAsia="宋体" w:hAnsi="宋体" w:cs="宋体"/>
      <w:b/>
      <w:bCs/>
      <w:sz w:val="48"/>
      <w:szCs w:val="48"/>
    </w:rPr>
  </w:style>
  <w:style w:type="paragraph" w:customStyle="1" w:styleId="Heading3">
    <w:name w:val="Heading 3"/>
    <w:basedOn w:val="Normal"/>
    <w:uiPriority w:val="1"/>
    <w:qFormat/>
    <w:pPr>
      <w:spacing w:before="37"/>
      <w:ind w:left="1200" w:hanging="908"/>
      <w:outlineLvl w:val="3"/>
    </w:pPr>
    <w:rPr>
      <w:rFonts w:ascii="宋体" w:eastAsia="宋体" w:hAnsi="宋体" w:cs="宋体"/>
      <w:b/>
      <w:bCs/>
      <w:sz w:val="45"/>
      <w:szCs w:val="45"/>
    </w:rPr>
  </w:style>
  <w:style w:type="paragraph" w:customStyle="1" w:styleId="Heading4">
    <w:name w:val="Heading 4"/>
    <w:basedOn w:val="Normal"/>
    <w:uiPriority w:val="1"/>
    <w:qFormat/>
    <w:pPr>
      <w:ind w:left="1556" w:hanging="1264"/>
      <w:outlineLvl w:val="4"/>
    </w:pPr>
    <w:rPr>
      <w:rFonts w:ascii="宋体" w:eastAsia="宋体" w:hAnsi="宋体" w:cs="宋体"/>
      <w:sz w:val="42"/>
      <w:szCs w:val="42"/>
    </w:rPr>
  </w:style>
  <w:style w:type="paragraph" w:styleId="ListParagraph">
    <w:name w:val="List Paragraph"/>
    <w:basedOn w:val="Normal"/>
    <w:uiPriority w:val="1"/>
    <w:qFormat/>
    <w:pPr>
      <w:ind w:left="1556" w:hanging="1264"/>
    </w:pPr>
    <w:rPr>
      <w:rFonts w:ascii="宋体" w:eastAsia="宋体" w:hAnsi="宋体" w:cs="宋体"/>
    </w:rPr>
  </w:style>
  <w:style w:type="paragraph" w:customStyle="1" w:styleId="TableParagraph">
    <w:name w:val="Table Paragraph"/>
    <w:basedOn w:val="Normal"/>
    <w:uiPriority w:val="1"/>
    <w:qFormat/>
    <w:pPr>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d.book118.com/097003035123006025" TargetMode="Externa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2023-10-13T10:50:51Z</dcterms:created>
  <dcterms:modified xsi:type="dcterms:W3CDTF">2023-10-13T10:50:51Z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2023-02-18T00:00:00Z</vt:filetime>
  </property>
  <property fmtid="{D5CDD505-2E9C-101B-9397-08002B2CF9AE}" pid="3" name="LastSaved">
    <vt:filetime>2023-10-13T00:00:00Z</vt:filetime>
  </property>
</Properties>
</file>