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520" w:lineRule="exact"/>
        <w:jc w:val="center"/>
        <w:rPr>
          <w:rFonts w:ascii="宋体" w:hAnsi="宋体" w:hint="eastAsia"/>
          <w:b/>
          <w:bCs/>
          <w:sz w:val="52"/>
        </w:rPr>
      </w:pPr>
    </w:p>
    <w:p>
      <w:pPr>
        <w:spacing w:line="520" w:lineRule="exact"/>
        <w:jc w:val="center"/>
        <w:rPr>
          <w:rFonts w:ascii="宋体" w:hAnsi="宋体" w:hint="eastAsia"/>
          <w:b/>
          <w:bCs/>
          <w:sz w:val="44"/>
        </w:rPr>
      </w:pPr>
    </w:p>
    <w:p>
      <w:pPr>
        <w:spacing w:line="520" w:lineRule="exact"/>
        <w:jc w:val="center"/>
        <w:rPr>
          <w:rFonts w:ascii="宋体" w:hAnsi="宋体" w:hint="eastAsia"/>
          <w:b/>
          <w:bCs/>
          <w:sz w:val="48"/>
        </w:rPr>
      </w:pPr>
      <w:r>
        <w:rPr>
          <w:rFonts w:ascii="宋体" w:hAnsi="宋体" w:hint="eastAsia"/>
          <w:b/>
          <w:bCs/>
          <w:sz w:val="48"/>
        </w:rPr>
        <w:t>××</w:t>
      </w:r>
      <w:r>
        <w:rPr>
          <w:rFonts w:ascii="宋体" w:hAnsi="宋体" w:hint="eastAsia"/>
          <w:b/>
          <w:bCs/>
          <w:sz w:val="48"/>
        </w:rPr>
        <w:t>省</w:t>
      </w:r>
      <w:r>
        <w:rPr>
          <w:rFonts w:ascii="宋体" w:hAnsi="宋体" w:hint="eastAsia"/>
          <w:b/>
          <w:bCs/>
          <w:sz w:val="48"/>
        </w:rPr>
        <w:t>××</w:t>
      </w:r>
      <w:r>
        <w:rPr>
          <w:rFonts w:ascii="宋体" w:hAnsi="宋体" w:hint="eastAsia"/>
          <w:b/>
          <w:bCs/>
          <w:sz w:val="48"/>
        </w:rPr>
        <w:t>县</w:t>
      </w:r>
      <w:r>
        <w:rPr>
          <w:rFonts w:ascii="宋体" w:hAnsi="宋体" w:hint="eastAsia"/>
          <w:b/>
          <w:bCs/>
          <w:sz w:val="48"/>
        </w:rPr>
        <w:t>××</w:t>
      </w:r>
      <w:r>
        <w:rPr>
          <w:rFonts w:ascii="宋体" w:hAnsi="宋体" w:hint="eastAsia"/>
          <w:b/>
          <w:bCs/>
          <w:sz w:val="48"/>
        </w:rPr>
        <w:t>分洪道工程</w:t>
      </w:r>
    </w:p>
    <w:p>
      <w:pPr>
        <w:spacing w:line="520" w:lineRule="exact"/>
        <w:jc w:val="center"/>
        <w:rPr>
          <w:rFonts w:ascii="宋体" w:hAnsi="宋体" w:hint="eastAsia"/>
          <w:b/>
          <w:bCs/>
          <w:sz w:val="48"/>
        </w:rPr>
      </w:pPr>
      <w:r>
        <w:rPr>
          <w:rFonts w:ascii="宋体" w:hAnsi="宋体" w:hint="eastAsia"/>
          <w:b/>
          <w:bCs/>
          <w:sz w:val="48"/>
        </w:rPr>
        <w:t>右堤基础处理和</w:t>
      </w:r>
      <w:r>
        <w:rPr>
          <w:rFonts w:ascii="宋体" w:hAnsi="宋体" w:hint="eastAsia"/>
          <w:b/>
          <w:bCs/>
          <w:sz w:val="48"/>
        </w:rPr>
        <w:t>××</w:t>
      </w:r>
      <w:r>
        <w:rPr>
          <w:rFonts w:ascii="宋体" w:hAnsi="宋体" w:hint="eastAsia"/>
          <w:b/>
          <w:bCs/>
          <w:sz w:val="48"/>
        </w:rPr>
        <w:t>堤土方拆除工程</w:t>
      </w:r>
    </w:p>
    <w:p>
      <w:pPr>
        <w:spacing w:line="520" w:lineRule="exact"/>
        <w:jc w:val="center"/>
        <w:rPr>
          <w:rFonts w:ascii="宋体" w:hAnsi="宋体" w:hint="eastAsia"/>
          <w:b/>
          <w:bCs/>
          <w:sz w:val="32"/>
        </w:rPr>
      </w:pPr>
    </w:p>
    <w:p>
      <w:pPr>
        <w:spacing w:line="520" w:lineRule="exact"/>
        <w:jc w:val="center"/>
        <w:rPr>
          <w:rFonts w:ascii="宋体" w:hAnsi="宋体" w:hint="eastAsia"/>
          <w:b/>
          <w:bCs/>
          <w:sz w:val="32"/>
        </w:rPr>
      </w:pPr>
    </w:p>
    <w:p>
      <w:pPr>
        <w:spacing w:line="520" w:lineRule="exact"/>
        <w:jc w:val="center"/>
        <w:rPr>
          <w:rFonts w:ascii="宋体" w:hAnsi="宋体" w:hint="eastAsia"/>
          <w:b/>
          <w:bCs/>
          <w:sz w:val="32"/>
        </w:rPr>
      </w:pPr>
    </w:p>
    <w:p>
      <w:pPr>
        <w:spacing w:line="520" w:lineRule="exact"/>
        <w:jc w:val="center"/>
        <w:rPr>
          <w:rFonts w:ascii="宋体" w:hAnsi="宋体" w:hint="eastAsia"/>
          <w:b/>
          <w:bCs/>
          <w:sz w:val="52"/>
        </w:rPr>
      </w:pPr>
    </w:p>
    <w:p>
      <w:pPr>
        <w:spacing w:line="520" w:lineRule="exact"/>
        <w:jc w:val="center"/>
        <w:rPr>
          <w:rFonts w:ascii="宋体" w:hAnsi="宋体" w:hint="eastAsia"/>
          <w:b/>
          <w:bCs/>
          <w:sz w:val="52"/>
        </w:rPr>
      </w:pPr>
    </w:p>
    <w:p>
      <w:pPr>
        <w:spacing w:line="520" w:lineRule="exact"/>
        <w:jc w:val="center"/>
        <w:rPr>
          <w:rFonts w:ascii="宋体" w:hAnsi="宋体" w:hint="eastAsia"/>
          <w:b/>
          <w:bCs/>
          <w:sz w:val="52"/>
        </w:rPr>
      </w:pPr>
    </w:p>
    <w:p>
      <w:pPr>
        <w:spacing w:line="520" w:lineRule="exact"/>
        <w:jc w:val="center"/>
        <w:rPr>
          <w:rFonts w:ascii="宋体" w:hAnsi="宋体" w:hint="eastAsia"/>
          <w:b/>
          <w:bCs/>
          <w:sz w:val="52"/>
        </w:rPr>
      </w:pPr>
    </w:p>
    <w:p>
      <w:pPr>
        <w:spacing w:line="520" w:lineRule="exact"/>
        <w:jc w:val="center"/>
        <w:rPr>
          <w:rFonts w:ascii="宋体" w:hAnsi="宋体" w:hint="eastAsia"/>
          <w:b/>
          <w:bCs/>
          <w:sz w:val="52"/>
        </w:rPr>
      </w:pPr>
    </w:p>
    <w:p>
      <w:pPr>
        <w:spacing w:line="520" w:lineRule="exact"/>
        <w:jc w:val="center"/>
        <w:rPr>
          <w:rFonts w:ascii="宋体" w:hAnsi="宋体" w:hint="eastAsia"/>
          <w:b/>
          <w:bCs/>
          <w:sz w:val="52"/>
        </w:rPr>
      </w:pPr>
      <w:r>
        <w:rPr>
          <w:rFonts w:ascii="宋体" w:hAnsi="宋体" w:hint="eastAsia"/>
          <w:b/>
          <w:bCs/>
          <w:sz w:val="52"/>
        </w:rPr>
        <w:t>施工技术文件</w:t>
      </w:r>
    </w:p>
    <w:p>
      <w:pPr>
        <w:spacing w:line="520" w:lineRule="exact"/>
        <w:jc w:val="center"/>
        <w:rPr>
          <w:rFonts w:ascii="宋体" w:hAnsi="宋体" w:hint="eastAsia"/>
          <w:b/>
          <w:bCs/>
          <w:sz w:val="52"/>
        </w:rPr>
      </w:pPr>
    </w:p>
    <w:p>
      <w:pPr>
        <w:spacing w:line="520" w:lineRule="exact"/>
        <w:jc w:val="center"/>
        <w:rPr>
          <w:rFonts w:ascii="宋体" w:hAnsi="宋体" w:hint="eastAsia"/>
          <w:b/>
          <w:bCs/>
          <w:sz w:val="52"/>
        </w:rPr>
      </w:pPr>
    </w:p>
    <w:p>
      <w:pPr>
        <w:spacing w:line="520" w:lineRule="exact"/>
        <w:jc w:val="center"/>
        <w:rPr>
          <w:rFonts w:ascii="宋体" w:hAnsi="宋体" w:hint="eastAsia"/>
          <w:b/>
          <w:bCs/>
          <w:sz w:val="52"/>
        </w:rPr>
      </w:pPr>
    </w:p>
    <w:p>
      <w:pPr>
        <w:spacing w:line="520" w:lineRule="exact"/>
        <w:jc w:val="center"/>
        <w:rPr>
          <w:rFonts w:ascii="宋体" w:hAnsi="宋体" w:hint="eastAsia"/>
          <w:b/>
          <w:bCs/>
          <w:sz w:val="52"/>
        </w:rPr>
      </w:pPr>
    </w:p>
    <w:p>
      <w:pPr>
        <w:spacing w:line="520" w:lineRule="exact"/>
        <w:jc w:val="center"/>
        <w:rPr>
          <w:rFonts w:ascii="宋体" w:hAnsi="宋体" w:hint="eastAsia"/>
          <w:b/>
          <w:bCs/>
          <w:sz w:val="52"/>
        </w:rPr>
      </w:pPr>
    </w:p>
    <w:p>
      <w:pPr>
        <w:spacing w:line="520" w:lineRule="exact"/>
        <w:jc w:val="center"/>
        <w:rPr>
          <w:rFonts w:ascii="宋体" w:hAnsi="宋体" w:hint="eastAsia"/>
          <w:b/>
          <w:bCs/>
          <w:sz w:val="52"/>
        </w:rPr>
      </w:pPr>
    </w:p>
    <w:p>
      <w:pPr>
        <w:spacing w:line="520" w:lineRule="exact"/>
        <w:jc w:val="center"/>
        <w:rPr>
          <w:rFonts w:ascii="宋体" w:hAnsi="宋体" w:hint="eastAsia"/>
          <w:b/>
          <w:bCs/>
          <w:sz w:val="52"/>
        </w:rPr>
      </w:pPr>
    </w:p>
    <w:p>
      <w:pPr>
        <w:spacing w:line="520" w:lineRule="exact"/>
        <w:jc w:val="center"/>
        <w:rPr>
          <w:rFonts w:ascii="宋体" w:hAnsi="宋体" w:hint="eastAsia"/>
          <w:b/>
          <w:bCs/>
          <w:sz w:val="52"/>
        </w:rPr>
      </w:pPr>
    </w:p>
    <w:p>
      <w:pPr>
        <w:spacing w:line="520" w:lineRule="exact"/>
        <w:jc w:val="center"/>
        <w:rPr>
          <w:rFonts w:ascii="宋体" w:hAnsi="宋体" w:hint="eastAsia"/>
          <w:b/>
          <w:bCs/>
          <w:sz w:val="52"/>
        </w:rPr>
      </w:pPr>
    </w:p>
    <w:p>
      <w:pPr>
        <w:spacing w:line="520" w:lineRule="exact"/>
        <w:jc w:val="center"/>
        <w:rPr>
          <w:rFonts w:ascii="宋体" w:hAnsi="宋体" w:hint="eastAsia"/>
          <w:b/>
          <w:bCs/>
          <w:sz w:val="52"/>
        </w:rPr>
      </w:pPr>
      <w:r>
        <w:rPr>
          <w:rFonts w:ascii="宋体" w:hAnsi="宋体" w:hint="eastAsia"/>
          <w:b/>
          <w:bCs/>
          <w:sz w:val="52"/>
        </w:rPr>
        <w:t>××</w:t>
      </w:r>
      <w:r>
        <w:rPr>
          <w:rFonts w:ascii="宋体" w:hAnsi="宋体" w:hint="eastAsia"/>
          <w:b/>
          <w:bCs/>
          <w:sz w:val="52"/>
        </w:rPr>
        <w:t>县建筑工程公司</w:t>
      </w:r>
    </w:p>
    <w:p>
      <w:pPr>
        <w:spacing w:line="520" w:lineRule="exact"/>
        <w:jc w:val="center"/>
        <w:rPr>
          <w:rFonts w:ascii="宋体" w:hAnsi="宋体" w:hint="eastAsia"/>
          <w:b/>
          <w:bCs/>
          <w:sz w:val="32"/>
        </w:rPr>
      </w:pPr>
      <w:r>
        <w:rPr>
          <w:rFonts w:ascii="宋体" w:hAnsi="宋体" w:hint="eastAsia"/>
          <w:b/>
          <w:bCs/>
          <w:sz w:val="32"/>
        </w:rPr>
        <w:t>二00四年三月十五日</w:t>
      </w:r>
    </w:p>
    <w:p>
      <w:pPr>
        <w:spacing w:line="520" w:lineRule="exact"/>
        <w:jc w:val="center"/>
        <w:rPr>
          <w:rFonts w:ascii="宋体" w:hAnsi="宋体"/>
          <w:b/>
          <w:bCs/>
          <w:sz w:val="32"/>
        </w:rPr>
      </w:pPr>
    </w:p>
    <w:p>
      <w:pPr>
        <w:spacing w:line="520" w:lineRule="exact"/>
        <w:jc w:val="center"/>
        <w:rPr>
          <w:rFonts w:ascii="宋体" w:hAnsi="宋体" w:hint="eastAsia"/>
          <w:b/>
          <w:bCs/>
          <w:sz w:val="52"/>
        </w:rPr>
      </w:pPr>
    </w:p>
    <w:p>
      <w:pPr>
        <w:spacing w:line="520" w:lineRule="exact"/>
        <w:jc w:val="center"/>
        <w:rPr>
          <w:rFonts w:ascii="宋体" w:hAnsi="宋体" w:hint="eastAsia"/>
          <w:b/>
          <w:bCs/>
          <w:sz w:val="32"/>
        </w:rPr>
        <w:sectPr>
          <w:pgSz w:w="11906" w:h="16838"/>
          <w:pgMar w:top="935" w:right="1800" w:bottom="1440" w:left="1800" w:header="851" w:footer="992" w:gutter="0"/>
          <w:cols w:space="425"/>
          <w:docGrid w:type="lines" w:linePitch="312"/>
        </w:sectPr>
      </w:pPr>
    </w:p>
    <w:p>
      <w:pPr>
        <w:spacing w:line="520" w:lineRule="exact"/>
        <w:jc w:val="center"/>
        <w:rPr>
          <w:rFonts w:ascii="宋体" w:hAnsi="宋体" w:hint="eastAsia"/>
          <w:b/>
          <w:bCs/>
          <w:sz w:val="52"/>
        </w:rPr>
      </w:pPr>
      <w:r>
        <w:rPr>
          <w:rFonts w:ascii="宋体" w:hAnsi="宋体" w:hint="eastAsia"/>
          <w:b/>
          <w:bCs/>
          <w:sz w:val="52"/>
        </w:rPr>
        <w:t>目  录</w:t>
      </w:r>
    </w:p>
    <w:p>
      <w:pPr>
        <w:spacing w:line="520" w:lineRule="exact"/>
        <w:jc w:val="center"/>
        <w:rPr>
          <w:rFonts w:ascii="宋体" w:hAnsi="宋体" w:hint="eastAsia"/>
          <w:b/>
          <w:bCs/>
          <w:sz w:val="48"/>
        </w:rPr>
      </w:pPr>
    </w:p>
    <w:p>
      <w:pPr>
        <w:numPr>
          <w:ilvl w:val="0"/>
          <w:numId w:val="9"/>
        </w:numPr>
        <w:spacing w:line="860" w:lineRule="exact"/>
        <w:ind w:hanging="405"/>
        <w:rPr>
          <w:rFonts w:ascii="宋体" w:hAnsi="宋体" w:hint="eastAsia"/>
          <w:b/>
          <w:bCs/>
          <w:sz w:val="36"/>
        </w:rPr>
      </w:pPr>
      <w:r>
        <w:rPr>
          <w:rFonts w:ascii="宋体" w:hAnsi="宋体" w:hint="eastAsia"/>
          <w:b/>
          <w:bCs/>
          <w:sz w:val="36"/>
        </w:rPr>
        <w:t>工程概况及施工条件分析</w:t>
      </w:r>
    </w:p>
    <w:p>
      <w:pPr>
        <w:numPr>
          <w:ilvl w:val="0"/>
          <w:numId w:val="9"/>
        </w:numPr>
        <w:spacing w:line="860" w:lineRule="exact"/>
        <w:ind w:hanging="405"/>
        <w:rPr>
          <w:rFonts w:ascii="宋体" w:hAnsi="宋体" w:hint="eastAsia"/>
          <w:b/>
          <w:bCs/>
          <w:sz w:val="36"/>
        </w:rPr>
      </w:pPr>
      <w:r>
        <w:rPr>
          <w:rFonts w:ascii="宋体" w:hAnsi="宋体" w:hint="eastAsia"/>
          <w:b/>
          <w:bCs/>
          <w:sz w:val="36"/>
        </w:rPr>
        <w:t>施工总平面布置</w:t>
      </w:r>
    </w:p>
    <w:p>
      <w:pPr>
        <w:numPr>
          <w:ilvl w:val="0"/>
          <w:numId w:val="9"/>
        </w:numPr>
        <w:spacing w:line="860" w:lineRule="exact"/>
        <w:ind w:hanging="405"/>
        <w:rPr>
          <w:rFonts w:ascii="宋体" w:hAnsi="宋体" w:hint="eastAsia"/>
          <w:b/>
          <w:bCs/>
          <w:sz w:val="36"/>
        </w:rPr>
      </w:pPr>
      <w:r>
        <w:rPr>
          <w:rFonts w:ascii="宋体" w:hAnsi="宋体" w:hint="eastAsia"/>
          <w:b/>
          <w:bCs/>
          <w:sz w:val="36"/>
        </w:rPr>
        <w:t>施工程序、施工方法</w:t>
      </w:r>
    </w:p>
    <w:p>
      <w:pPr>
        <w:numPr>
          <w:ilvl w:val="0"/>
          <w:numId w:val="9"/>
        </w:numPr>
        <w:spacing w:line="860" w:lineRule="exact"/>
        <w:ind w:hanging="405"/>
        <w:rPr>
          <w:rFonts w:ascii="宋体" w:hAnsi="宋体" w:hint="eastAsia"/>
          <w:b/>
          <w:bCs/>
          <w:sz w:val="36"/>
        </w:rPr>
      </w:pPr>
      <w:r>
        <w:rPr>
          <w:rFonts w:ascii="宋体" w:hAnsi="宋体" w:hint="eastAsia"/>
          <w:b/>
          <w:bCs/>
          <w:sz w:val="36"/>
        </w:rPr>
        <w:t>施工进度与工期保证措施</w:t>
      </w:r>
    </w:p>
    <w:p>
      <w:pPr>
        <w:numPr>
          <w:ilvl w:val="0"/>
          <w:numId w:val="9"/>
        </w:numPr>
        <w:spacing w:line="860" w:lineRule="exact"/>
        <w:ind w:hanging="405"/>
        <w:rPr>
          <w:rFonts w:ascii="宋体" w:hAnsi="宋体" w:hint="eastAsia"/>
          <w:b/>
          <w:bCs/>
          <w:sz w:val="36"/>
        </w:rPr>
      </w:pPr>
      <w:r>
        <w:rPr>
          <w:rFonts w:ascii="宋体" w:hAnsi="宋体" w:hint="eastAsia"/>
          <w:b/>
          <w:bCs/>
          <w:sz w:val="36"/>
        </w:rPr>
        <w:t>施工组织机构</w:t>
      </w:r>
    </w:p>
    <w:p>
      <w:pPr>
        <w:numPr>
          <w:ilvl w:val="0"/>
          <w:numId w:val="9"/>
        </w:numPr>
        <w:spacing w:line="860" w:lineRule="exact"/>
        <w:ind w:hanging="405"/>
        <w:rPr>
          <w:rFonts w:ascii="宋体" w:hAnsi="宋体" w:hint="eastAsia"/>
          <w:b/>
          <w:bCs/>
          <w:sz w:val="36"/>
        </w:rPr>
      </w:pPr>
      <w:r>
        <w:rPr>
          <w:rFonts w:ascii="宋体" w:hAnsi="宋体" w:hint="eastAsia"/>
          <w:b/>
          <w:bCs/>
          <w:sz w:val="36"/>
        </w:rPr>
        <w:t>质量限制与质量管理措施</w:t>
      </w:r>
    </w:p>
    <w:p>
      <w:pPr>
        <w:numPr>
          <w:ilvl w:val="0"/>
          <w:numId w:val="9"/>
        </w:numPr>
        <w:spacing w:line="860" w:lineRule="exact"/>
        <w:ind w:hanging="405"/>
        <w:rPr>
          <w:rFonts w:ascii="宋体" w:hAnsi="宋体" w:hint="eastAsia"/>
          <w:b/>
          <w:bCs/>
          <w:sz w:val="36"/>
        </w:rPr>
      </w:pPr>
      <w:r>
        <w:rPr>
          <w:rFonts w:ascii="宋体" w:hAnsi="宋体" w:hint="eastAsia"/>
          <w:b/>
          <w:bCs/>
          <w:sz w:val="36"/>
        </w:rPr>
        <w:t>平安保证及管理措施</w:t>
      </w:r>
    </w:p>
    <w:p>
      <w:pPr>
        <w:numPr>
          <w:ilvl w:val="0"/>
          <w:numId w:val="9"/>
        </w:numPr>
        <w:spacing w:line="860" w:lineRule="exact"/>
        <w:ind w:hanging="405"/>
        <w:rPr>
          <w:rFonts w:ascii="宋体" w:hAnsi="宋体" w:hint="eastAsia"/>
          <w:b/>
          <w:bCs/>
          <w:sz w:val="36"/>
        </w:rPr>
      </w:pPr>
      <w:r>
        <w:rPr>
          <w:rFonts w:ascii="宋体" w:hAnsi="宋体" w:hint="eastAsia"/>
          <w:b/>
          <w:bCs/>
          <w:sz w:val="36"/>
        </w:rPr>
        <w:t>环境爱护措施与文明施工</w:t>
      </w:r>
    </w:p>
    <w:p>
      <w:pPr>
        <w:spacing w:line="860" w:lineRule="exact"/>
        <w:ind w:left="720"/>
        <w:rPr>
          <w:rFonts w:ascii="宋体" w:hAnsi="宋体" w:hint="eastAsia"/>
          <w:b/>
          <w:bCs/>
          <w:sz w:val="36"/>
        </w:rPr>
      </w:pPr>
      <w:r>
        <w:rPr>
          <w:rFonts w:ascii="宋体" w:hAnsi="宋体" w:hint="eastAsia"/>
          <w:b/>
          <w:bCs/>
          <w:sz w:val="36"/>
        </w:rPr>
        <w:t>附图</w:t>
      </w:r>
    </w:p>
    <w:p>
      <w:pPr>
        <w:spacing w:line="520" w:lineRule="exact"/>
        <w:jc w:val="center"/>
        <w:rPr>
          <w:rFonts w:ascii="宋体" w:hAnsi="宋体" w:hint="eastAsia"/>
          <w:b/>
          <w:bCs/>
          <w:sz w:val="32"/>
        </w:rPr>
      </w:pPr>
    </w:p>
    <w:p>
      <w:pPr>
        <w:spacing w:line="520" w:lineRule="exact"/>
        <w:jc w:val="center"/>
        <w:rPr>
          <w:rFonts w:ascii="宋体" w:hAnsi="宋体" w:hint="eastAsia"/>
          <w:b/>
          <w:bCs/>
          <w:sz w:val="32"/>
        </w:rPr>
      </w:pPr>
    </w:p>
    <w:p>
      <w:pPr>
        <w:spacing w:line="520" w:lineRule="exact"/>
        <w:jc w:val="center"/>
        <w:rPr>
          <w:rFonts w:ascii="宋体" w:hAnsi="宋体" w:hint="eastAsia"/>
          <w:b/>
          <w:bCs/>
          <w:sz w:val="32"/>
        </w:rPr>
      </w:pPr>
    </w:p>
    <w:p>
      <w:pPr>
        <w:spacing w:line="520" w:lineRule="exact"/>
        <w:jc w:val="center"/>
        <w:rPr>
          <w:rFonts w:ascii="宋体" w:hAnsi="宋体" w:hint="eastAsia"/>
          <w:b/>
          <w:bCs/>
          <w:sz w:val="32"/>
        </w:rPr>
      </w:pPr>
    </w:p>
    <w:p>
      <w:pPr>
        <w:spacing w:line="520" w:lineRule="exact"/>
        <w:jc w:val="center"/>
        <w:rPr>
          <w:rFonts w:ascii="宋体" w:hAnsi="宋体" w:hint="eastAsia"/>
          <w:b/>
          <w:bCs/>
          <w:sz w:val="32"/>
        </w:rPr>
      </w:pPr>
    </w:p>
    <w:p>
      <w:pPr>
        <w:spacing w:line="520" w:lineRule="exact"/>
        <w:rPr>
          <w:rFonts w:ascii="宋体" w:hAnsi="宋体" w:hint="eastAsia"/>
          <w:b/>
          <w:bCs/>
          <w:sz w:val="32"/>
        </w:rPr>
      </w:pPr>
    </w:p>
    <w:p>
      <w:pPr>
        <w:spacing w:line="540" w:lineRule="exact"/>
        <w:jc w:val="center"/>
        <w:rPr>
          <w:rFonts w:hint="eastAsia"/>
          <w:b/>
          <w:bCs/>
          <w:sz w:val="32"/>
        </w:rPr>
      </w:pPr>
      <w:r>
        <w:rPr>
          <w:rFonts w:eastAsia="黑体" w:hint="eastAsia"/>
          <w:b/>
          <w:bCs/>
          <w:sz w:val="32"/>
        </w:rPr>
        <w:t>第一章  工程概况及施工条件分析</w:t>
      </w:r>
    </w:p>
    <w:p>
      <w:pPr>
        <w:spacing w:line="540" w:lineRule="exact"/>
        <w:ind w:firstLine="538" w:firstLineChars="192"/>
        <w:rPr>
          <w:rFonts w:ascii="黑体" w:eastAsia="黑体" w:hint="eastAsia"/>
          <w:sz w:val="28"/>
        </w:rPr>
      </w:pPr>
      <w:r>
        <w:rPr>
          <w:rFonts w:ascii="黑体" w:eastAsia="黑体" w:hint="eastAsia"/>
          <w:sz w:val="28"/>
        </w:rPr>
        <w:t>1、 工程概况</w:t>
      </w:r>
    </w:p>
    <w:p>
      <w:pPr>
        <w:spacing w:line="540" w:lineRule="exact"/>
        <w:ind w:firstLine="504" w:firstLineChars="180"/>
        <w:rPr>
          <w:rFonts w:hint="eastAsia"/>
          <w:sz w:val="28"/>
        </w:rPr>
        <w:sectPr>
          <w:type w:val="nextPage"/>
          <w:pgSz w:w="11906" w:h="16838"/>
          <w:pgMar w:top="935" w:right="1800" w:bottom="1440" w:left="1800" w:header="851" w:footer="992" w:gutter="0"/>
          <w:pgNumType w:start="2"/>
          <w:cols w:space="425"/>
          <w:titlePg w:val="0"/>
          <w:docGrid w:type="lines" w:linePitch="312"/>
        </w:sectPr>
      </w:pPr>
      <w:r>
        <w:rPr>
          <w:rFonts w:hint="eastAsia"/>
          <w:sz w:val="28"/>
        </w:rPr>
        <w:t>××</w:t>
      </w:r>
      <w:r>
        <w:rPr>
          <w:rFonts w:hint="eastAsia"/>
          <w:sz w:val="28"/>
        </w:rPr>
        <w:t>分洪道工程位于</w:t>
      </w:r>
      <w:r>
        <w:rPr>
          <w:rFonts w:hint="eastAsia"/>
          <w:sz w:val="28"/>
        </w:rPr>
        <w:t>××</w:t>
      </w:r>
      <w:r>
        <w:rPr>
          <w:rFonts w:hint="eastAsia"/>
          <w:sz w:val="28"/>
        </w:rPr>
        <w:t>省</w:t>
      </w:r>
      <w:r>
        <w:rPr>
          <w:rFonts w:hint="eastAsia"/>
          <w:sz w:val="28"/>
        </w:rPr>
        <w:t>××</w:t>
      </w:r>
      <w:r>
        <w:rPr>
          <w:rFonts w:hint="eastAsia"/>
          <w:sz w:val="28"/>
        </w:rPr>
        <w:t>县境内，分洪道原是信</w:t>
      </w:r>
      <w:r>
        <w:rPr>
          <w:rFonts w:hint="eastAsia"/>
          <w:sz w:val="28"/>
        </w:rPr>
        <w:t>××</w:t>
      </w:r>
      <w:r>
        <w:rPr>
          <w:rFonts w:hint="eastAsia"/>
          <w:sz w:val="28"/>
        </w:rPr>
        <w:t>大河支流之一，其进口在西大河首端</w:t>
      </w:r>
      <w:r>
        <w:rPr>
          <w:rFonts w:hint="eastAsia"/>
          <w:sz w:val="28"/>
        </w:rPr>
        <w:t>××</w:t>
      </w:r>
    </w:p>
    <w:p>
      <w:pPr>
        <w:spacing w:line="540" w:lineRule="exact"/>
        <w:ind w:firstLine="504" w:firstLineChars="180"/>
        <w:rPr>
          <w:rFonts w:hint="eastAsia"/>
          <w:sz w:val="28"/>
        </w:rPr>
      </w:pPr>
      <w:r>
        <w:rPr>
          <w:rFonts w:hint="eastAsia"/>
          <w:sz w:val="28"/>
        </w:rPr>
        <w:t>处，经燕湖、曹塘腾、至下洪桥与九龙河汇合，再经卢家山、石溪头，在</w:t>
      </w:r>
      <w:r>
        <w:rPr>
          <w:rFonts w:hint="eastAsia"/>
          <w:sz w:val="28"/>
        </w:rPr>
        <w:t>××</w:t>
      </w:r>
      <w:r>
        <w:rPr>
          <w:rFonts w:hint="eastAsia"/>
          <w:sz w:val="28"/>
        </w:rPr>
        <w:t>流入洋坊湖，全长</w:t>
      </w:r>
      <w:r>
        <w:rPr>
          <w:sz w:val="28"/>
        </w:rPr>
        <w:t>17.97km</w:t>
      </w:r>
      <w:r>
        <w:rPr>
          <w:rFonts w:hint="eastAsia"/>
          <w:sz w:val="28"/>
        </w:rPr>
        <w:t>。其右堤下段上起铁耙山双坝堵口，下至</w:t>
      </w:r>
      <w:r>
        <w:rPr>
          <w:rFonts w:hint="eastAsia"/>
          <w:sz w:val="28"/>
        </w:rPr>
        <w:t>××</w:t>
      </w:r>
      <w:r>
        <w:rPr>
          <w:rFonts w:hint="eastAsia"/>
          <w:sz w:val="28"/>
        </w:rPr>
        <w:t>宋家，堤线长</w:t>
      </w:r>
      <w:r>
        <w:rPr>
          <w:sz w:val="28"/>
        </w:rPr>
        <w:t>7.165km</w:t>
      </w:r>
      <w:r>
        <w:rPr>
          <w:rFonts w:hint="eastAsia"/>
          <w:sz w:val="28"/>
        </w:rPr>
        <w:t>。该堤为</w:t>
      </w:r>
      <w:r>
        <w:rPr>
          <w:rFonts w:hint="eastAsia"/>
          <w:sz w:val="28"/>
        </w:rPr>
        <w:t>Ⅳ</w:t>
      </w:r>
      <w:r>
        <w:rPr>
          <w:rFonts w:hint="eastAsia"/>
          <w:sz w:val="28"/>
        </w:rPr>
        <w:t>等工程，主要建设物为四级，次要建筑物为五级。工程建设的主要任务是通过对圩堤的加高加固，形成大枫富联圩，满足</w:t>
      </w:r>
      <w:r>
        <w:rPr>
          <w:rFonts w:hint="eastAsia"/>
          <w:sz w:val="28"/>
        </w:rPr>
        <w:t>××</w:t>
      </w:r>
      <w:r>
        <w:rPr>
          <w:rFonts w:hint="eastAsia"/>
          <w:sz w:val="28"/>
        </w:rPr>
        <w:t>分洪道时爱护圩区的农田及人口不受洪水侵扰，抵挡鄱阳湖的洪水。本次招标的施工内容：555M</w:t>
      </w:r>
      <w:r>
        <w:rPr>
          <w:rFonts w:hint="eastAsia"/>
          <w:sz w:val="28"/>
        </w:rPr>
        <w:t>××</w:t>
      </w:r>
      <w:r>
        <w:rPr>
          <w:rFonts w:hint="eastAsia"/>
          <w:sz w:val="28"/>
        </w:rPr>
        <w:t>堤拆除，运距1.5KM，高灌浆，干砌石和预制块护坡拆除等。总工期为2个月零15天。</w:t>
      </w:r>
    </w:p>
    <w:p>
      <w:pPr>
        <w:spacing w:line="540" w:lineRule="exact"/>
        <w:ind w:firstLine="504" w:firstLineChars="180"/>
        <w:rPr>
          <w:rFonts w:ascii="黑体" w:eastAsia="黑体" w:hint="eastAsia"/>
          <w:sz w:val="28"/>
        </w:rPr>
      </w:pPr>
      <w:r>
        <w:rPr>
          <w:rFonts w:ascii="黑体" w:eastAsia="黑体" w:hint="eastAsia"/>
          <w:sz w:val="28"/>
        </w:rPr>
        <w:t>2、 水文气象和工程地质</w:t>
      </w:r>
    </w:p>
    <w:p>
      <w:pPr>
        <w:spacing w:line="540" w:lineRule="exact"/>
        <w:ind w:firstLine="504" w:firstLineChars="180"/>
        <w:rPr>
          <w:rFonts w:hint="eastAsia"/>
          <w:sz w:val="28"/>
        </w:rPr>
      </w:pPr>
      <w:r>
        <w:rPr>
          <w:rFonts w:hint="eastAsia"/>
          <w:sz w:val="28"/>
        </w:rPr>
        <w:t>2.1、 水文气象</w:t>
      </w:r>
    </w:p>
    <w:p>
      <w:pPr>
        <w:spacing w:line="540" w:lineRule="exact"/>
        <w:ind w:firstLine="504" w:firstLineChars="180"/>
        <w:rPr>
          <w:rFonts w:hint="eastAsia"/>
          <w:sz w:val="28"/>
        </w:rPr>
      </w:pPr>
      <w:r>
        <w:rPr>
          <w:rFonts w:hint="eastAsia"/>
          <w:sz w:val="28"/>
        </w:rPr>
        <w:t>该工程位于亚热带潮湿季风区，气候温柔，雨量足够，四季分明。区域内降水多发生在每年4~6月，约占全年总降水量的一半。该区每年4~8月为主汛期，江河洪水一般发生在3月下旬至7月上旬，年最高洪水多出现在5~6月，7~8月受台风影响，也可能出现较大洪水，年最低水位多出现在12月至次年1月。</w:t>
      </w:r>
    </w:p>
    <w:p>
      <w:pPr>
        <w:spacing w:line="540" w:lineRule="exact"/>
        <w:ind w:firstLine="504" w:firstLineChars="180"/>
        <w:rPr>
          <w:rFonts w:hint="eastAsia"/>
          <w:sz w:val="28"/>
        </w:rPr>
      </w:pPr>
      <w:r>
        <w:rPr>
          <w:rFonts w:hint="eastAsia"/>
          <w:sz w:val="28"/>
        </w:rPr>
        <w:t>2.2、工程地质</w:t>
      </w:r>
    </w:p>
    <w:p>
      <w:pPr>
        <w:spacing w:line="540" w:lineRule="exact"/>
        <w:ind w:firstLine="504" w:firstLineChars="180"/>
        <w:rPr>
          <w:rFonts w:hint="eastAsia"/>
          <w:sz w:val="28"/>
        </w:rPr>
      </w:pPr>
      <w:r>
        <w:rPr>
          <w:rFonts w:hint="eastAsia"/>
          <w:sz w:val="28"/>
        </w:rPr>
        <w:t>分洪道左岸为丘陵，右岸为原枫港、枫富南堤，堤身为细砂夹砂壤土，堤基为粉质粘土。</w:t>
      </w:r>
    </w:p>
    <w:p>
      <w:pPr>
        <w:spacing w:line="520" w:lineRule="exact"/>
        <w:ind w:firstLine="540"/>
        <w:rPr>
          <w:rFonts w:ascii="宋体" w:hAnsi="宋体" w:hint="eastAsia"/>
          <w:b/>
          <w:bCs/>
          <w:sz w:val="28"/>
        </w:rPr>
      </w:pPr>
      <w:r>
        <w:rPr>
          <w:rFonts w:ascii="宋体" w:hAnsi="宋体" w:hint="eastAsia"/>
          <w:b/>
          <w:bCs/>
          <w:sz w:val="28"/>
        </w:rPr>
        <w:t>三、对外交通条件</w:t>
      </w:r>
    </w:p>
    <w:p>
      <w:pPr>
        <w:spacing w:line="520" w:lineRule="exact"/>
        <w:ind w:firstLine="540"/>
        <w:rPr>
          <w:rFonts w:ascii="宋体" w:hAnsi="宋体" w:hint="eastAsia"/>
          <w:sz w:val="28"/>
        </w:rPr>
      </w:pPr>
      <w:r>
        <w:rPr>
          <w:rFonts w:ascii="宋体" w:hAnsi="宋体" w:hint="eastAsia"/>
          <w:sz w:val="28"/>
        </w:rPr>
        <w:t>本工程施工时对外交通以马路和水路运输为主，现有马路可经</w:t>
      </w:r>
      <w:r>
        <w:rPr>
          <w:rFonts w:ascii="宋体" w:hAnsi="宋体" w:hint="eastAsia"/>
          <w:sz w:val="28"/>
        </w:rPr>
        <w:t>××</w:t>
      </w:r>
      <w:r>
        <w:rPr>
          <w:rFonts w:ascii="宋体" w:hAnsi="宋体" w:hint="eastAsia"/>
          <w:sz w:val="28"/>
        </w:rPr>
        <w:t>县城至分洪道右侧旁边的枫港；上饶、景德镇方向可经黄金埠至枫港再至进洪堰；南昌方向可经梨温高速至东乡杨桥再至</w:t>
      </w:r>
      <w:r>
        <w:rPr>
          <w:rFonts w:ascii="宋体" w:hAnsi="宋体" w:hint="eastAsia"/>
          <w:sz w:val="28"/>
        </w:rPr>
        <w:t>××</w:t>
      </w:r>
      <w:r>
        <w:rPr>
          <w:rFonts w:ascii="宋体" w:hAnsi="宋体" w:hint="eastAsia"/>
          <w:sz w:val="28"/>
        </w:rPr>
        <w:t>邓墩乡至工地。枫港至工地有分洪道右堤堤顶马路及马路连通，水路有信江航道。</w:t>
      </w:r>
    </w:p>
    <w:p>
      <w:pPr>
        <w:spacing w:line="520" w:lineRule="exact"/>
        <w:ind w:firstLine="567"/>
        <w:rPr>
          <w:rFonts w:ascii="宋体" w:hAnsi="宋体" w:hint="eastAsia"/>
          <w:b/>
          <w:bCs/>
          <w:sz w:val="28"/>
        </w:rPr>
      </w:pPr>
      <w:r>
        <w:rPr>
          <w:rFonts w:ascii="宋体" w:hAnsi="宋体" w:hint="eastAsia"/>
          <w:b/>
          <w:bCs/>
          <w:sz w:val="28"/>
        </w:rPr>
        <w:t>四、供电、供水条件</w:t>
      </w:r>
    </w:p>
    <w:p>
      <w:pPr>
        <w:spacing w:line="520" w:lineRule="exact"/>
        <w:ind w:firstLine="567"/>
        <w:rPr>
          <w:rFonts w:ascii="宋体" w:hAnsi="宋体" w:hint="eastAsia"/>
          <w:sz w:val="28"/>
        </w:rPr>
      </w:pPr>
      <w:r>
        <w:rPr>
          <w:rFonts w:ascii="宋体" w:hAnsi="宋体" w:hint="eastAsia"/>
          <w:sz w:val="28"/>
        </w:rPr>
        <w:t>供电可搭接</w:t>
      </w:r>
      <w:r>
        <w:rPr>
          <w:rFonts w:ascii="宋体" w:hAnsi="宋体" w:hint="eastAsia"/>
          <w:sz w:val="28"/>
        </w:rPr>
        <w:t>××</w:t>
      </w:r>
      <w:r>
        <w:rPr>
          <w:rFonts w:ascii="宋体" w:hAnsi="宋体" w:hint="eastAsia"/>
          <w:sz w:val="28"/>
        </w:rPr>
        <w:t>县生产电网，在施工场内统一布置安装架设供电线路。另外我公司还打算2套500马力柴油发电机组作为备用电源。</w:t>
      </w:r>
    </w:p>
    <w:p>
      <w:pPr>
        <w:spacing w:line="520" w:lineRule="exact"/>
        <w:ind w:firstLine="567"/>
        <w:rPr>
          <w:rFonts w:ascii="宋体" w:hAnsi="宋体" w:hint="eastAsia"/>
          <w:sz w:val="28"/>
        </w:rPr>
        <w:sectPr>
          <w:type w:val="nextPage"/>
          <w:pgSz w:w="11906" w:h="16838"/>
          <w:pgMar w:top="935" w:right="1800" w:bottom="1440" w:left="1800" w:header="851" w:footer="992" w:gutter="0"/>
          <w:pgNumType w:start="3"/>
          <w:cols w:space="425"/>
          <w:titlePg w:val="0"/>
          <w:docGrid w:type="lines" w:linePitch="312"/>
        </w:sectPr>
      </w:pPr>
    </w:p>
    <w:p>
      <w:pPr>
        <w:spacing w:line="520" w:lineRule="exact"/>
        <w:ind w:firstLine="567"/>
        <w:rPr>
          <w:rFonts w:ascii="宋体" w:hAnsi="宋体" w:hint="eastAsia"/>
          <w:sz w:val="28"/>
        </w:rPr>
      </w:pPr>
      <w:r>
        <w:rPr>
          <w:rFonts w:ascii="宋体" w:hAnsi="宋体" w:hint="eastAsia"/>
          <w:sz w:val="28"/>
        </w:rPr>
        <w:t>供水，生活用水可在分洪道内打井取地下水解决用水问题，生产用水可干脆抽起外河河水供生产之用。</w:t>
      </w:r>
    </w:p>
    <w:p>
      <w:pPr>
        <w:spacing w:line="520" w:lineRule="exact"/>
        <w:ind w:firstLine="567"/>
        <w:rPr>
          <w:rFonts w:ascii="宋体" w:hAnsi="宋体" w:hint="eastAsia"/>
          <w:b/>
          <w:bCs/>
          <w:sz w:val="28"/>
        </w:rPr>
      </w:pPr>
      <w:r>
        <w:rPr>
          <w:rFonts w:ascii="宋体" w:hAnsi="宋体" w:hint="eastAsia"/>
          <w:b/>
          <w:bCs/>
          <w:sz w:val="28"/>
        </w:rPr>
        <w:t>五、通讯条件</w:t>
      </w:r>
    </w:p>
    <w:p>
      <w:pPr>
        <w:spacing w:line="520" w:lineRule="exact"/>
        <w:ind w:firstLine="567"/>
        <w:rPr>
          <w:rFonts w:ascii="宋体" w:hAnsi="宋体" w:hint="eastAsia"/>
          <w:sz w:val="28"/>
        </w:rPr>
      </w:pPr>
      <w:r>
        <w:rPr>
          <w:rFonts w:ascii="宋体" w:hAnsi="宋体" w:hint="eastAsia"/>
          <w:sz w:val="28"/>
        </w:rPr>
        <w:t xml:space="preserve">为保证信息渠道畅通，项目经理部配备专用手机10部供施工管理人员运用，办公室设传真机一部、程控电话一部。另外，施工现场配备手持对讲机十部作为现场施工中相互联络的工具。 </w:t>
      </w:r>
    </w:p>
    <w:p>
      <w:pPr>
        <w:pStyle w:val="PlainText"/>
        <w:spacing w:line="520" w:lineRule="exact"/>
        <w:ind w:firstLine="560" w:firstLineChars="200"/>
        <w:rPr>
          <w:rFonts w:hAnsi="宋体" w:hint="eastAsia"/>
          <w:sz w:val="28"/>
        </w:rPr>
      </w:pPr>
      <w:r>
        <w:rPr>
          <w:rFonts w:hAnsi="宋体" w:hint="eastAsia"/>
          <w:b/>
          <w:bCs/>
          <w:sz w:val="28"/>
        </w:rPr>
        <w:t>六、施工外部条件</w:t>
      </w:r>
    </w:p>
    <w:p>
      <w:pPr>
        <w:pStyle w:val="PlainText"/>
        <w:spacing w:line="520" w:lineRule="exact"/>
        <w:ind w:firstLine="560" w:firstLineChars="200"/>
        <w:rPr>
          <w:rFonts w:hAnsi="宋体" w:hint="eastAsia"/>
          <w:sz w:val="28"/>
        </w:rPr>
      </w:pPr>
      <w:r>
        <w:rPr>
          <w:rFonts w:hAnsi="宋体" w:hint="eastAsia"/>
          <w:sz w:val="28"/>
        </w:rPr>
        <w:t>工地位置距</w:t>
      </w:r>
      <w:r>
        <w:rPr>
          <w:rFonts w:hAnsi="宋体" w:hint="eastAsia"/>
          <w:sz w:val="28"/>
        </w:rPr>
        <w:t>××</w:t>
      </w:r>
      <w:r>
        <w:rPr>
          <w:rFonts w:hAnsi="宋体" w:hint="eastAsia"/>
          <w:sz w:val="28"/>
        </w:rPr>
        <w:t>县枫港乡镇只有6KM左右路程有马路通达，工地所需生产、生活物资较易解决。</w:t>
      </w:r>
    </w:p>
    <w:p>
      <w:pPr>
        <w:pStyle w:val="PlainText"/>
        <w:spacing w:line="520" w:lineRule="exact"/>
        <w:ind w:firstLine="560" w:firstLineChars="200"/>
        <w:rPr>
          <w:rFonts w:hAnsi="宋体" w:hint="eastAsia"/>
          <w:sz w:val="28"/>
        </w:rPr>
      </w:pPr>
      <w:r>
        <w:rPr>
          <w:rFonts w:hAnsi="宋体" w:hint="eastAsia"/>
          <w:sz w:val="28"/>
        </w:rPr>
        <w:t>工地周边民风淳朴，且业主派有常驻工地管理机构能起到协调周边关系、解决各项与工程有关问题。驻地监理工程师与驻地设计代表能和施工项目部一起解决施工技术问题。</w:t>
      </w:r>
    </w:p>
    <w:p>
      <w:pPr>
        <w:pStyle w:val="PlainText"/>
        <w:spacing w:line="520" w:lineRule="exact"/>
        <w:ind w:firstLine="560" w:firstLineChars="200"/>
        <w:rPr>
          <w:rFonts w:hAnsi="宋体" w:hint="eastAsia"/>
          <w:sz w:val="28"/>
        </w:rPr>
      </w:pPr>
      <w:r>
        <w:rPr>
          <w:rFonts w:hAnsi="宋体" w:hint="eastAsia"/>
          <w:sz w:val="28"/>
        </w:rPr>
        <w:t>综合上述施工条件分析，本工程的施工条件较好有利于工程施工的开展与进度保证。</w:t>
      </w:r>
    </w:p>
    <w:p>
      <w:pPr>
        <w:spacing w:line="520" w:lineRule="exact"/>
        <w:rPr>
          <w:rFonts w:ascii="宋体" w:hAnsi="宋体" w:hint="eastAsia"/>
          <w:sz w:val="28"/>
        </w:rPr>
      </w:pPr>
    </w:p>
    <w:p>
      <w:pPr>
        <w:spacing w:line="520" w:lineRule="exact"/>
        <w:jc w:val="center"/>
        <w:rPr>
          <w:rFonts w:ascii="宋体" w:hAnsi="宋体" w:hint="eastAsia"/>
          <w:b/>
          <w:bCs/>
          <w:sz w:val="32"/>
        </w:rPr>
      </w:pPr>
      <w:r>
        <w:rPr>
          <w:rFonts w:ascii="宋体" w:hAnsi="宋体" w:hint="eastAsia"/>
          <w:b/>
          <w:bCs/>
          <w:sz w:val="32"/>
        </w:rPr>
        <w:t>其次章   施工总布置</w:t>
      </w:r>
    </w:p>
    <w:p>
      <w:pPr>
        <w:spacing w:line="520" w:lineRule="exact"/>
        <w:ind w:firstLine="567"/>
        <w:rPr>
          <w:rFonts w:ascii="宋体" w:hAnsi="宋体" w:hint="eastAsia"/>
          <w:b/>
          <w:bCs/>
          <w:sz w:val="28"/>
        </w:rPr>
      </w:pPr>
      <w:r>
        <w:rPr>
          <w:rFonts w:ascii="宋体" w:hAnsi="宋体" w:hint="eastAsia"/>
          <w:b/>
          <w:bCs/>
          <w:sz w:val="28"/>
        </w:rPr>
        <w:t>一、布置原则</w:t>
      </w:r>
    </w:p>
    <w:p>
      <w:pPr>
        <w:pStyle w:val="BodyTextIndent3"/>
        <w:rPr>
          <w:rFonts w:ascii="宋体" w:hAnsi="宋体" w:hint="eastAsia"/>
        </w:rPr>
      </w:pPr>
      <w:r>
        <w:rPr>
          <w:rFonts w:ascii="宋体" w:hAnsi="宋体" w:hint="eastAsia"/>
        </w:rPr>
        <w:t>（一）、本工程施工所需各项临时设施均布置在本合同招标规定范围内，在不影响和干扰工程施工的前提下，尽可能少占用空地。各种施工材料、机械设备均应布置在便于施工而不影响通行位置。合理占用道路以免影响交通平安。</w:t>
      </w:r>
    </w:p>
    <w:p>
      <w:pPr>
        <w:spacing w:line="520" w:lineRule="exact"/>
        <w:ind w:firstLine="567"/>
        <w:rPr>
          <w:rFonts w:ascii="宋体" w:hAnsi="宋体" w:hint="eastAsia"/>
          <w:sz w:val="28"/>
        </w:rPr>
      </w:pPr>
      <w:r>
        <w:rPr>
          <w:rFonts w:ascii="宋体" w:hAnsi="宋体" w:hint="eastAsia"/>
          <w:sz w:val="28"/>
        </w:rPr>
        <w:t>（二）、全部的临时设施必需严格遵循有关规范的要求，并符合有利施工便利管理，平安牢靠，经济适用的原则。</w:t>
      </w:r>
    </w:p>
    <w:p>
      <w:pPr>
        <w:spacing w:line="520" w:lineRule="exact"/>
        <w:ind w:firstLine="567"/>
        <w:rPr>
          <w:rFonts w:ascii="宋体" w:hAnsi="宋体" w:hint="eastAsia"/>
          <w:sz w:val="28"/>
        </w:rPr>
      </w:pPr>
      <w:r>
        <w:rPr>
          <w:rFonts w:ascii="宋体" w:hAnsi="宋体" w:hint="eastAsia"/>
          <w:sz w:val="28"/>
        </w:rPr>
        <w:t>（三）、尽量利用已有设施削减资源奢侈，考虑生产及办公基地地旁边租用民房，施工场地和道路尽量利用现有的道路，其他生产设施则依据现场状况和实际须要合理规范化布置。</w:t>
      </w:r>
    </w:p>
    <w:p>
      <w:pPr>
        <w:spacing w:line="520" w:lineRule="exact"/>
        <w:ind w:firstLine="567"/>
        <w:rPr>
          <w:rFonts w:ascii="宋体" w:hAnsi="宋体" w:hint="eastAsia"/>
          <w:sz w:val="28"/>
        </w:rPr>
        <w:sectPr>
          <w:type w:val="nextPage"/>
          <w:pgSz w:w="11906" w:h="16838"/>
          <w:pgMar w:top="935" w:right="1800" w:bottom="1440" w:left="1800" w:header="851" w:footer="992" w:gutter="0"/>
          <w:pgNumType w:start="4"/>
          <w:cols w:space="425"/>
          <w:titlePg w:val="0"/>
          <w:docGrid w:type="lines" w:linePitch="312"/>
        </w:sectPr>
      </w:pPr>
      <w:r>
        <w:rPr>
          <w:rFonts w:ascii="宋体" w:hAnsi="宋体" w:hint="eastAsia"/>
          <w:sz w:val="28"/>
        </w:rPr>
        <w:t>（四）、施工布置，应充分考虑环境爱护的要求，做好环境爱护工作，做到文明施工。</w:t>
      </w:r>
    </w:p>
    <w:p>
      <w:pPr>
        <w:tabs>
          <w:tab w:val="left" w:pos="2700"/>
        </w:tabs>
        <w:spacing w:line="540" w:lineRule="exact"/>
        <w:ind w:firstLine="504" w:firstLineChars="180"/>
        <w:rPr>
          <w:rFonts w:ascii="宋体" w:hAnsi="宋体" w:hint="eastAsia"/>
          <w:b/>
          <w:bCs/>
          <w:sz w:val="28"/>
        </w:rPr>
      </w:pPr>
      <w:r>
        <w:rPr>
          <w:rFonts w:ascii="宋体" w:hAnsi="宋体" w:hint="eastAsia"/>
          <w:b/>
          <w:bCs/>
          <w:sz w:val="28"/>
        </w:rPr>
        <w:t>二、施工布置</w:t>
      </w:r>
    </w:p>
    <w:p>
      <w:pPr>
        <w:tabs>
          <w:tab w:val="left" w:pos="2700"/>
        </w:tabs>
        <w:spacing w:line="540" w:lineRule="exact"/>
        <w:ind w:firstLine="504" w:firstLineChars="180"/>
        <w:rPr>
          <w:rFonts w:hint="eastAsia"/>
          <w:sz w:val="28"/>
        </w:rPr>
      </w:pPr>
      <w:r>
        <w:rPr>
          <w:rFonts w:hint="eastAsia"/>
          <w:sz w:val="28"/>
        </w:rPr>
        <w:t>本工程我公司拟投入３套高喷设备3个施工队进场同时施工，先用一套设备进行高喷试验，并在桩号5+740~5+860、5+860~5+990、5+990~6+120分别选择适当位置设置一个水泥临时存放库，用砖石砼砌筑底座防止水泥受潮而凝聚；待高喷试验完成后在桩号5+740~5+860、5+860~5+990、5+990~6+120处分别支配一套、一套、三套、机组同时绽开高喷施工。</w:t>
      </w:r>
    </w:p>
    <w:p>
      <w:pPr>
        <w:tabs>
          <w:tab w:val="left" w:pos="2700"/>
        </w:tabs>
        <w:spacing w:line="540" w:lineRule="exact"/>
        <w:ind w:firstLine="504" w:firstLineChars="180"/>
        <w:rPr>
          <w:rFonts w:hint="eastAsia"/>
          <w:sz w:val="28"/>
        </w:rPr>
      </w:pPr>
      <w:r>
        <w:rPr>
          <w:rFonts w:hint="eastAsia"/>
          <w:sz w:val="28"/>
        </w:rPr>
        <w:t>工地现场设工地办公室，项目部设在就近村庄，并依据合同为监理和设计方打算必要的生活和办公场所。</w:t>
      </w:r>
    </w:p>
    <w:p>
      <w:pPr>
        <w:tabs>
          <w:tab w:val="left" w:pos="2700"/>
        </w:tabs>
        <w:spacing w:line="540" w:lineRule="exact"/>
        <w:ind w:firstLine="504" w:firstLineChars="180"/>
        <w:rPr>
          <w:rFonts w:hint="eastAsia"/>
          <w:sz w:val="28"/>
        </w:rPr>
      </w:pPr>
      <w:r>
        <w:rPr>
          <w:rFonts w:hint="eastAsia"/>
          <w:sz w:val="28"/>
        </w:rPr>
        <w:t>通讯方面，项目部主要负责人都已配有手机，我公司还将与当地电信部门取得联系，安装电话保持对外通讯畅通，工地各施工点配备对讲机，保持对内联系便利。</w:t>
      </w:r>
    </w:p>
    <w:p>
      <w:pPr>
        <w:tabs>
          <w:tab w:val="left" w:pos="2700"/>
        </w:tabs>
        <w:spacing w:line="540" w:lineRule="exact"/>
        <w:ind w:firstLine="504" w:firstLineChars="180"/>
        <w:rPr>
          <w:rFonts w:ascii="宋体" w:hAnsi="宋体" w:hint="eastAsia"/>
          <w:b/>
          <w:bCs/>
          <w:sz w:val="28"/>
        </w:rPr>
      </w:pPr>
      <w:r>
        <w:rPr>
          <w:rFonts w:hint="eastAsia"/>
          <w:b/>
          <w:bCs/>
          <w:sz w:val="28"/>
        </w:rPr>
        <w:t>详见施工总平面布置图</w:t>
      </w:r>
    </w:p>
    <w:p>
      <w:pPr>
        <w:spacing w:line="520" w:lineRule="exact"/>
        <w:ind w:firstLine="567"/>
        <w:rPr>
          <w:rFonts w:ascii="宋体" w:hAnsi="宋体" w:hint="eastAsia"/>
          <w:b/>
          <w:bCs/>
          <w:sz w:val="28"/>
        </w:rPr>
      </w:pPr>
      <w:r>
        <w:rPr>
          <w:rFonts w:ascii="宋体" w:hAnsi="宋体" w:hint="eastAsia"/>
          <w:b/>
          <w:bCs/>
          <w:sz w:val="28"/>
        </w:rPr>
        <w:t>三、主要原材料供应支配</w:t>
      </w:r>
    </w:p>
    <w:p>
      <w:pPr>
        <w:spacing w:line="520" w:lineRule="exact"/>
        <w:ind w:firstLine="567"/>
        <w:rPr>
          <w:rFonts w:ascii="宋体" w:hAnsi="宋体" w:hint="eastAsia"/>
          <w:sz w:val="28"/>
        </w:rPr>
      </w:pPr>
      <w:r>
        <w:rPr>
          <w:rFonts w:ascii="宋体" w:hAnsi="宋体" w:hint="eastAsia"/>
          <w:sz w:val="28"/>
        </w:rPr>
        <w:t>本工程施工的主要材料水泥，材料均采纳外购解决。以上主要原材料购买厂家商品成料，运至工地仓库存放。工程总计水泥用量3300T，为满足进度要求每月保证水泥供应共计1500t，其他柴油、机械配件等生产协助材料一般存放全部工期用料。</w:t>
      </w:r>
    </w:p>
    <w:p>
      <w:pPr>
        <w:spacing w:line="520" w:lineRule="exact"/>
        <w:ind w:firstLine="567"/>
        <w:rPr>
          <w:rFonts w:ascii="宋体" w:hAnsi="宋体" w:hint="eastAsia"/>
          <w:b/>
          <w:bCs/>
          <w:sz w:val="28"/>
        </w:rPr>
      </w:pPr>
      <w:r>
        <w:rPr>
          <w:rFonts w:ascii="宋体" w:hAnsi="宋体" w:hint="eastAsia"/>
          <w:b/>
          <w:bCs/>
          <w:sz w:val="28"/>
        </w:rPr>
        <w:t>四、劳动力供应支配</w:t>
      </w:r>
    </w:p>
    <w:p>
      <w:pPr>
        <w:spacing w:line="520" w:lineRule="exact"/>
        <w:ind w:firstLine="567"/>
        <w:rPr>
          <w:rFonts w:ascii="宋体" w:hAnsi="宋体" w:hint="eastAsia"/>
          <w:sz w:val="28"/>
        </w:rPr>
      </w:pPr>
      <w:r>
        <w:rPr>
          <w:rFonts w:ascii="宋体" w:hAnsi="宋体" w:hint="eastAsia"/>
          <w:sz w:val="28"/>
        </w:rPr>
        <w:t>本工程的所需的主要人员有管理人员、技术人员和工人，依据本工程的施工强度和机械设备运用状况，确定本工程共需管理人员10人，技术人员15人，工人165其中部分普工从当地聘请。</w:t>
      </w:r>
    </w:p>
    <w:p>
      <w:pPr>
        <w:spacing w:line="520" w:lineRule="exact"/>
        <w:ind w:firstLine="567"/>
        <w:rPr>
          <w:rFonts w:ascii="宋体" w:hAnsi="宋体" w:hint="eastAsia"/>
          <w:b/>
          <w:bCs/>
          <w:sz w:val="28"/>
        </w:rPr>
      </w:pPr>
      <w:r>
        <w:rPr>
          <w:rFonts w:ascii="宋体" w:hAnsi="宋体" w:hint="eastAsia"/>
          <w:b/>
          <w:bCs/>
          <w:sz w:val="28"/>
        </w:rPr>
        <w:t>五、施工机械设备配制支配</w:t>
      </w:r>
    </w:p>
    <w:p>
      <w:pPr>
        <w:spacing w:line="520" w:lineRule="exact"/>
        <w:ind w:firstLine="567"/>
        <w:rPr>
          <w:rFonts w:ascii="宋体" w:hAnsi="宋体" w:hint="eastAsia"/>
          <w:sz w:val="28"/>
        </w:rPr>
      </w:pPr>
      <w:r>
        <w:rPr>
          <w:rFonts w:ascii="宋体" w:hAnsi="宋体" w:hint="eastAsia"/>
          <w:sz w:val="28"/>
        </w:rPr>
        <w:t>本工程施工总工期2个月零15天。本工程高喷灌浆工程量57901M ，每月按20个实际工作日（考虑下雨）计，每月要完成高喷钻2856M，高喷灌浆2258M，</w:t>
      </w:r>
      <w:r>
        <w:rPr>
          <w:rFonts w:ascii="宋体" w:hAnsi="宋体" w:hint="eastAsia"/>
          <w:sz w:val="28"/>
        </w:rPr>
        <w:t>××</w:t>
      </w:r>
      <w:r>
        <w:rPr>
          <w:rFonts w:ascii="宋体" w:hAnsi="宋体" w:hint="eastAsia"/>
          <w:sz w:val="28"/>
        </w:rPr>
        <w:t>土方拆除工程每月完成9500M</w:t>
      </w:r>
      <w:r>
        <w:rPr>
          <w:rFonts w:ascii="宋体" w:hAnsi="宋体" w:hint="eastAsia"/>
          <w:sz w:val="28"/>
          <w:vertAlign w:val="superscript"/>
        </w:rPr>
        <w:t>3</w:t>
      </w:r>
      <w:r>
        <w:rPr>
          <w:rFonts w:ascii="宋体" w:hAnsi="宋体" w:hint="eastAsia"/>
          <w:sz w:val="28"/>
        </w:rPr>
        <w:t>。为确保工程进度拟投入以下机械设备：</w:t>
      </w:r>
      <w:r>
        <w:rPr>
          <w:rFonts w:ascii="宋体" w:hAnsi="宋体" w:hint="eastAsia"/>
          <w:sz w:val="28"/>
        </w:rPr>
        <w:br/>
      </w:r>
      <w:r>
        <w:rPr>
          <w:rFonts w:ascii="宋体" w:hAnsi="宋体"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https://d.book118.com/097024200133006040</w:t>
        </w:r>
      </w:hyperlink>
    </w:p>
    <w:p>
      <w:pPr>
        <w:spacing w:line="520" w:lineRule="exact"/>
        <w:ind w:firstLine="567"/>
        <w:rPr>
          <w:rFonts w:ascii="宋体" w:hAnsi="宋体" w:hint="eastAsia"/>
          <w:sz w:val="28"/>
        </w:rPr>
      </w:pPr>
    </w:p>
    <w:sectPr>
      <w:type w:val="nextPage"/>
      <w:pgSz w:w="11906" w:h="16838"/>
      <w:pgMar w:top="935"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华文行楷">
    <w:panose1 w:val="02010800040101010101"/>
    <w:charset w:val="86"/>
    <w:family w:val="auto"/>
    <w:pitch w:val="variable"/>
    <w:sig w:usb0="00000001" w:usb1="080F0000" w:usb2="00000010" w:usb3="00000000" w:csb0="00040000" w:csb1="00000000"/>
  </w:font>
  <w:font w:name="GungsuhChe">
    <w:panose1 w:val="02030609000101010101"/>
    <w:charset w:val="81"/>
    <w:family w:val="modern"/>
    <w:pitch w:val="fixed"/>
    <w:sig w:usb0="B00002AF" w:usb1="69D77CFB" w:usb2="00000030" w:usb3="00000000" w:csb0="0008009F" w:csb1="00000000"/>
  </w:font>
  <w:font w:name="Courier New">
    <w:panose1 w:val="02070309020205020404"/>
    <w:charset w:val="00"/>
    <w:family w:val="modern"/>
    <w:pitch w:val="fixed"/>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1C6BB6"/>
    <w:multiLevelType w:val="hybridMultilevel"/>
    <w:tmpl w:val="0B4EF0DA"/>
    <w:lvl w:ilvl="0">
      <w:start w:val="1"/>
      <w:numFmt w:val="japaneseCounting"/>
      <w:lvlText w:val="%1、"/>
      <w:lvlJc w:val="left"/>
      <w:pPr>
        <w:tabs>
          <w:tab w:val="num" w:pos="1287"/>
        </w:tabs>
        <w:ind w:left="1287" w:hanging="720"/>
      </w:pPr>
      <w:rPr>
        <w:rFonts w:hint="eastAsia"/>
        <w:sz w:val="28"/>
      </w:rPr>
    </w:lvl>
    <w:lvl w:ilvl="1" w:tentative="1">
      <w:start w:val="1"/>
      <w:numFmt w:val="lowerLetter"/>
      <w:lvlText w:val="%2)"/>
      <w:lvlJc w:val="left"/>
      <w:pPr>
        <w:tabs>
          <w:tab w:val="num" w:pos="1407"/>
        </w:tabs>
        <w:ind w:left="1407" w:hanging="420"/>
      </w:pPr>
    </w:lvl>
    <w:lvl w:ilvl="2" w:tentative="1">
      <w:start w:val="1"/>
      <w:numFmt w:val="lowerRoman"/>
      <w:lvlText w:val="%3."/>
      <w:lvlJc w:val="right"/>
      <w:pPr>
        <w:tabs>
          <w:tab w:val="num" w:pos="1827"/>
        </w:tabs>
        <w:ind w:left="1827" w:hanging="420"/>
      </w:pPr>
    </w:lvl>
    <w:lvl w:ilvl="3" w:tentative="1">
      <w:start w:val="1"/>
      <w:numFmt w:val="decimal"/>
      <w:lvlText w:val="%4."/>
      <w:lvlJc w:val="left"/>
      <w:pPr>
        <w:tabs>
          <w:tab w:val="num" w:pos="2247"/>
        </w:tabs>
        <w:ind w:left="2247" w:hanging="420"/>
      </w:pPr>
    </w:lvl>
    <w:lvl w:ilvl="4" w:tentative="1">
      <w:start w:val="1"/>
      <w:numFmt w:val="lowerLetter"/>
      <w:lvlText w:val="%5)"/>
      <w:lvlJc w:val="left"/>
      <w:pPr>
        <w:tabs>
          <w:tab w:val="num" w:pos="2667"/>
        </w:tabs>
        <w:ind w:left="2667" w:hanging="420"/>
      </w:pPr>
    </w:lvl>
    <w:lvl w:ilvl="5" w:tentative="1">
      <w:start w:val="1"/>
      <w:numFmt w:val="lowerRoman"/>
      <w:lvlText w:val="%6."/>
      <w:lvlJc w:val="right"/>
      <w:pPr>
        <w:tabs>
          <w:tab w:val="num" w:pos="3087"/>
        </w:tabs>
        <w:ind w:left="3087" w:hanging="420"/>
      </w:pPr>
    </w:lvl>
    <w:lvl w:ilvl="6" w:tentative="1">
      <w:start w:val="1"/>
      <w:numFmt w:val="decimal"/>
      <w:lvlText w:val="%7."/>
      <w:lvlJc w:val="left"/>
      <w:pPr>
        <w:tabs>
          <w:tab w:val="num" w:pos="3507"/>
        </w:tabs>
        <w:ind w:left="3507" w:hanging="420"/>
      </w:pPr>
    </w:lvl>
    <w:lvl w:ilvl="7" w:tentative="1">
      <w:start w:val="1"/>
      <w:numFmt w:val="lowerLetter"/>
      <w:lvlText w:val="%8)"/>
      <w:lvlJc w:val="left"/>
      <w:pPr>
        <w:tabs>
          <w:tab w:val="num" w:pos="3927"/>
        </w:tabs>
        <w:ind w:left="3927" w:hanging="420"/>
      </w:pPr>
    </w:lvl>
    <w:lvl w:ilvl="8" w:tentative="1">
      <w:start w:val="1"/>
      <w:numFmt w:val="lowerRoman"/>
      <w:lvlText w:val="%9."/>
      <w:lvlJc w:val="right"/>
      <w:pPr>
        <w:tabs>
          <w:tab w:val="num" w:pos="4347"/>
        </w:tabs>
        <w:ind w:left="4347" w:hanging="420"/>
      </w:pPr>
    </w:lvl>
  </w:abstractNum>
  <w:abstractNum w:abstractNumId="1">
    <w:nsid w:val="1B1955F4"/>
    <w:multiLevelType w:val="hybridMultilevel"/>
    <w:tmpl w:val="1DA81D08"/>
    <w:lvl w:ilvl="0">
      <w:start w:val="1"/>
      <w:numFmt w:val="decimal"/>
      <w:lvlText w:val="（%1）"/>
      <w:lvlJc w:val="left"/>
      <w:pPr>
        <w:tabs>
          <w:tab w:val="num" w:pos="1287"/>
        </w:tabs>
        <w:ind w:left="1287" w:hanging="720"/>
      </w:pPr>
      <w:rPr>
        <w:rFonts w:hint="eastAsia"/>
      </w:rPr>
    </w:lvl>
    <w:lvl w:ilvl="1" w:tentative="1">
      <w:start w:val="1"/>
      <w:numFmt w:val="lowerLetter"/>
      <w:lvlText w:val="%2)"/>
      <w:lvlJc w:val="left"/>
      <w:pPr>
        <w:tabs>
          <w:tab w:val="num" w:pos="1407"/>
        </w:tabs>
        <w:ind w:left="1407" w:hanging="420"/>
      </w:pPr>
    </w:lvl>
    <w:lvl w:ilvl="2" w:tentative="1">
      <w:start w:val="1"/>
      <w:numFmt w:val="lowerRoman"/>
      <w:lvlText w:val="%3."/>
      <w:lvlJc w:val="right"/>
      <w:pPr>
        <w:tabs>
          <w:tab w:val="num" w:pos="1827"/>
        </w:tabs>
        <w:ind w:left="1827" w:hanging="420"/>
      </w:pPr>
    </w:lvl>
    <w:lvl w:ilvl="3" w:tentative="1">
      <w:start w:val="1"/>
      <w:numFmt w:val="decimal"/>
      <w:lvlText w:val="%4."/>
      <w:lvlJc w:val="left"/>
      <w:pPr>
        <w:tabs>
          <w:tab w:val="num" w:pos="2247"/>
        </w:tabs>
        <w:ind w:left="2247" w:hanging="420"/>
      </w:pPr>
    </w:lvl>
    <w:lvl w:ilvl="4" w:tentative="1">
      <w:start w:val="1"/>
      <w:numFmt w:val="lowerLetter"/>
      <w:lvlText w:val="%5)"/>
      <w:lvlJc w:val="left"/>
      <w:pPr>
        <w:tabs>
          <w:tab w:val="num" w:pos="2667"/>
        </w:tabs>
        <w:ind w:left="2667" w:hanging="420"/>
      </w:pPr>
    </w:lvl>
    <w:lvl w:ilvl="5" w:tentative="1">
      <w:start w:val="1"/>
      <w:numFmt w:val="lowerRoman"/>
      <w:lvlText w:val="%6."/>
      <w:lvlJc w:val="right"/>
      <w:pPr>
        <w:tabs>
          <w:tab w:val="num" w:pos="3087"/>
        </w:tabs>
        <w:ind w:left="3087" w:hanging="420"/>
      </w:pPr>
    </w:lvl>
    <w:lvl w:ilvl="6" w:tentative="1">
      <w:start w:val="1"/>
      <w:numFmt w:val="decimal"/>
      <w:lvlText w:val="%7."/>
      <w:lvlJc w:val="left"/>
      <w:pPr>
        <w:tabs>
          <w:tab w:val="num" w:pos="3507"/>
        </w:tabs>
        <w:ind w:left="3507" w:hanging="420"/>
      </w:pPr>
    </w:lvl>
    <w:lvl w:ilvl="7" w:tentative="1">
      <w:start w:val="1"/>
      <w:numFmt w:val="lowerLetter"/>
      <w:lvlText w:val="%8)"/>
      <w:lvlJc w:val="left"/>
      <w:pPr>
        <w:tabs>
          <w:tab w:val="num" w:pos="3927"/>
        </w:tabs>
        <w:ind w:left="3927" w:hanging="420"/>
      </w:pPr>
    </w:lvl>
    <w:lvl w:ilvl="8" w:tentative="1">
      <w:start w:val="1"/>
      <w:numFmt w:val="lowerRoman"/>
      <w:lvlText w:val="%9."/>
      <w:lvlJc w:val="right"/>
      <w:pPr>
        <w:tabs>
          <w:tab w:val="num" w:pos="4347"/>
        </w:tabs>
        <w:ind w:left="4347" w:hanging="420"/>
      </w:pPr>
    </w:lvl>
  </w:abstractNum>
  <w:abstractNum w:abstractNumId="2">
    <w:nsid w:val="34236C58"/>
    <w:multiLevelType w:val="hybridMultilevel"/>
    <w:tmpl w:val="F4FC12F8"/>
    <w:lvl w:ilvl="0">
      <w:start w:val="1"/>
      <w:numFmt w:val="japaneseCounting"/>
      <w:lvlText w:val="第%1章"/>
      <w:lvlJc w:val="left"/>
      <w:pPr>
        <w:tabs>
          <w:tab w:val="num" w:pos="1125"/>
        </w:tabs>
        <w:ind w:left="1125" w:hanging="11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374B01B6"/>
    <w:multiLevelType w:val="hybridMultilevel"/>
    <w:tmpl w:val="5F98DD00"/>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3F962861"/>
    <w:multiLevelType w:val="hybridMultilevel"/>
    <w:tmpl w:val="4CEC6CC4"/>
    <w:lvl w:ilvl="0">
      <w:start w:val="1"/>
      <w:numFmt w:val="upperLetter"/>
      <w:lvlText w:val="%1、"/>
      <w:lvlJc w:val="left"/>
      <w:pPr>
        <w:tabs>
          <w:tab w:val="num" w:pos="1560"/>
        </w:tabs>
        <w:ind w:left="1560" w:hanging="720"/>
      </w:pPr>
      <w:rPr>
        <w:rFonts w:hint="eastAsia"/>
      </w:r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5">
    <w:nsid w:val="3FA025A1"/>
    <w:multiLevelType w:val="hybridMultilevel"/>
    <w:tmpl w:val="799CCEBA"/>
    <w:lvl w:ilvl="0">
      <w:start w:val="2"/>
      <w:numFmt w:val="decimal"/>
      <w:lvlText w:val="%1）"/>
      <w:lvlJc w:val="left"/>
      <w:pPr>
        <w:tabs>
          <w:tab w:val="num" w:pos="1440"/>
        </w:tabs>
        <w:ind w:left="1440" w:hanging="720"/>
      </w:pPr>
      <w:rPr>
        <w:rFonts w:hint="eastAsia"/>
      </w:rPr>
    </w:lvl>
    <w:lvl w:ilvl="1" w:tentative="1">
      <w:start w:val="1"/>
      <w:numFmt w:val="lowerLetter"/>
      <w:lvlText w:val="%2)"/>
      <w:lvlJc w:val="left"/>
      <w:pPr>
        <w:tabs>
          <w:tab w:val="num" w:pos="1560"/>
        </w:tabs>
        <w:ind w:left="1560" w:hanging="420"/>
      </w:p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6">
    <w:nsid w:val="53AB2100"/>
    <w:multiLevelType w:val="hybridMultilevel"/>
    <w:tmpl w:val="F4FC12F8"/>
    <w:lvl w:ilvl="0">
      <w:start w:val="1"/>
      <w:numFmt w:val="japaneseCounting"/>
      <w:lvlText w:val="第%1章"/>
      <w:lvlJc w:val="left"/>
      <w:pPr>
        <w:tabs>
          <w:tab w:val="num" w:pos="1125"/>
        </w:tabs>
        <w:ind w:left="1125" w:hanging="11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627A1C67"/>
    <w:multiLevelType w:val="hybridMultilevel"/>
    <w:tmpl w:val="25CA212E"/>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64F6052D"/>
    <w:multiLevelType w:val="hybridMultilevel"/>
    <w:tmpl w:val="90302C22"/>
    <w:lvl w:ilvl="0">
      <w:start w:val="2"/>
      <w:numFmt w:val="japaneseCounting"/>
      <w:lvlText w:val="（%1）"/>
      <w:lvlJc w:val="left"/>
      <w:pPr>
        <w:tabs>
          <w:tab w:val="num" w:pos="1422"/>
        </w:tabs>
        <w:ind w:left="1422" w:hanging="855"/>
      </w:pPr>
      <w:rPr>
        <w:rFonts w:hint="eastAsia"/>
      </w:rPr>
    </w:lvl>
    <w:lvl w:ilvl="1" w:tentative="1">
      <w:start w:val="1"/>
      <w:numFmt w:val="lowerLetter"/>
      <w:lvlText w:val="%2)"/>
      <w:lvlJc w:val="left"/>
      <w:pPr>
        <w:tabs>
          <w:tab w:val="num" w:pos="1407"/>
        </w:tabs>
        <w:ind w:left="1407" w:hanging="420"/>
      </w:pPr>
    </w:lvl>
    <w:lvl w:ilvl="2" w:tentative="1">
      <w:start w:val="1"/>
      <w:numFmt w:val="lowerRoman"/>
      <w:lvlText w:val="%3."/>
      <w:lvlJc w:val="right"/>
      <w:pPr>
        <w:tabs>
          <w:tab w:val="num" w:pos="1827"/>
        </w:tabs>
        <w:ind w:left="1827" w:hanging="420"/>
      </w:pPr>
    </w:lvl>
    <w:lvl w:ilvl="3" w:tentative="1">
      <w:start w:val="1"/>
      <w:numFmt w:val="decimal"/>
      <w:lvlText w:val="%4."/>
      <w:lvlJc w:val="left"/>
      <w:pPr>
        <w:tabs>
          <w:tab w:val="num" w:pos="2247"/>
        </w:tabs>
        <w:ind w:left="2247" w:hanging="420"/>
      </w:pPr>
    </w:lvl>
    <w:lvl w:ilvl="4" w:tentative="1">
      <w:start w:val="1"/>
      <w:numFmt w:val="lowerLetter"/>
      <w:lvlText w:val="%5)"/>
      <w:lvlJc w:val="left"/>
      <w:pPr>
        <w:tabs>
          <w:tab w:val="num" w:pos="2667"/>
        </w:tabs>
        <w:ind w:left="2667" w:hanging="420"/>
      </w:pPr>
    </w:lvl>
    <w:lvl w:ilvl="5" w:tentative="1">
      <w:start w:val="1"/>
      <w:numFmt w:val="lowerRoman"/>
      <w:lvlText w:val="%6."/>
      <w:lvlJc w:val="right"/>
      <w:pPr>
        <w:tabs>
          <w:tab w:val="num" w:pos="3087"/>
        </w:tabs>
        <w:ind w:left="3087" w:hanging="420"/>
      </w:pPr>
    </w:lvl>
    <w:lvl w:ilvl="6" w:tentative="1">
      <w:start w:val="1"/>
      <w:numFmt w:val="decimal"/>
      <w:lvlText w:val="%7."/>
      <w:lvlJc w:val="left"/>
      <w:pPr>
        <w:tabs>
          <w:tab w:val="num" w:pos="3507"/>
        </w:tabs>
        <w:ind w:left="3507" w:hanging="420"/>
      </w:pPr>
    </w:lvl>
    <w:lvl w:ilvl="7" w:tentative="1">
      <w:start w:val="1"/>
      <w:numFmt w:val="lowerLetter"/>
      <w:lvlText w:val="%8)"/>
      <w:lvlJc w:val="left"/>
      <w:pPr>
        <w:tabs>
          <w:tab w:val="num" w:pos="3927"/>
        </w:tabs>
        <w:ind w:left="3927" w:hanging="420"/>
      </w:pPr>
    </w:lvl>
    <w:lvl w:ilvl="8" w:tentative="1">
      <w:start w:val="1"/>
      <w:numFmt w:val="lowerRoman"/>
      <w:lvlText w:val="%9."/>
      <w:lvlJc w:val="right"/>
      <w:pPr>
        <w:tabs>
          <w:tab w:val="num" w:pos="4347"/>
        </w:tabs>
        <w:ind w:left="4347" w:hanging="420"/>
      </w:pPr>
    </w:lvl>
  </w:abstractNum>
  <w:num w:numId="1">
    <w:abstractNumId w:val="5"/>
  </w:num>
  <w:num w:numId="2">
    <w:abstractNumId w:val="1"/>
  </w:num>
  <w:num w:numId="3">
    <w:abstractNumId w:val="4"/>
  </w:num>
  <w:num w:numId="4">
    <w:abstractNumId w:val="8"/>
  </w:num>
  <w:num w:numId="5">
    <w:abstractNumId w:val="0"/>
  </w:num>
  <w:num w:numId="6">
    <w:abstractNumId w:val="3"/>
  </w:num>
  <w:num w:numId="7">
    <w:abstractNumId w:val="7"/>
  </w:num>
  <w:num w:numId="8">
    <w:abstractNumId w:val="2"/>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uiPriority w:val="9"/>
    <w:qFormat/>
    <w:pPr>
      <w:widowControl/>
      <w:spacing w:before="100" w:beforeAutospacing="1" w:after="100" w:afterAutospacing="1"/>
      <w:jc w:val="left"/>
      <w:outlineLvl w:val="0"/>
    </w:pPr>
    <w:rPr>
      <w:rFonts w:ascii="宋体" w:hAnsi="宋体" w:cs="宋体"/>
      <w:b/>
      <w:bCs/>
      <w:kern w:val="36"/>
      <w:sz w:val="48"/>
      <w:szCs w:val="48"/>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uiPriority w:val="22"/>
    <w:qFormat/>
    <w:rPr>
      <w:b/>
      <w:bCs/>
    </w:rPr>
  </w:style>
  <w:style w:type="character" w:styleId="Hyperlink">
    <w:name w:val="Hyperlink"/>
    <w:basedOn w:val="DefaultParagraphFont"/>
    <w:rPr>
      <w:color w:val="0000FF"/>
      <w:u w:val="none"/>
      <w:effect w:val="none"/>
    </w:rPr>
  </w:style>
  <w:style w:type="paragraph" w:styleId="PlainText">
    <w:name w:val="Plain Text"/>
    <w:basedOn w:val="Normal"/>
    <w:rPr>
      <w:rFonts w:ascii="宋体" w:hAnsi="Courier New" w:cs="Courier New"/>
      <w:szCs w:val="21"/>
    </w:rPr>
  </w:style>
  <w:style w:type="paragraph" w:styleId="BodyTextIndent3">
    <w:name w:val="Body Text Indent 3"/>
    <w:basedOn w:val="Normal"/>
    <w:pPr>
      <w:spacing w:line="520" w:lineRule="exact"/>
      <w:ind w:firstLine="567"/>
    </w:pPr>
    <w:rPr>
      <w:sz w:val="28"/>
    </w:rPr>
  </w:style>
  <w:style w:type="paragraph" w:styleId="BodyTextIndent2">
    <w:name w:val="Body Text Indent 2"/>
    <w:basedOn w:val="Normal"/>
    <w:pPr>
      <w:ind w:firstLine="720" w:firstLineChars="257"/>
    </w:pPr>
    <w:rPr>
      <w:rFonts w:ascii="宋体" w:hAnsi="宋体"/>
      <w:sz w:val="28"/>
    </w:rPr>
  </w:style>
  <w:style w:type="character" w:styleId="PageNumber">
    <w:name w:val="page number"/>
    <w:basedOn w:val="DefaultParagraphFont"/>
  </w:style>
  <w:style w:type="paragraph" w:styleId="Footer">
    <w:name w:val="footer"/>
    <w:basedOn w:val="Normal"/>
    <w:pPr>
      <w:tabs>
        <w:tab w:val="center" w:pos="4153"/>
        <w:tab w:val="right" w:pos="8306"/>
      </w:tabs>
      <w:snapToGrid w:val="0"/>
      <w:jc w:val="left"/>
    </w:pPr>
    <w:rPr>
      <w:sz w:val="18"/>
      <w:szCs w:val="18"/>
    </w:rPr>
  </w:style>
  <w:style w:type="paragraph" w:styleId="Date">
    <w:name w:val="Date"/>
    <w:basedOn w:val="Normal"/>
    <w:next w:val="Normal"/>
    <w:rPr>
      <w:rFonts w:ascii="楷体_GB2312" w:eastAsia="楷体_GB2312" w:hAnsi="宋体"/>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97024200133006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6</Pages>
  <Words>1945</Words>
  <Characters>11092</Characters>
  <Application>Microsoft Office Word</Application>
  <DocSecurity>0</DocSecurity>
  <Lines>92</Lines>
  <Paragraphs>22</Paragraphs>
  <ScaleCrop>false</ScaleCrop>
  <HeadingPairs>
    <vt:vector size="2" baseType="variant">
      <vt:variant>
        <vt:lpstr>题目</vt:lpstr>
      </vt:variant>
      <vt:variant>
        <vt:i4>1</vt:i4>
      </vt:variant>
    </vt:vector>
  </HeadingPairs>
  <TitlesOfParts>
    <vt:vector size="1" baseType="lpstr">
      <vt:lpstr>说  明</vt:lpstr>
    </vt:vector>
  </TitlesOfParts>
  <Company/>
  <LinksUpToDate>false</LinksUpToDate>
  <CharactersWithSpaces>13621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2009-02-21T04:26:00Z</dcterms:created>
  <dcterms:modified xsi:type="dcterms:W3CDTF">2009-02-21T04:26:00Z</dcterms:modified>
</cp:coreProperties>
</file>