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水杨酸锌改性树脂(无碳复写纸显色剂)项目规划设计纲要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88" w:history="1">
        <w:r>
          <w:rPr>
            <w:rFonts w:ascii="仿宋" w:eastAsia="仿宋" w:hAnsi="仿宋" w:cs="仿宋" w:hint="eastAsia"/>
            <w:lang w:eastAsia="zh-CN"/>
          </w:rPr>
          <w:t>概论</w:t>
        </w:r>
        <w:r>
          <w:tab/>
        </w:r>
        <w:r>
          <w:fldChar w:fldCharType="begin"/>
        </w:r>
        <w:r>
          <w:instrText xml:space="preserve"> PAGEREF _Toc15688 \h </w:instrText>
        </w:r>
        <w:r>
          <w:fldChar w:fldCharType="separate"/>
        </w:r>
        <w:r>
          <w:t>3</w:t>
        </w:r>
        <w:r>
          <w:fldChar w:fldCharType="end"/>
        </w:r>
      </w:hyperlink>
    </w:p>
    <w:p>
      <w:pPr>
        <w:pStyle w:val="TOC1"/>
        <w:tabs>
          <w:tab w:val="right" w:leader="dot" w:pos="8306"/>
        </w:tabs>
      </w:pPr>
      <w:hyperlink w:anchor="_Toc28905" w:history="1">
        <w:r>
          <w:rPr>
            <w:rFonts w:ascii="仿宋" w:eastAsia="仿宋" w:hAnsi="仿宋" w:cs="仿宋" w:hint="eastAsia"/>
            <w:lang w:eastAsia="zh-CN"/>
          </w:rPr>
          <w:t>一、水杨酸锌改性树脂(无碳复写纸显色剂)项目建设背景及必要性分析</w:t>
        </w:r>
        <w:r>
          <w:tab/>
        </w:r>
        <w:r>
          <w:fldChar w:fldCharType="begin"/>
        </w:r>
        <w:r>
          <w:instrText xml:space="preserve"> PAGEREF _Toc28905 \h </w:instrText>
        </w:r>
        <w:r>
          <w:fldChar w:fldCharType="separate"/>
        </w:r>
        <w:r>
          <w:t>3</w:t>
        </w:r>
        <w:r>
          <w:fldChar w:fldCharType="end"/>
        </w:r>
      </w:hyperlink>
    </w:p>
    <w:p>
      <w:pPr>
        <w:pStyle w:val="TOC2"/>
        <w:tabs>
          <w:tab w:val="right" w:leader="dot" w:pos="8306"/>
        </w:tabs>
      </w:pPr>
      <w:hyperlink w:anchor="_Toc201" w:history="1">
        <w:r>
          <w:rPr>
            <w:rFonts w:ascii="仿宋" w:eastAsia="仿宋" w:hAnsi="仿宋" w:cs="仿宋" w:hint="eastAsia"/>
            <w:lang w:eastAsia="zh-CN"/>
          </w:rPr>
          <w:t>(一)、水杨酸锌改性树脂(无碳复写纸显色剂)项目背景分析</w:t>
        </w:r>
        <w:r>
          <w:tab/>
        </w:r>
        <w:r>
          <w:fldChar w:fldCharType="begin"/>
        </w:r>
        <w:r>
          <w:instrText xml:space="preserve"> PAGEREF _Toc201 \h </w:instrText>
        </w:r>
        <w:r>
          <w:fldChar w:fldCharType="separate"/>
        </w:r>
        <w:r>
          <w:t>3</w:t>
        </w:r>
        <w:r>
          <w:fldChar w:fldCharType="end"/>
        </w:r>
      </w:hyperlink>
    </w:p>
    <w:p>
      <w:pPr>
        <w:pStyle w:val="TOC2"/>
        <w:tabs>
          <w:tab w:val="right" w:leader="dot" w:pos="8306"/>
        </w:tabs>
      </w:pPr>
      <w:hyperlink w:anchor="_Toc20" w:history="1">
        <w:r>
          <w:rPr>
            <w:rFonts w:ascii="仿宋" w:eastAsia="仿宋" w:hAnsi="仿宋" w:cs="仿宋" w:hint="eastAsia"/>
            <w:lang w:eastAsia="zh-CN"/>
          </w:rPr>
          <w:t>(二)、水杨酸锌改性树脂(无碳复写纸显色剂)项目建设必要性分析</w:t>
        </w:r>
        <w:r>
          <w:tab/>
        </w:r>
        <w:r>
          <w:fldChar w:fldCharType="begin"/>
        </w:r>
        <w:r>
          <w:instrText xml:space="preserve"> PAGEREF _Toc20 \h </w:instrText>
        </w:r>
        <w:r>
          <w:fldChar w:fldCharType="separate"/>
        </w:r>
        <w:r>
          <w:t>5</w:t>
        </w:r>
        <w:r>
          <w:fldChar w:fldCharType="end"/>
        </w:r>
      </w:hyperlink>
    </w:p>
    <w:p>
      <w:pPr>
        <w:pStyle w:val="TOC1"/>
        <w:tabs>
          <w:tab w:val="right" w:leader="dot" w:pos="8306"/>
        </w:tabs>
      </w:pPr>
      <w:hyperlink w:anchor="_Toc10213" w:history="1">
        <w:r>
          <w:rPr>
            <w:rFonts w:ascii="仿宋" w:eastAsia="仿宋" w:hAnsi="仿宋" w:cs="仿宋" w:hint="eastAsia"/>
            <w:lang w:eastAsia="zh-CN"/>
          </w:rPr>
          <w:t>二、市场分析、调研</w:t>
        </w:r>
        <w:r>
          <w:tab/>
        </w:r>
        <w:r>
          <w:fldChar w:fldCharType="begin"/>
        </w:r>
        <w:r>
          <w:instrText xml:space="preserve"> PAGEREF _Toc10213 \h </w:instrText>
        </w:r>
        <w:r>
          <w:fldChar w:fldCharType="separate"/>
        </w:r>
        <w:r>
          <w:t>7</w:t>
        </w:r>
        <w:r>
          <w:fldChar w:fldCharType="end"/>
        </w:r>
      </w:hyperlink>
    </w:p>
    <w:p>
      <w:pPr>
        <w:pStyle w:val="TOC2"/>
        <w:tabs>
          <w:tab w:val="right" w:leader="dot" w:pos="8306"/>
        </w:tabs>
      </w:pPr>
      <w:hyperlink w:anchor="_Toc26634" w:history="1">
        <w:r>
          <w:rPr>
            <w:rFonts w:ascii="仿宋" w:eastAsia="仿宋" w:hAnsi="仿宋" w:cs="仿宋" w:hint="eastAsia"/>
            <w:lang w:eastAsia="zh-CN"/>
          </w:rPr>
          <w:t>(一)、水杨酸锌改性树脂(无碳复写纸显色剂)行业分析</w:t>
        </w:r>
        <w:r>
          <w:tab/>
        </w:r>
        <w:r>
          <w:fldChar w:fldCharType="begin"/>
        </w:r>
        <w:r>
          <w:instrText xml:space="preserve"> PAGEREF _Toc26634 \h </w:instrText>
        </w:r>
        <w:r>
          <w:fldChar w:fldCharType="separate"/>
        </w:r>
        <w:r>
          <w:t>7</w:t>
        </w:r>
        <w:r>
          <w:fldChar w:fldCharType="end"/>
        </w:r>
      </w:hyperlink>
    </w:p>
    <w:p>
      <w:pPr>
        <w:pStyle w:val="TOC2"/>
        <w:tabs>
          <w:tab w:val="right" w:leader="dot" w:pos="8306"/>
        </w:tabs>
      </w:pPr>
      <w:hyperlink w:anchor="_Toc18112" w:history="1">
        <w:r>
          <w:rPr>
            <w:rFonts w:ascii="仿宋" w:eastAsia="仿宋" w:hAnsi="仿宋" w:cs="仿宋" w:hint="eastAsia"/>
            <w:lang w:eastAsia="zh-CN"/>
          </w:rPr>
          <w:t>(二)、水杨酸锌改性树脂(无碳复写纸显色剂)市场分析预测</w:t>
        </w:r>
        <w:r>
          <w:tab/>
        </w:r>
        <w:r>
          <w:fldChar w:fldCharType="begin"/>
        </w:r>
        <w:r>
          <w:instrText xml:space="preserve"> PAGEREF _Toc18112 \h </w:instrText>
        </w:r>
        <w:r>
          <w:fldChar w:fldCharType="separate"/>
        </w:r>
        <w:r>
          <w:t>8</w:t>
        </w:r>
        <w:r>
          <w:fldChar w:fldCharType="end"/>
        </w:r>
      </w:hyperlink>
    </w:p>
    <w:p>
      <w:pPr>
        <w:pStyle w:val="TOC1"/>
        <w:tabs>
          <w:tab w:val="right" w:leader="dot" w:pos="8306"/>
        </w:tabs>
      </w:pPr>
      <w:hyperlink w:anchor="_Toc15195" w:history="1">
        <w:r>
          <w:rPr>
            <w:rFonts w:ascii="仿宋" w:eastAsia="仿宋" w:hAnsi="仿宋" w:cs="仿宋" w:hint="eastAsia"/>
            <w:lang w:eastAsia="zh-CN"/>
          </w:rPr>
          <w:t>三、水杨酸锌改性树脂(无碳复写纸显色剂)项目危机管理</w:t>
        </w:r>
        <w:r>
          <w:tab/>
        </w:r>
        <w:r>
          <w:fldChar w:fldCharType="begin"/>
        </w:r>
        <w:r>
          <w:instrText xml:space="preserve"> PAGEREF _Toc15195 \h </w:instrText>
        </w:r>
        <w:r>
          <w:fldChar w:fldCharType="separate"/>
        </w:r>
        <w:r>
          <w:t>9</w:t>
        </w:r>
        <w:r>
          <w:fldChar w:fldCharType="end"/>
        </w:r>
      </w:hyperlink>
    </w:p>
    <w:p>
      <w:pPr>
        <w:pStyle w:val="TOC2"/>
        <w:tabs>
          <w:tab w:val="right" w:leader="dot" w:pos="8306"/>
        </w:tabs>
      </w:pPr>
      <w:hyperlink w:anchor="_Toc8383" w:history="1">
        <w:r>
          <w:rPr>
            <w:rFonts w:ascii="仿宋" w:eastAsia="仿宋" w:hAnsi="仿宋" w:cs="仿宋" w:hint="eastAsia"/>
            <w:lang w:eastAsia="zh-CN"/>
          </w:rPr>
          <w:t>(一)、危机预警与识别</w:t>
        </w:r>
        <w:r>
          <w:tab/>
        </w:r>
        <w:r>
          <w:fldChar w:fldCharType="begin"/>
        </w:r>
        <w:r>
          <w:instrText xml:space="preserve"> PAGEREF _Toc8383 \h </w:instrText>
        </w:r>
        <w:r>
          <w:fldChar w:fldCharType="separate"/>
        </w:r>
        <w:r>
          <w:t>9</w:t>
        </w:r>
        <w:r>
          <w:fldChar w:fldCharType="end"/>
        </w:r>
      </w:hyperlink>
    </w:p>
    <w:p>
      <w:pPr>
        <w:pStyle w:val="TOC2"/>
        <w:tabs>
          <w:tab w:val="right" w:leader="dot" w:pos="8306"/>
        </w:tabs>
      </w:pPr>
      <w:hyperlink w:anchor="_Toc1705" w:history="1">
        <w:r>
          <w:rPr>
            <w:rFonts w:ascii="仿宋" w:eastAsia="仿宋" w:hAnsi="仿宋" w:cs="仿宋" w:hint="eastAsia"/>
            <w:lang w:eastAsia="zh-CN"/>
          </w:rPr>
          <w:t>(二)、危机应对与恢复</w:t>
        </w:r>
        <w:r>
          <w:tab/>
        </w:r>
        <w:r>
          <w:fldChar w:fldCharType="begin"/>
        </w:r>
        <w:r>
          <w:instrText xml:space="preserve"> PAGEREF _Toc1705 \h </w:instrText>
        </w:r>
        <w:r>
          <w:fldChar w:fldCharType="separate"/>
        </w:r>
        <w:r>
          <w:t>10</w:t>
        </w:r>
        <w:r>
          <w:fldChar w:fldCharType="end"/>
        </w:r>
      </w:hyperlink>
    </w:p>
    <w:p>
      <w:pPr>
        <w:pStyle w:val="TOC1"/>
        <w:tabs>
          <w:tab w:val="right" w:leader="dot" w:pos="8306"/>
        </w:tabs>
      </w:pPr>
      <w:hyperlink w:anchor="_Toc13216" w:history="1">
        <w:r>
          <w:rPr>
            <w:rFonts w:ascii="仿宋" w:eastAsia="仿宋" w:hAnsi="仿宋" w:cs="仿宋" w:hint="eastAsia"/>
            <w:lang w:eastAsia="zh-CN"/>
          </w:rPr>
          <w:t>四、水杨酸锌改性树脂(无碳复写纸显色剂)项目文档管理</w:t>
        </w:r>
        <w:r>
          <w:tab/>
        </w:r>
        <w:r>
          <w:fldChar w:fldCharType="begin"/>
        </w:r>
        <w:r>
          <w:instrText xml:space="preserve"> PAGEREF _Toc13216 \h </w:instrText>
        </w:r>
        <w:r>
          <w:fldChar w:fldCharType="separate"/>
        </w:r>
        <w:r>
          <w:t>12</w:t>
        </w:r>
        <w:r>
          <w:fldChar w:fldCharType="end"/>
        </w:r>
      </w:hyperlink>
    </w:p>
    <w:p>
      <w:pPr>
        <w:pStyle w:val="TOC2"/>
        <w:tabs>
          <w:tab w:val="right" w:leader="dot" w:pos="8306"/>
        </w:tabs>
      </w:pPr>
      <w:hyperlink w:anchor="_Toc28106" w:history="1">
        <w:r>
          <w:rPr>
            <w:rFonts w:ascii="仿宋" w:eastAsia="仿宋" w:hAnsi="仿宋" w:cs="仿宋" w:hint="eastAsia"/>
            <w:lang w:eastAsia="zh-CN"/>
          </w:rPr>
          <w:t>(一)、文档编制与审查</w:t>
        </w:r>
        <w:r>
          <w:tab/>
        </w:r>
        <w:r>
          <w:fldChar w:fldCharType="begin"/>
        </w:r>
        <w:r>
          <w:instrText xml:space="preserve"> PAGEREF _Toc28106 \h </w:instrText>
        </w:r>
        <w:r>
          <w:fldChar w:fldCharType="separate"/>
        </w:r>
        <w:r>
          <w:t>12</w:t>
        </w:r>
        <w:r>
          <w:fldChar w:fldCharType="end"/>
        </w:r>
      </w:hyperlink>
    </w:p>
    <w:p>
      <w:pPr>
        <w:pStyle w:val="TOC2"/>
        <w:tabs>
          <w:tab w:val="right" w:leader="dot" w:pos="8306"/>
        </w:tabs>
      </w:pPr>
      <w:hyperlink w:anchor="_Toc9356" w:history="1">
        <w:r>
          <w:rPr>
            <w:rFonts w:ascii="仿宋" w:eastAsia="仿宋" w:hAnsi="仿宋" w:cs="仿宋" w:hint="eastAsia"/>
            <w:lang w:eastAsia="zh-CN"/>
          </w:rPr>
          <w:t>(二)、文档发布与分发</w:t>
        </w:r>
        <w:r>
          <w:tab/>
        </w:r>
        <w:r>
          <w:fldChar w:fldCharType="begin"/>
        </w:r>
        <w:r>
          <w:instrText xml:space="preserve"> PAGEREF _Toc9356 \h </w:instrText>
        </w:r>
        <w:r>
          <w:fldChar w:fldCharType="separate"/>
        </w:r>
        <w:r>
          <w:t>13</w:t>
        </w:r>
        <w:r>
          <w:fldChar w:fldCharType="end"/>
        </w:r>
      </w:hyperlink>
    </w:p>
    <w:p>
      <w:pPr>
        <w:pStyle w:val="TOC2"/>
        <w:tabs>
          <w:tab w:val="right" w:leader="dot" w:pos="8306"/>
        </w:tabs>
      </w:pPr>
      <w:hyperlink w:anchor="_Toc5937" w:history="1">
        <w:r>
          <w:rPr>
            <w:rFonts w:ascii="仿宋" w:eastAsia="仿宋" w:hAnsi="仿宋" w:cs="仿宋" w:hint="eastAsia"/>
            <w:lang w:eastAsia="zh-CN"/>
          </w:rPr>
          <w:t>(三)、文档存档与归档</w:t>
        </w:r>
        <w:r>
          <w:tab/>
        </w:r>
        <w:r>
          <w:fldChar w:fldCharType="begin"/>
        </w:r>
        <w:r>
          <w:instrText xml:space="preserve"> PAGEREF _Toc5937 \h </w:instrText>
        </w:r>
        <w:r>
          <w:fldChar w:fldCharType="separate"/>
        </w:r>
        <w:r>
          <w:t>14</w:t>
        </w:r>
        <w:r>
          <w:fldChar w:fldCharType="end"/>
        </w:r>
      </w:hyperlink>
    </w:p>
    <w:p>
      <w:pPr>
        <w:pStyle w:val="TOC1"/>
        <w:tabs>
          <w:tab w:val="right" w:leader="dot" w:pos="8306"/>
        </w:tabs>
      </w:pPr>
      <w:hyperlink w:anchor="_Toc26228" w:history="1">
        <w:r>
          <w:rPr>
            <w:rFonts w:ascii="仿宋" w:eastAsia="仿宋" w:hAnsi="仿宋" w:cs="仿宋" w:hint="eastAsia"/>
            <w:lang w:eastAsia="zh-CN"/>
          </w:rPr>
          <w:t>五、水杨酸锌改性树脂(无碳复写纸显色剂)项目建设单位说明</w:t>
        </w:r>
        <w:r>
          <w:tab/>
        </w:r>
        <w:r>
          <w:fldChar w:fldCharType="begin"/>
        </w:r>
        <w:r>
          <w:instrText xml:space="preserve"> PAGEREF _Toc26228 \h </w:instrText>
        </w:r>
        <w:r>
          <w:fldChar w:fldCharType="separate"/>
        </w:r>
        <w:r>
          <w:t>16</w:t>
        </w:r>
        <w:r>
          <w:fldChar w:fldCharType="end"/>
        </w:r>
      </w:hyperlink>
    </w:p>
    <w:p>
      <w:pPr>
        <w:pStyle w:val="TOC2"/>
        <w:tabs>
          <w:tab w:val="right" w:leader="dot" w:pos="8306"/>
        </w:tabs>
      </w:pPr>
      <w:hyperlink w:anchor="_Toc32582" w:history="1">
        <w:r>
          <w:rPr>
            <w:rFonts w:ascii="仿宋" w:eastAsia="仿宋" w:hAnsi="仿宋" w:cs="仿宋" w:hint="eastAsia"/>
            <w:lang w:eastAsia="zh-CN"/>
          </w:rPr>
          <w:t>(一)、水杨酸锌改性树脂(无碳复写纸显色剂)项目承办单位基本情况</w:t>
        </w:r>
        <w:r>
          <w:tab/>
        </w:r>
        <w:r>
          <w:fldChar w:fldCharType="begin"/>
        </w:r>
        <w:r>
          <w:instrText xml:space="preserve"> PAGEREF _Toc32582 \h </w:instrText>
        </w:r>
        <w:r>
          <w:fldChar w:fldCharType="separate"/>
        </w:r>
        <w:r>
          <w:t>16</w:t>
        </w:r>
        <w:r>
          <w:fldChar w:fldCharType="end"/>
        </w:r>
      </w:hyperlink>
    </w:p>
    <w:p>
      <w:pPr>
        <w:pStyle w:val="TOC2"/>
        <w:tabs>
          <w:tab w:val="right" w:leader="dot" w:pos="8306"/>
        </w:tabs>
      </w:pPr>
      <w:hyperlink w:anchor="_Toc27756" w:history="1">
        <w:r>
          <w:rPr>
            <w:rFonts w:ascii="仿宋" w:eastAsia="仿宋" w:hAnsi="仿宋" w:cs="仿宋" w:hint="eastAsia"/>
            <w:lang w:eastAsia="zh-CN"/>
          </w:rPr>
          <w:t>(二)、公司经济效益分析</w:t>
        </w:r>
        <w:r>
          <w:tab/>
        </w:r>
        <w:r>
          <w:fldChar w:fldCharType="begin"/>
        </w:r>
        <w:r>
          <w:instrText xml:space="preserve"> PAGEREF _Toc27756 \h </w:instrText>
        </w:r>
        <w:r>
          <w:fldChar w:fldCharType="separate"/>
        </w:r>
        <w:r>
          <w:t>16</w:t>
        </w:r>
        <w:r>
          <w:fldChar w:fldCharType="end"/>
        </w:r>
      </w:hyperlink>
    </w:p>
    <w:p>
      <w:pPr>
        <w:pStyle w:val="TOC1"/>
        <w:tabs>
          <w:tab w:val="right" w:leader="dot" w:pos="8306"/>
        </w:tabs>
      </w:pPr>
      <w:hyperlink w:anchor="_Toc23512" w:history="1">
        <w:r>
          <w:rPr>
            <w:rFonts w:ascii="仿宋" w:eastAsia="仿宋" w:hAnsi="仿宋" w:cs="仿宋" w:hint="eastAsia"/>
            <w:lang w:eastAsia="zh-CN"/>
          </w:rPr>
          <w:t>六、工艺说明</w:t>
        </w:r>
        <w:r>
          <w:tab/>
        </w:r>
        <w:r>
          <w:fldChar w:fldCharType="begin"/>
        </w:r>
        <w:r>
          <w:instrText xml:space="preserve"> PAGEREF _Toc23512 \h </w:instrText>
        </w:r>
        <w:r>
          <w:fldChar w:fldCharType="separate"/>
        </w:r>
        <w:r>
          <w:t>17</w:t>
        </w:r>
        <w:r>
          <w:fldChar w:fldCharType="end"/>
        </w:r>
      </w:hyperlink>
    </w:p>
    <w:p>
      <w:pPr>
        <w:pStyle w:val="TOC2"/>
        <w:tabs>
          <w:tab w:val="right" w:leader="dot" w:pos="8306"/>
        </w:tabs>
      </w:pPr>
      <w:hyperlink w:anchor="_Toc4077" w:history="1">
        <w:r>
          <w:rPr>
            <w:rFonts w:ascii="仿宋" w:eastAsia="仿宋" w:hAnsi="仿宋" w:cs="仿宋" w:hint="eastAsia"/>
            <w:lang w:eastAsia="zh-CN"/>
          </w:rPr>
          <w:t>(一)、技术管理特点</w:t>
        </w:r>
        <w:r>
          <w:tab/>
        </w:r>
        <w:r>
          <w:fldChar w:fldCharType="begin"/>
        </w:r>
        <w:r>
          <w:instrText xml:space="preserve"> PAGEREF _Toc4077 \h </w:instrText>
        </w:r>
        <w:r>
          <w:fldChar w:fldCharType="separate"/>
        </w:r>
        <w:r>
          <w:t>17</w:t>
        </w:r>
        <w:r>
          <w:fldChar w:fldCharType="end"/>
        </w:r>
      </w:hyperlink>
    </w:p>
    <w:p>
      <w:pPr>
        <w:pStyle w:val="TOC2"/>
        <w:tabs>
          <w:tab w:val="right" w:leader="dot" w:pos="8306"/>
        </w:tabs>
      </w:pPr>
      <w:hyperlink w:anchor="_Toc14289" w:history="1">
        <w:r>
          <w:rPr>
            <w:rFonts w:ascii="仿宋" w:eastAsia="仿宋" w:hAnsi="仿宋" w:cs="仿宋" w:hint="eastAsia"/>
            <w:lang w:eastAsia="zh-CN"/>
          </w:rPr>
          <w:t>(二)、水杨酸锌改性树脂(无碳复写纸显色剂)项目工艺技术设计方案</w:t>
        </w:r>
        <w:r>
          <w:tab/>
        </w:r>
        <w:r>
          <w:fldChar w:fldCharType="begin"/>
        </w:r>
        <w:r>
          <w:instrText xml:space="preserve"> PAGEREF _Toc14289 \h </w:instrText>
        </w:r>
        <w:r>
          <w:fldChar w:fldCharType="separate"/>
        </w:r>
        <w:r>
          <w:t>19</w:t>
        </w:r>
        <w:r>
          <w:fldChar w:fldCharType="end"/>
        </w:r>
      </w:hyperlink>
    </w:p>
    <w:p>
      <w:pPr>
        <w:pStyle w:val="TOC2"/>
        <w:tabs>
          <w:tab w:val="right" w:leader="dot" w:pos="8306"/>
        </w:tabs>
      </w:pPr>
      <w:hyperlink w:anchor="_Toc21031" w:history="1">
        <w:r>
          <w:rPr>
            <w:rFonts w:ascii="仿宋" w:eastAsia="仿宋" w:hAnsi="仿宋" w:cs="仿宋" w:hint="eastAsia"/>
            <w:lang w:eastAsia="zh-CN"/>
          </w:rPr>
          <w:t>(三)、设备选型方案</w:t>
        </w:r>
        <w:r>
          <w:tab/>
        </w:r>
        <w:r>
          <w:fldChar w:fldCharType="begin"/>
        </w:r>
        <w:r>
          <w:instrText xml:space="preserve"> PAGEREF _Toc21031 \h </w:instrText>
        </w:r>
        <w:r>
          <w:fldChar w:fldCharType="separate"/>
        </w:r>
        <w:r>
          <w:t>20</w:t>
        </w:r>
        <w:r>
          <w:fldChar w:fldCharType="end"/>
        </w:r>
      </w:hyperlink>
    </w:p>
    <w:p>
      <w:pPr>
        <w:pStyle w:val="TOC1"/>
        <w:tabs>
          <w:tab w:val="right" w:leader="dot" w:pos="8306"/>
        </w:tabs>
      </w:pPr>
      <w:hyperlink w:anchor="_Toc29137" w:history="1">
        <w:r>
          <w:rPr>
            <w:rFonts w:ascii="仿宋" w:eastAsia="仿宋" w:hAnsi="仿宋" w:cs="仿宋" w:hint="eastAsia"/>
            <w:lang w:eastAsia="zh-CN"/>
          </w:rPr>
          <w:t>七、水杨酸锌改性树脂(无碳复写纸显色剂)项目风险管理</w:t>
        </w:r>
        <w:r>
          <w:tab/>
        </w:r>
        <w:r>
          <w:fldChar w:fldCharType="begin"/>
        </w:r>
        <w:r>
          <w:instrText xml:space="preserve"> PAGEREF _Toc29137 \h </w:instrText>
        </w:r>
        <w:r>
          <w:fldChar w:fldCharType="separate"/>
        </w:r>
        <w:r>
          <w:t>22</w:t>
        </w:r>
        <w:r>
          <w:fldChar w:fldCharType="end"/>
        </w:r>
      </w:hyperlink>
    </w:p>
    <w:p>
      <w:pPr>
        <w:pStyle w:val="TOC2"/>
        <w:tabs>
          <w:tab w:val="right" w:leader="dot" w:pos="8306"/>
        </w:tabs>
      </w:pPr>
      <w:hyperlink w:anchor="_Toc6336" w:history="1">
        <w:r>
          <w:rPr>
            <w:rFonts w:ascii="仿宋" w:eastAsia="仿宋" w:hAnsi="仿宋" w:cs="仿宋" w:hint="eastAsia"/>
            <w:lang w:eastAsia="zh-CN"/>
          </w:rPr>
          <w:t>(一)、风险识别与评估</w:t>
        </w:r>
        <w:r>
          <w:tab/>
        </w:r>
        <w:r>
          <w:fldChar w:fldCharType="begin"/>
        </w:r>
        <w:r>
          <w:instrText xml:space="preserve"> PAGEREF _Toc6336 \h </w:instrText>
        </w:r>
        <w:r>
          <w:fldChar w:fldCharType="separate"/>
        </w:r>
        <w:r>
          <w:t>22</w:t>
        </w:r>
        <w:r>
          <w:fldChar w:fldCharType="end"/>
        </w:r>
      </w:hyperlink>
    </w:p>
    <w:p>
      <w:pPr>
        <w:pStyle w:val="TOC2"/>
        <w:tabs>
          <w:tab w:val="right" w:leader="dot" w:pos="8306"/>
        </w:tabs>
      </w:pPr>
      <w:hyperlink w:anchor="_Toc23646" w:history="1">
        <w:r>
          <w:rPr>
            <w:rFonts w:ascii="仿宋" w:eastAsia="仿宋" w:hAnsi="仿宋" w:cs="仿宋" w:hint="eastAsia"/>
            <w:lang w:eastAsia="zh-CN"/>
          </w:rPr>
          <w:t>(二)、风险应对策略</w:t>
        </w:r>
        <w:r>
          <w:tab/>
        </w:r>
        <w:r>
          <w:fldChar w:fldCharType="begin"/>
        </w:r>
        <w:r>
          <w:instrText xml:space="preserve"> PAGEREF _Toc23646 \h </w:instrText>
        </w:r>
        <w:r>
          <w:fldChar w:fldCharType="separate"/>
        </w:r>
        <w:r>
          <w:t>23</w:t>
        </w:r>
        <w:r>
          <w:fldChar w:fldCharType="end"/>
        </w:r>
      </w:hyperlink>
    </w:p>
    <w:p>
      <w:pPr>
        <w:pStyle w:val="TOC2"/>
        <w:tabs>
          <w:tab w:val="right" w:leader="dot" w:pos="8306"/>
        </w:tabs>
      </w:pPr>
      <w:hyperlink w:anchor="_Toc18870" w:history="1">
        <w:r>
          <w:rPr>
            <w:rFonts w:ascii="仿宋" w:eastAsia="仿宋" w:hAnsi="仿宋" w:cs="仿宋" w:hint="eastAsia"/>
            <w:lang w:eastAsia="zh-CN"/>
          </w:rPr>
          <w:t>(三)、风险监控与控制</w:t>
        </w:r>
        <w:r>
          <w:tab/>
        </w:r>
        <w:r>
          <w:fldChar w:fldCharType="begin"/>
        </w:r>
        <w:r>
          <w:instrText xml:space="preserve"> PAGEREF _Toc18870 \h </w:instrText>
        </w:r>
        <w:r>
          <w:fldChar w:fldCharType="separate"/>
        </w:r>
        <w:r>
          <w:t>25</w:t>
        </w:r>
        <w:r>
          <w:fldChar w:fldCharType="end"/>
        </w:r>
      </w:hyperlink>
    </w:p>
    <w:p>
      <w:pPr>
        <w:pStyle w:val="TOC1"/>
        <w:tabs>
          <w:tab w:val="right" w:leader="dot" w:pos="8306"/>
        </w:tabs>
      </w:pPr>
      <w:hyperlink w:anchor="_Toc29891" w:history="1">
        <w:r>
          <w:rPr>
            <w:rFonts w:ascii="仿宋" w:eastAsia="仿宋" w:hAnsi="仿宋" w:cs="仿宋" w:hint="eastAsia"/>
            <w:lang w:eastAsia="zh-CN"/>
          </w:rPr>
          <w:t>八、水杨酸锌改性树脂(无碳复写纸显色剂)项目社会影响</w:t>
        </w:r>
        <w:r>
          <w:tab/>
        </w:r>
        <w:r>
          <w:fldChar w:fldCharType="begin"/>
        </w:r>
        <w:r>
          <w:instrText xml:space="preserve"> PAGEREF _Toc29891 \h </w:instrText>
        </w:r>
        <w:r>
          <w:fldChar w:fldCharType="separate"/>
        </w:r>
        <w:r>
          <w:t>26</w:t>
        </w:r>
        <w:r>
          <w:fldChar w:fldCharType="end"/>
        </w:r>
      </w:hyperlink>
    </w:p>
    <w:p>
      <w:pPr>
        <w:pStyle w:val="TOC2"/>
        <w:tabs>
          <w:tab w:val="right" w:leader="dot" w:pos="8306"/>
        </w:tabs>
      </w:pPr>
      <w:hyperlink w:anchor="_Toc1865" w:history="1">
        <w:r>
          <w:rPr>
            <w:rFonts w:ascii="仿宋" w:eastAsia="仿宋" w:hAnsi="仿宋" w:cs="仿宋" w:hint="eastAsia"/>
            <w:lang w:eastAsia="zh-CN"/>
          </w:rPr>
          <w:t>(一)、社会责任与义务</w:t>
        </w:r>
        <w:r>
          <w:tab/>
        </w:r>
        <w:r>
          <w:fldChar w:fldCharType="begin"/>
        </w:r>
        <w:r>
          <w:instrText xml:space="preserve"> PAGEREF _Toc1865 \h </w:instrText>
        </w:r>
        <w:r>
          <w:fldChar w:fldCharType="separate"/>
        </w:r>
        <w:r>
          <w:t>26</w:t>
        </w:r>
        <w:r>
          <w:fldChar w:fldCharType="end"/>
        </w:r>
      </w:hyperlink>
    </w:p>
    <w:p>
      <w:pPr>
        <w:pStyle w:val="TOC2"/>
        <w:tabs>
          <w:tab w:val="right" w:leader="dot" w:pos="8306"/>
        </w:tabs>
      </w:pPr>
      <w:hyperlink w:anchor="_Toc3555" w:history="1">
        <w:r>
          <w:rPr>
            <w:rFonts w:ascii="仿宋" w:eastAsia="仿宋" w:hAnsi="仿宋" w:cs="仿宋" w:hint="eastAsia"/>
            <w:lang w:eastAsia="zh-CN"/>
          </w:rPr>
          <w:t>(二)、社会参与与沟通</w:t>
        </w:r>
        <w:r>
          <w:tab/>
        </w:r>
        <w:r>
          <w:fldChar w:fldCharType="begin"/>
        </w:r>
        <w:r>
          <w:instrText xml:space="preserve"> PAGEREF _Toc3555 \h </w:instrText>
        </w:r>
        <w:r>
          <w:fldChar w:fldCharType="separate"/>
        </w:r>
        <w:r>
          <w:t>27</w:t>
        </w:r>
        <w:r>
          <w:fldChar w:fldCharType="end"/>
        </w:r>
      </w:hyperlink>
    </w:p>
    <w:p>
      <w:pPr>
        <w:pStyle w:val="TOC1"/>
        <w:tabs>
          <w:tab w:val="right" w:leader="dot" w:pos="8306"/>
        </w:tabs>
      </w:pPr>
      <w:hyperlink w:anchor="_Toc5126" w:history="1">
        <w:r>
          <w:rPr>
            <w:rFonts w:ascii="仿宋" w:eastAsia="仿宋" w:hAnsi="仿宋" w:cs="仿宋" w:hint="eastAsia"/>
            <w:lang w:eastAsia="zh-CN"/>
          </w:rPr>
          <w:t>九、水杨酸锌改性树脂(无碳复写纸显色剂)项目财务管理</w:t>
        </w:r>
        <w:r>
          <w:tab/>
        </w:r>
        <w:r>
          <w:fldChar w:fldCharType="begin"/>
        </w:r>
        <w:r>
          <w:instrText xml:space="preserve"> PAGEREF _Toc5126 \h </w:instrText>
        </w:r>
        <w:r>
          <w:fldChar w:fldCharType="separate"/>
        </w:r>
        <w:r>
          <w:t>28</w:t>
        </w:r>
        <w:r>
          <w:fldChar w:fldCharType="end"/>
        </w:r>
      </w:hyperlink>
    </w:p>
    <w:p>
      <w:pPr>
        <w:pStyle w:val="TOC2"/>
        <w:tabs>
          <w:tab w:val="right" w:leader="dot" w:pos="8306"/>
        </w:tabs>
      </w:pPr>
      <w:hyperlink w:anchor="_Toc30331" w:history="1">
        <w:r>
          <w:rPr>
            <w:rFonts w:ascii="仿宋" w:eastAsia="仿宋" w:hAnsi="仿宋" w:cs="仿宋" w:hint="eastAsia"/>
            <w:lang w:eastAsia="zh-CN"/>
          </w:rPr>
          <w:t>(一)、资金需求大</w:t>
        </w:r>
        <w:r>
          <w:tab/>
        </w:r>
        <w:r>
          <w:fldChar w:fldCharType="begin"/>
        </w:r>
        <w:r>
          <w:instrText xml:space="preserve"> PAGEREF _Toc30331 \h </w:instrText>
        </w:r>
        <w:r>
          <w:fldChar w:fldCharType="separate"/>
        </w:r>
        <w:r>
          <w:t>28</w:t>
        </w:r>
        <w:r>
          <w:fldChar w:fldCharType="end"/>
        </w:r>
      </w:hyperlink>
    </w:p>
    <w:p>
      <w:pPr>
        <w:pStyle w:val="TOC2"/>
        <w:tabs>
          <w:tab w:val="right" w:leader="dot" w:pos="8306"/>
        </w:tabs>
      </w:pPr>
      <w:hyperlink w:anchor="_Toc26740" w:history="1">
        <w:r>
          <w:rPr>
            <w:rFonts w:ascii="仿宋" w:eastAsia="仿宋" w:hAnsi="仿宋" w:cs="仿宋" w:hint="eastAsia"/>
            <w:lang w:eastAsia="zh-CN"/>
          </w:rPr>
          <w:t>(二)、研发周期长</w:t>
        </w:r>
        <w:r>
          <w:tab/>
        </w:r>
        <w:r>
          <w:fldChar w:fldCharType="begin"/>
        </w:r>
        <w:r>
          <w:instrText xml:space="preserve"> PAGEREF _Toc26740 \h </w:instrText>
        </w:r>
        <w:r>
          <w:fldChar w:fldCharType="separate"/>
        </w:r>
        <w:r>
          <w:t>30</w:t>
        </w:r>
        <w:r>
          <w:fldChar w:fldCharType="end"/>
        </w:r>
      </w:hyperlink>
    </w:p>
    <w:p>
      <w:pPr>
        <w:pStyle w:val="TOC2"/>
        <w:tabs>
          <w:tab w:val="right" w:leader="dot" w:pos="8306"/>
        </w:tabs>
      </w:pPr>
      <w:hyperlink w:anchor="_Toc7855" w:history="1">
        <w:r>
          <w:rPr>
            <w:rFonts w:ascii="仿宋" w:eastAsia="仿宋" w:hAnsi="仿宋" w:cs="仿宋" w:hint="eastAsia"/>
            <w:lang w:eastAsia="zh-CN"/>
          </w:rPr>
          <w:t>(三)、市场风险大</w:t>
        </w:r>
        <w:r>
          <w:tab/>
        </w:r>
        <w:r>
          <w:fldChar w:fldCharType="begin"/>
        </w:r>
        <w:r>
          <w:instrText xml:space="preserve"> PAGEREF _Toc7855 \h </w:instrText>
        </w:r>
        <w:r>
          <w:fldChar w:fldCharType="separate"/>
        </w:r>
        <w:r>
          <w:t>31</w:t>
        </w:r>
        <w:r>
          <w:fldChar w:fldCharType="end"/>
        </w:r>
      </w:hyperlink>
    </w:p>
    <w:p>
      <w:pPr>
        <w:pStyle w:val="TOC2"/>
        <w:tabs>
          <w:tab w:val="right" w:leader="dot" w:pos="8306"/>
        </w:tabs>
      </w:pPr>
      <w:hyperlink w:anchor="_Toc3832" w:history="1">
        <w:r>
          <w:rPr>
            <w:rFonts w:ascii="仿宋" w:eastAsia="仿宋" w:hAnsi="仿宋" w:cs="仿宋" w:hint="eastAsia"/>
            <w:lang w:eastAsia="zh-CN"/>
          </w:rPr>
          <w:t>(四)、利润率高</w:t>
        </w:r>
        <w:r>
          <w:tab/>
        </w:r>
        <w:r>
          <w:fldChar w:fldCharType="begin"/>
        </w:r>
        <w:r>
          <w:instrText xml:space="preserve"> PAGEREF _Toc3832 \h </w:instrText>
        </w:r>
        <w:r>
          <w:fldChar w:fldCharType="separate"/>
        </w:r>
        <w:r>
          <w:t>34</w:t>
        </w:r>
        <w:r>
          <w:fldChar w:fldCharType="end"/>
        </w:r>
      </w:hyperlink>
    </w:p>
    <w:p>
      <w:pPr>
        <w:pStyle w:val="TOC1"/>
        <w:tabs>
          <w:tab w:val="right" w:leader="dot" w:pos="8306"/>
        </w:tabs>
      </w:pPr>
      <w:hyperlink w:anchor="_Toc7902" w:history="1">
        <w:r>
          <w:rPr>
            <w:rFonts w:ascii="仿宋" w:eastAsia="仿宋" w:hAnsi="仿宋" w:cs="仿宋" w:hint="eastAsia"/>
            <w:lang w:eastAsia="zh-CN"/>
          </w:rPr>
          <w:t>十、水杨酸锌改性树脂(无碳复写纸显色剂)项目技术管理</w:t>
        </w:r>
        <w:r>
          <w:tab/>
        </w:r>
        <w:r>
          <w:fldChar w:fldCharType="begin"/>
        </w:r>
        <w:r>
          <w:instrText xml:space="preserve"> PAGEREF _Toc7902 \h </w:instrText>
        </w:r>
        <w:r>
          <w:fldChar w:fldCharType="separate"/>
        </w:r>
        <w:r>
          <w:t>36</w:t>
        </w:r>
        <w:r>
          <w:fldChar w:fldCharType="end"/>
        </w:r>
      </w:hyperlink>
    </w:p>
    <w:p>
      <w:pPr>
        <w:pStyle w:val="TOC2"/>
        <w:tabs>
          <w:tab w:val="right" w:leader="dot" w:pos="8306"/>
        </w:tabs>
      </w:pPr>
      <w:hyperlink w:anchor="_Toc16349" w:history="1">
        <w:r>
          <w:rPr>
            <w:rFonts w:ascii="仿宋" w:eastAsia="仿宋" w:hAnsi="仿宋" w:cs="仿宋" w:hint="eastAsia"/>
            <w:lang w:eastAsia="zh-CN"/>
          </w:rPr>
          <w:t>(一)、技术方案选用方向</w:t>
        </w:r>
        <w:r>
          <w:tab/>
        </w:r>
        <w:r>
          <w:fldChar w:fldCharType="begin"/>
        </w:r>
        <w:r>
          <w:instrText xml:space="preserve"> PAGEREF _Toc16349 \h </w:instrText>
        </w:r>
        <w:r>
          <w:fldChar w:fldCharType="separate"/>
        </w:r>
        <w:r>
          <w:t>36</w:t>
        </w:r>
        <w:r>
          <w:fldChar w:fldCharType="end"/>
        </w:r>
      </w:hyperlink>
    </w:p>
    <w:p>
      <w:pPr>
        <w:pStyle w:val="TOC2"/>
        <w:tabs>
          <w:tab w:val="right" w:leader="dot" w:pos="8306"/>
        </w:tabs>
      </w:pPr>
      <w:hyperlink w:anchor="_Toc20990" w:history="1">
        <w:r>
          <w:rPr>
            <w:rFonts w:ascii="仿宋" w:eastAsia="仿宋" w:hAnsi="仿宋" w:cs="仿宋" w:hint="eastAsia"/>
            <w:lang w:eastAsia="zh-CN"/>
          </w:rPr>
          <w:t>(二)、工艺技术方案选用原则</w:t>
        </w:r>
        <w:r>
          <w:tab/>
        </w:r>
        <w:r>
          <w:fldChar w:fldCharType="begin"/>
        </w:r>
        <w:r>
          <w:instrText xml:space="preserve"> PAGEREF _Toc20990 \h </w:instrText>
        </w:r>
        <w:r>
          <w:fldChar w:fldCharType="separate"/>
        </w:r>
        <w:r>
          <w:t>38</w:t>
        </w:r>
        <w:r>
          <w:fldChar w:fldCharType="end"/>
        </w:r>
      </w:hyperlink>
    </w:p>
    <w:p>
      <w:pPr>
        <w:pStyle w:val="TOC2"/>
        <w:tabs>
          <w:tab w:val="right" w:leader="dot" w:pos="8306"/>
        </w:tabs>
      </w:pPr>
      <w:hyperlink w:anchor="_Toc18092" w:history="1">
        <w:r>
          <w:rPr>
            <w:rFonts w:ascii="仿宋" w:eastAsia="仿宋" w:hAnsi="仿宋" w:cs="仿宋" w:hint="eastAsia"/>
            <w:lang w:eastAsia="zh-CN"/>
          </w:rPr>
          <w:t>(三)、工艺技术方案要求</w:t>
        </w:r>
        <w:r>
          <w:tab/>
        </w:r>
        <w:r>
          <w:fldChar w:fldCharType="begin"/>
        </w:r>
        <w:r>
          <w:instrText xml:space="preserve"> PAGEREF _Toc18092 \h </w:instrText>
        </w:r>
        <w:r>
          <w:fldChar w:fldCharType="separate"/>
        </w:r>
        <w:r>
          <w:t>41</w:t>
        </w:r>
        <w:r>
          <w:fldChar w:fldCharType="end"/>
        </w:r>
      </w:hyperlink>
    </w:p>
    <w:p>
      <w:pPr>
        <w:pStyle w:val="TOC1"/>
        <w:tabs>
          <w:tab w:val="right" w:leader="dot" w:pos="8306"/>
        </w:tabs>
      </w:pPr>
      <w:hyperlink w:anchor="_Toc2081" w:history="1">
        <w:r>
          <w:rPr>
            <w:rFonts w:ascii="仿宋" w:eastAsia="仿宋" w:hAnsi="仿宋" w:cs="仿宋" w:hint="eastAsia"/>
            <w:lang w:eastAsia="zh-CN"/>
          </w:rPr>
          <w:t>十一、水杨酸锌改性树脂(无碳复写纸显色剂)项目经营效益</w:t>
        </w:r>
        <w:r>
          <w:tab/>
        </w:r>
        <w:r>
          <w:fldChar w:fldCharType="begin"/>
        </w:r>
        <w:r>
          <w:instrText xml:space="preserve"> PAGEREF _Toc2081 \h </w:instrText>
        </w:r>
        <w:r>
          <w:fldChar w:fldCharType="separate"/>
        </w:r>
        <w:r>
          <w:t>43</w:t>
        </w:r>
        <w:r>
          <w:fldChar w:fldCharType="end"/>
        </w:r>
      </w:hyperlink>
    </w:p>
    <w:p>
      <w:pPr>
        <w:pStyle w:val="TOC2"/>
        <w:tabs>
          <w:tab w:val="right" w:leader="dot" w:pos="8306"/>
        </w:tabs>
      </w:pPr>
      <w:hyperlink w:anchor="_Toc17206" w:history="1">
        <w:r>
          <w:rPr>
            <w:rFonts w:ascii="仿宋" w:eastAsia="仿宋" w:hAnsi="仿宋" w:cs="仿宋" w:hint="eastAsia"/>
            <w:lang w:eastAsia="zh-CN"/>
          </w:rPr>
          <w:t>(一)、经济评价财务测算</w:t>
        </w:r>
        <w:r>
          <w:tab/>
        </w:r>
        <w:r>
          <w:fldChar w:fldCharType="begin"/>
        </w:r>
        <w:r>
          <w:instrText xml:space="preserve"> PAGEREF _Toc17206 \h </w:instrText>
        </w:r>
        <w:r>
          <w:fldChar w:fldCharType="separate"/>
        </w:r>
        <w:r>
          <w:t>43</w:t>
        </w:r>
        <w:r>
          <w:fldChar w:fldCharType="end"/>
        </w:r>
      </w:hyperlink>
    </w:p>
    <w:p>
      <w:pPr>
        <w:pStyle w:val="TOC2"/>
        <w:tabs>
          <w:tab w:val="right" w:leader="dot" w:pos="8306"/>
        </w:tabs>
      </w:pPr>
      <w:hyperlink w:anchor="_Toc14795" w:history="1">
        <w:r>
          <w:rPr>
            <w:rFonts w:ascii="仿宋" w:eastAsia="仿宋" w:hAnsi="仿宋" w:cs="仿宋" w:hint="eastAsia"/>
            <w:lang w:eastAsia="zh-CN"/>
          </w:rPr>
          <w:t>(二)、水杨酸锌改性树脂(无碳复写纸显色剂)项目盈利能力分析</w:t>
        </w:r>
        <w:r>
          <w:tab/>
        </w:r>
        <w:r>
          <w:fldChar w:fldCharType="begin"/>
        </w:r>
        <w:r>
          <w:instrText xml:space="preserve"> PAGEREF _Toc14795 \h </w:instrText>
        </w:r>
        <w:r>
          <w:fldChar w:fldCharType="separate"/>
        </w:r>
        <w:r>
          <w:t>44</w:t>
        </w:r>
        <w:r>
          <w:fldChar w:fldCharType="end"/>
        </w:r>
      </w:hyperlink>
    </w:p>
    <w:p>
      <w:pPr>
        <w:pStyle w:val="TOC1"/>
        <w:tabs>
          <w:tab w:val="right" w:leader="dot" w:pos="8306"/>
        </w:tabs>
      </w:pPr>
      <w:hyperlink w:anchor="_Toc11263" w:history="1">
        <w:r>
          <w:rPr>
            <w:rFonts w:ascii="仿宋" w:eastAsia="仿宋" w:hAnsi="仿宋" w:cs="仿宋" w:hint="eastAsia"/>
            <w:lang w:eastAsia="zh-CN"/>
          </w:rPr>
          <w:t>十二、水杨酸锌改性树脂(无碳复写纸显色剂)项目环境影响分析</w:t>
        </w:r>
        <w:r>
          <w:tab/>
        </w:r>
        <w:r>
          <w:fldChar w:fldCharType="begin"/>
        </w:r>
        <w:r>
          <w:instrText xml:space="preserve"> PAGEREF _Toc11263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68" w:history="1">
        <w:r>
          <w:rPr>
            <w:rFonts w:ascii="仿宋" w:eastAsia="仿宋" w:hAnsi="仿宋" w:cs="仿宋" w:hint="eastAsia"/>
            <w:lang w:eastAsia="zh-CN"/>
          </w:rPr>
          <w:t>(一)、建设区域环境质量现状</w:t>
        </w:r>
        <w:r>
          <w:tab/>
        </w:r>
        <w:r>
          <w:fldChar w:fldCharType="begin"/>
        </w:r>
        <w:r>
          <w:instrText xml:space="preserve"> PAGEREF _Toc11068 \h </w:instrText>
        </w:r>
        <w:r>
          <w:fldChar w:fldCharType="separate"/>
        </w:r>
        <w:r>
          <w:t>45</w:t>
        </w:r>
        <w:r>
          <w:fldChar w:fldCharType="end"/>
        </w:r>
      </w:hyperlink>
    </w:p>
    <w:p>
      <w:pPr>
        <w:pStyle w:val="TOC2"/>
        <w:tabs>
          <w:tab w:val="right" w:leader="dot" w:pos="8306"/>
        </w:tabs>
      </w:pPr>
      <w:hyperlink w:anchor="_Toc25834" w:history="1">
        <w:r>
          <w:rPr>
            <w:rFonts w:ascii="仿宋" w:eastAsia="仿宋" w:hAnsi="仿宋" w:cs="仿宋" w:hint="eastAsia"/>
            <w:lang w:eastAsia="zh-CN"/>
          </w:rPr>
          <w:t>(二)、建设期环境保护</w:t>
        </w:r>
        <w:r>
          <w:tab/>
        </w:r>
        <w:r>
          <w:fldChar w:fldCharType="begin"/>
        </w:r>
        <w:r>
          <w:instrText xml:space="preserve"> PAGEREF _Toc25834 \h </w:instrText>
        </w:r>
        <w:r>
          <w:fldChar w:fldCharType="separate"/>
        </w:r>
        <w:r>
          <w:t>47</w:t>
        </w:r>
        <w:r>
          <w:fldChar w:fldCharType="end"/>
        </w:r>
      </w:hyperlink>
    </w:p>
    <w:p>
      <w:pPr>
        <w:pStyle w:val="TOC2"/>
        <w:tabs>
          <w:tab w:val="right" w:leader="dot" w:pos="8306"/>
        </w:tabs>
      </w:pPr>
      <w:hyperlink w:anchor="_Toc9957" w:history="1">
        <w:r>
          <w:rPr>
            <w:rFonts w:ascii="仿宋" w:eastAsia="仿宋" w:hAnsi="仿宋" w:cs="仿宋" w:hint="eastAsia"/>
            <w:lang w:eastAsia="zh-CN"/>
          </w:rPr>
          <w:t>(三)、运营期环境保护</w:t>
        </w:r>
        <w:r>
          <w:tab/>
        </w:r>
        <w:r>
          <w:fldChar w:fldCharType="begin"/>
        </w:r>
        <w:r>
          <w:instrText xml:space="preserve"> PAGEREF _Toc9957 \h </w:instrText>
        </w:r>
        <w:r>
          <w:fldChar w:fldCharType="separate"/>
        </w:r>
        <w:r>
          <w:t>48</w:t>
        </w:r>
        <w:r>
          <w:fldChar w:fldCharType="end"/>
        </w:r>
      </w:hyperlink>
    </w:p>
    <w:p>
      <w:pPr>
        <w:pStyle w:val="TOC2"/>
        <w:tabs>
          <w:tab w:val="right" w:leader="dot" w:pos="8306"/>
        </w:tabs>
      </w:pPr>
      <w:hyperlink w:anchor="_Toc5202" w:history="1">
        <w:r>
          <w:rPr>
            <w:rFonts w:ascii="仿宋" w:eastAsia="仿宋" w:hAnsi="仿宋" w:cs="仿宋" w:hint="eastAsia"/>
            <w:lang w:eastAsia="zh-CN"/>
          </w:rPr>
          <w:t>(四)、水杨酸锌改性树脂(无碳复写纸显色剂)项目建设对区域经济的影响</w:t>
        </w:r>
        <w:r>
          <w:tab/>
        </w:r>
        <w:r>
          <w:fldChar w:fldCharType="begin"/>
        </w:r>
        <w:r>
          <w:instrText xml:space="preserve"> PAGEREF _Toc5202 \h </w:instrText>
        </w:r>
        <w:r>
          <w:fldChar w:fldCharType="separate"/>
        </w:r>
        <w:r>
          <w:t>50</w:t>
        </w:r>
        <w:r>
          <w:fldChar w:fldCharType="end"/>
        </w:r>
      </w:hyperlink>
    </w:p>
    <w:p>
      <w:pPr>
        <w:pStyle w:val="TOC2"/>
        <w:tabs>
          <w:tab w:val="right" w:leader="dot" w:pos="8306"/>
        </w:tabs>
      </w:pPr>
      <w:hyperlink w:anchor="_Toc28827" w:history="1">
        <w:r>
          <w:rPr>
            <w:rFonts w:ascii="仿宋" w:eastAsia="仿宋" w:hAnsi="仿宋" w:cs="仿宋" w:hint="eastAsia"/>
            <w:lang w:eastAsia="zh-CN"/>
          </w:rPr>
          <w:t>(五)、废弃物处理</w:t>
        </w:r>
        <w:r>
          <w:tab/>
        </w:r>
        <w:r>
          <w:fldChar w:fldCharType="begin"/>
        </w:r>
        <w:r>
          <w:instrText xml:space="preserve"> PAGEREF _Toc28827 \h </w:instrText>
        </w:r>
        <w:r>
          <w:fldChar w:fldCharType="separate"/>
        </w:r>
        <w:r>
          <w:t>52</w:t>
        </w:r>
        <w:r>
          <w:fldChar w:fldCharType="end"/>
        </w:r>
      </w:hyperlink>
    </w:p>
    <w:p>
      <w:pPr>
        <w:pStyle w:val="TOC2"/>
        <w:tabs>
          <w:tab w:val="right" w:leader="dot" w:pos="8306"/>
        </w:tabs>
      </w:pPr>
      <w:hyperlink w:anchor="_Toc29183" w:history="1">
        <w:r>
          <w:rPr>
            <w:rFonts w:ascii="仿宋" w:eastAsia="仿宋" w:hAnsi="仿宋" w:cs="仿宋" w:hint="eastAsia"/>
            <w:lang w:eastAsia="zh-CN"/>
          </w:rPr>
          <w:t>(六)、特殊环境影响分析</w:t>
        </w:r>
        <w:r>
          <w:tab/>
        </w:r>
        <w:r>
          <w:fldChar w:fldCharType="begin"/>
        </w:r>
        <w:r>
          <w:instrText xml:space="preserve"> PAGEREF _Toc29183 \h </w:instrText>
        </w:r>
        <w:r>
          <w:fldChar w:fldCharType="separate"/>
        </w:r>
        <w:r>
          <w:t>53</w:t>
        </w:r>
        <w:r>
          <w:fldChar w:fldCharType="end"/>
        </w:r>
      </w:hyperlink>
    </w:p>
    <w:p>
      <w:pPr>
        <w:pStyle w:val="TOC2"/>
        <w:tabs>
          <w:tab w:val="right" w:leader="dot" w:pos="8306"/>
        </w:tabs>
      </w:pPr>
      <w:hyperlink w:anchor="_Toc24389" w:history="1">
        <w:r>
          <w:rPr>
            <w:rFonts w:ascii="仿宋" w:eastAsia="仿宋" w:hAnsi="仿宋" w:cs="仿宋" w:hint="eastAsia"/>
            <w:lang w:eastAsia="zh-CN"/>
          </w:rPr>
          <w:t>(七)、清洁生产</w:t>
        </w:r>
        <w:r>
          <w:tab/>
        </w:r>
        <w:r>
          <w:fldChar w:fldCharType="begin"/>
        </w:r>
        <w:r>
          <w:instrText xml:space="preserve"> PAGEREF _Toc24389 \h </w:instrText>
        </w:r>
        <w:r>
          <w:fldChar w:fldCharType="separate"/>
        </w:r>
        <w:r>
          <w:t>55</w:t>
        </w:r>
        <w:r>
          <w:fldChar w:fldCharType="end"/>
        </w:r>
      </w:hyperlink>
    </w:p>
    <w:p>
      <w:pPr>
        <w:pStyle w:val="TOC2"/>
        <w:tabs>
          <w:tab w:val="right" w:leader="dot" w:pos="8306"/>
        </w:tabs>
      </w:pPr>
      <w:hyperlink w:anchor="_Toc26254" w:history="1">
        <w:r>
          <w:rPr>
            <w:rFonts w:ascii="仿宋" w:eastAsia="仿宋" w:hAnsi="仿宋" w:cs="仿宋" w:hint="eastAsia"/>
            <w:lang w:eastAsia="zh-CN"/>
          </w:rPr>
          <w:t>(八)、环境保护综合评价</w:t>
        </w:r>
        <w:r>
          <w:tab/>
        </w:r>
        <w:r>
          <w:fldChar w:fldCharType="begin"/>
        </w:r>
        <w:r>
          <w:instrText xml:space="preserve"> PAGEREF _Toc26254 \h </w:instrText>
        </w:r>
        <w:r>
          <w:fldChar w:fldCharType="separate"/>
        </w:r>
        <w:r>
          <w:t>56</w:t>
        </w:r>
        <w:r>
          <w:fldChar w:fldCharType="end"/>
        </w:r>
      </w:hyperlink>
    </w:p>
    <w:p>
      <w:pPr>
        <w:pStyle w:val="TOC1"/>
        <w:tabs>
          <w:tab w:val="right" w:leader="dot" w:pos="8306"/>
        </w:tabs>
      </w:pPr>
      <w:hyperlink w:anchor="_Toc14615" w:history="1">
        <w:r>
          <w:rPr>
            <w:rFonts w:ascii="仿宋" w:eastAsia="仿宋" w:hAnsi="仿宋" w:cs="仿宋" w:hint="eastAsia"/>
            <w:lang w:eastAsia="zh-CN"/>
          </w:rPr>
          <w:t>十三、水杨酸锌改性树脂(无碳复写纸显色剂)项目实施时间节点</w:t>
        </w:r>
        <w:r>
          <w:tab/>
        </w:r>
        <w:r>
          <w:fldChar w:fldCharType="begin"/>
        </w:r>
        <w:r>
          <w:instrText xml:space="preserve"> PAGEREF _Toc14615 \h </w:instrText>
        </w:r>
        <w:r>
          <w:fldChar w:fldCharType="separate"/>
        </w:r>
        <w:r>
          <w:t>58</w:t>
        </w:r>
        <w:r>
          <w:fldChar w:fldCharType="end"/>
        </w:r>
      </w:hyperlink>
    </w:p>
    <w:p>
      <w:pPr>
        <w:pStyle w:val="TOC2"/>
        <w:tabs>
          <w:tab w:val="right" w:leader="dot" w:pos="8306"/>
        </w:tabs>
      </w:pPr>
      <w:hyperlink w:anchor="_Toc18241" w:history="1">
        <w:r>
          <w:rPr>
            <w:rFonts w:ascii="仿宋" w:eastAsia="仿宋" w:hAnsi="仿宋" w:cs="仿宋" w:hint="eastAsia"/>
            <w:lang w:eastAsia="zh-CN"/>
          </w:rPr>
          <w:t>(一)、水杨酸锌改性树脂(无碳复写纸显色剂)项目启动阶段时间节点</w:t>
        </w:r>
        <w:r>
          <w:tab/>
        </w:r>
        <w:r>
          <w:fldChar w:fldCharType="begin"/>
        </w:r>
        <w:r>
          <w:instrText xml:space="preserve"> PAGEREF _Toc18241 \h </w:instrText>
        </w:r>
        <w:r>
          <w:fldChar w:fldCharType="separate"/>
        </w:r>
        <w:r>
          <w:t>58</w:t>
        </w:r>
        <w:r>
          <w:fldChar w:fldCharType="end"/>
        </w:r>
      </w:hyperlink>
    </w:p>
    <w:p>
      <w:pPr>
        <w:pStyle w:val="TOC2"/>
        <w:tabs>
          <w:tab w:val="right" w:leader="dot" w:pos="8306"/>
        </w:tabs>
      </w:pPr>
      <w:hyperlink w:anchor="_Toc3743" w:history="1">
        <w:r>
          <w:rPr>
            <w:rFonts w:ascii="仿宋" w:eastAsia="仿宋" w:hAnsi="仿宋" w:cs="仿宋" w:hint="eastAsia"/>
            <w:lang w:eastAsia="zh-CN"/>
          </w:rPr>
          <w:t>(二)、水杨酸锌改性树脂(无碳复写纸显色剂)项目执行阶段时间节点</w:t>
        </w:r>
        <w:r>
          <w:tab/>
        </w:r>
        <w:r>
          <w:fldChar w:fldCharType="begin"/>
        </w:r>
        <w:r>
          <w:instrText xml:space="preserve"> PAGEREF _Toc3743 \h </w:instrText>
        </w:r>
        <w:r>
          <w:fldChar w:fldCharType="separate"/>
        </w:r>
        <w:r>
          <w:t>59</w:t>
        </w:r>
        <w:r>
          <w:fldChar w:fldCharType="end"/>
        </w:r>
      </w:hyperlink>
    </w:p>
    <w:p>
      <w:pPr>
        <w:pStyle w:val="TOC2"/>
        <w:tabs>
          <w:tab w:val="right" w:leader="dot" w:pos="8306"/>
        </w:tabs>
      </w:pPr>
      <w:hyperlink w:anchor="_Toc6500" w:history="1">
        <w:r>
          <w:rPr>
            <w:rFonts w:ascii="仿宋" w:eastAsia="仿宋" w:hAnsi="仿宋" w:cs="仿宋" w:hint="eastAsia"/>
            <w:lang w:eastAsia="zh-CN"/>
          </w:rPr>
          <w:t>(三)、水杨酸锌改性树脂(无碳复写纸显色剂)项目完成阶段时间节点</w:t>
        </w:r>
        <w:r>
          <w:tab/>
        </w:r>
        <w:r>
          <w:fldChar w:fldCharType="begin"/>
        </w:r>
        <w:r>
          <w:instrText xml:space="preserve"> PAGEREF _Toc6500 \h </w:instrText>
        </w:r>
        <w:r>
          <w:fldChar w:fldCharType="separate"/>
        </w:r>
        <w:r>
          <w:t>61</w:t>
        </w:r>
        <w:r>
          <w:fldChar w:fldCharType="end"/>
        </w:r>
      </w:hyperlink>
    </w:p>
    <w:p>
      <w:pPr>
        <w:pStyle w:val="TOC1"/>
        <w:tabs>
          <w:tab w:val="right" w:leader="dot" w:pos="8306"/>
        </w:tabs>
      </w:pPr>
      <w:hyperlink w:anchor="_Toc29478" w:history="1">
        <w:r>
          <w:rPr>
            <w:rFonts w:ascii="仿宋" w:eastAsia="仿宋" w:hAnsi="仿宋" w:cs="仿宋" w:hint="eastAsia"/>
            <w:lang w:eastAsia="zh-CN"/>
          </w:rPr>
          <w:t>十四、供应链管理</w:t>
        </w:r>
        <w:r>
          <w:tab/>
        </w:r>
        <w:r>
          <w:fldChar w:fldCharType="begin"/>
        </w:r>
        <w:r>
          <w:instrText xml:space="preserve"> PAGEREF _Toc29478 \h </w:instrText>
        </w:r>
        <w:r>
          <w:fldChar w:fldCharType="separate"/>
        </w:r>
        <w:r>
          <w:t>62</w:t>
        </w:r>
        <w:r>
          <w:fldChar w:fldCharType="end"/>
        </w:r>
      </w:hyperlink>
    </w:p>
    <w:p>
      <w:pPr>
        <w:pStyle w:val="TOC2"/>
        <w:tabs>
          <w:tab w:val="right" w:leader="dot" w:pos="8306"/>
        </w:tabs>
      </w:pPr>
      <w:hyperlink w:anchor="_Toc24989" w:history="1">
        <w:r>
          <w:rPr>
            <w:rFonts w:ascii="仿宋" w:eastAsia="仿宋" w:hAnsi="仿宋" w:cs="仿宋" w:hint="eastAsia"/>
            <w:lang w:eastAsia="zh-CN"/>
          </w:rPr>
          <w:t>(一)、供应链战略规划</w:t>
        </w:r>
        <w:r>
          <w:tab/>
        </w:r>
        <w:r>
          <w:fldChar w:fldCharType="begin"/>
        </w:r>
        <w:r>
          <w:instrText xml:space="preserve"> PAGEREF _Toc24989 \h </w:instrText>
        </w:r>
        <w:r>
          <w:fldChar w:fldCharType="separate"/>
        </w:r>
        <w:r>
          <w:t>62</w:t>
        </w:r>
        <w:r>
          <w:fldChar w:fldCharType="end"/>
        </w:r>
      </w:hyperlink>
    </w:p>
    <w:p>
      <w:pPr>
        <w:pStyle w:val="TOC2"/>
        <w:tabs>
          <w:tab w:val="right" w:leader="dot" w:pos="8306"/>
        </w:tabs>
      </w:pPr>
      <w:hyperlink w:anchor="_Toc9527" w:history="1">
        <w:r>
          <w:rPr>
            <w:rFonts w:ascii="仿宋" w:eastAsia="仿宋" w:hAnsi="仿宋" w:cs="仿宋" w:hint="eastAsia"/>
            <w:lang w:eastAsia="zh-CN"/>
          </w:rPr>
          <w:t>(二)、供应商选择与合作</w:t>
        </w:r>
        <w:r>
          <w:tab/>
        </w:r>
        <w:r>
          <w:fldChar w:fldCharType="begin"/>
        </w:r>
        <w:r>
          <w:instrText xml:space="preserve"> PAGEREF _Toc9527 \h </w:instrText>
        </w:r>
        <w:r>
          <w:fldChar w:fldCharType="separate"/>
        </w:r>
        <w:r>
          <w:t>64</w:t>
        </w:r>
        <w:r>
          <w:fldChar w:fldCharType="end"/>
        </w:r>
      </w:hyperlink>
    </w:p>
    <w:p>
      <w:pPr>
        <w:pStyle w:val="TOC2"/>
        <w:tabs>
          <w:tab w:val="right" w:leader="dot" w:pos="8306"/>
        </w:tabs>
      </w:pPr>
      <w:hyperlink w:anchor="_Toc26330" w:history="1">
        <w:r>
          <w:rPr>
            <w:rFonts w:ascii="仿宋" w:eastAsia="仿宋" w:hAnsi="仿宋" w:cs="仿宋" w:hint="eastAsia"/>
            <w:lang w:eastAsia="zh-CN"/>
          </w:rPr>
          <w:t>(三)、物流与库存管理</w:t>
        </w:r>
        <w:r>
          <w:tab/>
        </w:r>
        <w:r>
          <w:fldChar w:fldCharType="begin"/>
        </w:r>
        <w:r>
          <w:instrText xml:space="preserve"> PAGEREF _Toc26330 \h </w:instrText>
        </w:r>
        <w:r>
          <w:fldChar w:fldCharType="separate"/>
        </w:r>
        <w:r>
          <w:t>65</w:t>
        </w:r>
        <w:r>
          <w:fldChar w:fldCharType="end"/>
        </w:r>
      </w:hyperlink>
    </w:p>
    <w:p>
      <w:pPr>
        <w:pStyle w:val="TOC1"/>
        <w:tabs>
          <w:tab w:val="right" w:leader="dot" w:pos="8306"/>
        </w:tabs>
      </w:pPr>
      <w:hyperlink w:anchor="_Toc4174" w:history="1">
        <w:r>
          <w:rPr>
            <w:rFonts w:ascii="仿宋" w:eastAsia="仿宋" w:hAnsi="仿宋" w:cs="仿宋" w:hint="eastAsia"/>
            <w:lang w:eastAsia="zh-CN"/>
          </w:rPr>
          <w:t>十五、质量管理体系</w:t>
        </w:r>
        <w:r>
          <w:tab/>
        </w:r>
        <w:r>
          <w:fldChar w:fldCharType="begin"/>
        </w:r>
        <w:r>
          <w:instrText xml:space="preserve"> PAGEREF _Toc4174 \h </w:instrText>
        </w:r>
        <w:r>
          <w:fldChar w:fldCharType="separate"/>
        </w:r>
        <w:r>
          <w:t>66</w:t>
        </w:r>
        <w:r>
          <w:fldChar w:fldCharType="end"/>
        </w:r>
      </w:hyperlink>
    </w:p>
    <w:p>
      <w:pPr>
        <w:pStyle w:val="TOC2"/>
        <w:tabs>
          <w:tab w:val="right" w:leader="dot" w:pos="8306"/>
        </w:tabs>
      </w:pPr>
      <w:hyperlink w:anchor="_Toc19915" w:history="1">
        <w:r>
          <w:rPr>
            <w:rFonts w:ascii="仿宋" w:eastAsia="仿宋" w:hAnsi="仿宋" w:cs="仿宋" w:hint="eastAsia"/>
            <w:lang w:eastAsia="zh-CN"/>
          </w:rPr>
          <w:t>(一)、质量目标与方针</w:t>
        </w:r>
        <w:r>
          <w:tab/>
        </w:r>
        <w:r>
          <w:fldChar w:fldCharType="begin"/>
        </w:r>
        <w:r>
          <w:instrText xml:space="preserve"> PAGEREF _Toc19915 \h </w:instrText>
        </w:r>
        <w:r>
          <w:fldChar w:fldCharType="separate"/>
        </w:r>
        <w:r>
          <w:t>66</w:t>
        </w:r>
        <w:r>
          <w:fldChar w:fldCharType="end"/>
        </w:r>
      </w:hyperlink>
    </w:p>
    <w:p>
      <w:pPr>
        <w:pStyle w:val="TOC2"/>
        <w:tabs>
          <w:tab w:val="right" w:leader="dot" w:pos="8306"/>
        </w:tabs>
      </w:pPr>
      <w:hyperlink w:anchor="_Toc6390" w:history="1">
        <w:r>
          <w:rPr>
            <w:rFonts w:ascii="仿宋" w:eastAsia="仿宋" w:hAnsi="仿宋" w:cs="仿宋" w:hint="eastAsia"/>
            <w:lang w:eastAsia="zh-CN"/>
          </w:rPr>
          <w:t>(二)、质量管理责任</w:t>
        </w:r>
        <w:r>
          <w:tab/>
        </w:r>
        <w:r>
          <w:fldChar w:fldCharType="begin"/>
        </w:r>
        <w:r>
          <w:instrText xml:space="preserve"> PAGEREF _Toc6390 \h </w:instrText>
        </w:r>
        <w:r>
          <w:fldChar w:fldCharType="separate"/>
        </w:r>
        <w:r>
          <w:t>68</w:t>
        </w:r>
        <w:r>
          <w:fldChar w:fldCharType="end"/>
        </w:r>
      </w:hyperlink>
    </w:p>
    <w:p>
      <w:pPr>
        <w:pStyle w:val="TOC2"/>
        <w:tabs>
          <w:tab w:val="right" w:leader="dot" w:pos="8306"/>
        </w:tabs>
      </w:pPr>
      <w:hyperlink w:anchor="_Toc22787" w:history="1">
        <w:r>
          <w:rPr>
            <w:rFonts w:ascii="仿宋" w:eastAsia="仿宋" w:hAnsi="仿宋" w:cs="仿宋" w:hint="eastAsia"/>
            <w:lang w:eastAsia="zh-CN"/>
          </w:rPr>
          <w:t>(三)、质量管理体系文件</w:t>
        </w:r>
        <w:r>
          <w:tab/>
        </w:r>
        <w:r>
          <w:fldChar w:fldCharType="begin"/>
        </w:r>
        <w:r>
          <w:instrText xml:space="preserve"> PAGEREF _Toc22787 \h </w:instrText>
        </w:r>
        <w:r>
          <w:fldChar w:fldCharType="separate"/>
        </w:r>
        <w:r>
          <w:t>69</w:t>
        </w:r>
        <w:r>
          <w:fldChar w:fldCharType="end"/>
        </w:r>
      </w:hyperlink>
    </w:p>
    <w:p>
      <w:pPr>
        <w:pStyle w:val="TOC2"/>
        <w:tabs>
          <w:tab w:val="right" w:leader="dot" w:pos="8306"/>
        </w:tabs>
      </w:pPr>
      <w:hyperlink w:anchor="_Toc28384" w:history="1">
        <w:r>
          <w:rPr>
            <w:rFonts w:ascii="仿宋" w:eastAsia="仿宋" w:hAnsi="仿宋" w:cs="仿宋" w:hint="eastAsia"/>
            <w:lang w:eastAsia="zh-CN"/>
          </w:rPr>
          <w:t>(四)、质量培训与教育</w:t>
        </w:r>
        <w:r>
          <w:tab/>
        </w:r>
        <w:r>
          <w:fldChar w:fldCharType="begin"/>
        </w:r>
        <w:r>
          <w:instrText xml:space="preserve"> PAGEREF _Toc28384 \h </w:instrText>
        </w:r>
        <w:r>
          <w:fldChar w:fldCharType="separate"/>
        </w:r>
        <w:r>
          <w:t>71</w:t>
        </w:r>
        <w:r>
          <w:fldChar w:fldCharType="end"/>
        </w:r>
      </w:hyperlink>
    </w:p>
    <w:p>
      <w:pPr>
        <w:pStyle w:val="TOC2"/>
        <w:tabs>
          <w:tab w:val="right" w:leader="dot" w:pos="8306"/>
        </w:tabs>
      </w:pPr>
      <w:hyperlink w:anchor="_Toc15152" w:history="1">
        <w:r>
          <w:rPr>
            <w:rFonts w:ascii="仿宋" w:eastAsia="仿宋" w:hAnsi="仿宋" w:cs="仿宋" w:hint="eastAsia"/>
            <w:lang w:eastAsia="zh-CN"/>
          </w:rPr>
          <w:t>(五)、质量审核与评价</w:t>
        </w:r>
        <w:r>
          <w:tab/>
        </w:r>
        <w:r>
          <w:fldChar w:fldCharType="begin"/>
        </w:r>
        <w:r>
          <w:instrText xml:space="preserve"> PAGEREF _Toc15152 \h </w:instrText>
        </w:r>
        <w:r>
          <w:fldChar w:fldCharType="separate"/>
        </w:r>
        <w:r>
          <w:t>73</w:t>
        </w:r>
        <w:r>
          <w:fldChar w:fldCharType="end"/>
        </w:r>
      </w:hyperlink>
    </w:p>
    <w:p>
      <w:pPr>
        <w:pStyle w:val="TOC2"/>
        <w:tabs>
          <w:tab w:val="right" w:leader="dot" w:pos="8306"/>
        </w:tabs>
      </w:pPr>
      <w:hyperlink w:anchor="_Toc15549" w:history="1">
        <w:r>
          <w:rPr>
            <w:rFonts w:ascii="仿宋" w:eastAsia="仿宋" w:hAnsi="仿宋" w:cs="仿宋" w:hint="eastAsia"/>
            <w:lang w:eastAsia="zh-CN"/>
          </w:rPr>
          <w:t>(六)、不符合与纠正措施</w:t>
        </w:r>
        <w:r>
          <w:tab/>
        </w:r>
        <w:r>
          <w:fldChar w:fldCharType="begin"/>
        </w:r>
        <w:r>
          <w:instrText xml:space="preserve"> PAGEREF _Toc15549 \h </w:instrText>
        </w:r>
        <w:r>
          <w:fldChar w:fldCharType="separate"/>
        </w:r>
        <w:r>
          <w:t>74</w:t>
        </w:r>
        <w:r>
          <w:fldChar w:fldCharType="end"/>
        </w:r>
      </w:hyperlink>
    </w:p>
    <w:p>
      <w:pPr>
        <w:pStyle w:val="TOC1"/>
        <w:tabs>
          <w:tab w:val="right" w:leader="dot" w:pos="8306"/>
        </w:tabs>
      </w:pPr>
      <w:hyperlink w:anchor="_Toc5133" w:history="1">
        <w:r>
          <w:rPr>
            <w:rFonts w:ascii="仿宋" w:eastAsia="仿宋" w:hAnsi="仿宋" w:cs="仿宋" w:hint="eastAsia"/>
            <w:lang w:eastAsia="zh-CN"/>
          </w:rPr>
          <w:t>十六、利益相关者分析与沟通计划</w:t>
        </w:r>
        <w:r>
          <w:tab/>
        </w:r>
        <w:r>
          <w:fldChar w:fldCharType="begin"/>
        </w:r>
        <w:r>
          <w:instrText xml:space="preserve"> PAGEREF _Toc5133 \h </w:instrText>
        </w:r>
        <w:r>
          <w:fldChar w:fldCharType="separate"/>
        </w:r>
        <w:r>
          <w:t>75</w:t>
        </w:r>
        <w:r>
          <w:fldChar w:fldCharType="end"/>
        </w:r>
      </w:hyperlink>
    </w:p>
    <w:p>
      <w:pPr>
        <w:pStyle w:val="TOC2"/>
        <w:tabs>
          <w:tab w:val="right" w:leader="dot" w:pos="8306"/>
        </w:tabs>
      </w:pPr>
      <w:hyperlink w:anchor="_Toc3042" w:history="1">
        <w:r>
          <w:rPr>
            <w:rFonts w:ascii="仿宋" w:eastAsia="仿宋" w:hAnsi="仿宋" w:cs="仿宋" w:hint="eastAsia"/>
            <w:lang w:eastAsia="zh-CN"/>
          </w:rPr>
          <w:t>(一)、利益相关者分析</w:t>
        </w:r>
        <w:r>
          <w:tab/>
        </w:r>
        <w:r>
          <w:fldChar w:fldCharType="begin"/>
        </w:r>
        <w:r>
          <w:instrText xml:space="preserve"> PAGEREF _Toc3042 \h </w:instrText>
        </w:r>
        <w:r>
          <w:fldChar w:fldCharType="separate"/>
        </w:r>
        <w:r>
          <w:t>75</w:t>
        </w:r>
        <w:r>
          <w:fldChar w:fldCharType="end"/>
        </w:r>
      </w:hyperlink>
    </w:p>
    <w:p>
      <w:pPr>
        <w:pStyle w:val="TOC2"/>
        <w:tabs>
          <w:tab w:val="right" w:leader="dot" w:pos="8306"/>
        </w:tabs>
      </w:pPr>
      <w:hyperlink w:anchor="_Toc13826" w:history="1">
        <w:r>
          <w:rPr>
            <w:rFonts w:ascii="仿宋" w:eastAsia="仿宋" w:hAnsi="仿宋" w:cs="仿宋" w:hint="eastAsia"/>
            <w:lang w:eastAsia="zh-CN"/>
          </w:rPr>
          <w:t>(二)、沟通计划</w:t>
        </w:r>
        <w:r>
          <w:tab/>
        </w:r>
        <w:r>
          <w:fldChar w:fldCharType="begin"/>
        </w:r>
        <w:r>
          <w:instrText xml:space="preserve"> PAGEREF _Toc13826 \h </w:instrText>
        </w:r>
        <w:r>
          <w:fldChar w:fldCharType="separate"/>
        </w:r>
        <w:r>
          <w:t>77</w:t>
        </w:r>
        <w:r>
          <w:fldChar w:fldCharType="end"/>
        </w:r>
      </w:hyperlink>
    </w:p>
    <w:p>
      <w:pPr>
        <w:pStyle w:val="TOC1"/>
        <w:tabs>
          <w:tab w:val="right" w:leader="dot" w:pos="8306"/>
        </w:tabs>
      </w:pPr>
      <w:hyperlink w:anchor="_Toc8697" w:history="1">
        <w:r>
          <w:rPr>
            <w:rFonts w:ascii="仿宋" w:eastAsia="仿宋" w:hAnsi="仿宋" w:cs="仿宋" w:hint="eastAsia"/>
            <w:lang w:eastAsia="zh-CN"/>
          </w:rPr>
          <w:t>十七、营销与推广策略</w:t>
        </w:r>
        <w:r>
          <w:tab/>
        </w:r>
        <w:r>
          <w:fldChar w:fldCharType="begin"/>
        </w:r>
        <w:r>
          <w:instrText xml:space="preserve"> PAGEREF _Toc8697 \h </w:instrText>
        </w:r>
        <w:r>
          <w:fldChar w:fldCharType="separate"/>
        </w:r>
        <w:r>
          <w:t>78</w:t>
        </w:r>
        <w:r>
          <w:fldChar w:fldCharType="end"/>
        </w:r>
      </w:hyperlink>
    </w:p>
    <w:p>
      <w:pPr>
        <w:pStyle w:val="TOC2"/>
        <w:tabs>
          <w:tab w:val="right" w:leader="dot" w:pos="8306"/>
        </w:tabs>
      </w:pPr>
      <w:hyperlink w:anchor="_Toc386" w:history="1">
        <w:r>
          <w:rPr>
            <w:rFonts w:ascii="仿宋" w:eastAsia="仿宋" w:hAnsi="仿宋" w:cs="仿宋" w:hint="eastAsia"/>
            <w:lang w:eastAsia="zh-CN"/>
          </w:rPr>
          <w:t>(一)、产品/服务定位与特点</w:t>
        </w:r>
        <w:r>
          <w:tab/>
        </w:r>
        <w:r>
          <w:fldChar w:fldCharType="begin"/>
        </w:r>
        <w:r>
          <w:instrText xml:space="preserve"> PAGEREF _Toc386 \h </w:instrText>
        </w:r>
        <w:r>
          <w:fldChar w:fldCharType="separate"/>
        </w:r>
        <w:r>
          <w:t>78</w:t>
        </w:r>
        <w:r>
          <w:fldChar w:fldCharType="end"/>
        </w:r>
      </w:hyperlink>
    </w:p>
    <w:p>
      <w:pPr>
        <w:pStyle w:val="TOC2"/>
        <w:tabs>
          <w:tab w:val="right" w:leader="dot" w:pos="8306"/>
        </w:tabs>
      </w:pPr>
      <w:hyperlink w:anchor="_Toc4429" w:history="1">
        <w:r>
          <w:rPr>
            <w:rFonts w:ascii="仿宋" w:eastAsia="仿宋" w:hAnsi="仿宋" w:cs="仿宋" w:hint="eastAsia"/>
            <w:lang w:eastAsia="zh-CN"/>
          </w:rPr>
          <w:t>(二)、市场定位与竞争分析</w:t>
        </w:r>
        <w:r>
          <w:tab/>
        </w:r>
        <w:r>
          <w:fldChar w:fldCharType="begin"/>
        </w:r>
        <w:r>
          <w:instrText xml:space="preserve"> PAGEREF _Toc4429 \h </w:instrText>
        </w:r>
        <w:r>
          <w:fldChar w:fldCharType="separate"/>
        </w:r>
        <w:r>
          <w:t>79</w:t>
        </w:r>
        <w:r>
          <w:fldChar w:fldCharType="end"/>
        </w:r>
      </w:hyperlink>
    </w:p>
    <w:p>
      <w:pPr>
        <w:pStyle w:val="TOC2"/>
        <w:tabs>
          <w:tab w:val="right" w:leader="dot" w:pos="8306"/>
        </w:tabs>
      </w:pPr>
      <w:hyperlink w:anchor="_Toc19629" w:history="1">
        <w:r>
          <w:rPr>
            <w:rFonts w:ascii="仿宋" w:eastAsia="仿宋" w:hAnsi="仿宋" w:cs="仿宋" w:hint="eastAsia"/>
            <w:lang w:eastAsia="zh-CN"/>
          </w:rPr>
          <w:t>(三)、营销渠道与策略</w:t>
        </w:r>
        <w:r>
          <w:tab/>
        </w:r>
        <w:r>
          <w:fldChar w:fldCharType="begin"/>
        </w:r>
        <w:r>
          <w:instrText xml:space="preserve"> PAGEREF _Toc19629 \h </w:instrText>
        </w:r>
        <w:r>
          <w:fldChar w:fldCharType="separate"/>
        </w:r>
        <w:r>
          <w:t>80</w:t>
        </w:r>
        <w:r>
          <w:fldChar w:fldCharType="end"/>
        </w:r>
      </w:hyperlink>
    </w:p>
    <w:p>
      <w:pPr>
        <w:pStyle w:val="TOC2"/>
        <w:tabs>
          <w:tab w:val="right" w:leader="dot" w:pos="8306"/>
        </w:tabs>
      </w:pPr>
      <w:hyperlink w:anchor="_Toc14456" w:history="1">
        <w:r>
          <w:rPr>
            <w:rFonts w:ascii="仿宋" w:eastAsia="仿宋" w:hAnsi="仿宋" w:cs="仿宋" w:hint="eastAsia"/>
            <w:lang w:eastAsia="zh-CN"/>
          </w:rPr>
          <w:t>(四)、推广与宣传活动</w:t>
        </w:r>
        <w:r>
          <w:tab/>
        </w:r>
        <w:r>
          <w:fldChar w:fldCharType="begin"/>
        </w:r>
        <w:r>
          <w:instrText xml:space="preserve"> PAGEREF _Toc14456 \h </w:instrText>
        </w:r>
        <w:r>
          <w:fldChar w:fldCharType="separate"/>
        </w:r>
        <w:r>
          <w:t>82</w:t>
        </w:r>
        <w:r>
          <w:fldChar w:fldCharType="end"/>
        </w:r>
      </w:hyperlink>
    </w:p>
    <w:p>
      <w:pPr>
        <w:pStyle w:val="TOC1"/>
        <w:tabs>
          <w:tab w:val="right" w:leader="dot" w:pos="8306"/>
        </w:tabs>
      </w:pPr>
      <w:hyperlink w:anchor="_Toc16583" w:history="1">
        <w:r>
          <w:rPr>
            <w:rFonts w:ascii="仿宋" w:eastAsia="仿宋" w:hAnsi="仿宋" w:cs="仿宋" w:hint="eastAsia"/>
            <w:lang w:eastAsia="zh-CN"/>
          </w:rPr>
          <w:t>十八、水杨酸锌改性树脂(无碳复写纸显色剂)项目工程方案分析</w:t>
        </w:r>
        <w:r>
          <w:tab/>
        </w:r>
        <w:r>
          <w:fldChar w:fldCharType="begin"/>
        </w:r>
        <w:r>
          <w:instrText xml:space="preserve"> PAGEREF _Toc16583 \h </w:instrText>
        </w:r>
        <w:r>
          <w:fldChar w:fldCharType="separate"/>
        </w:r>
        <w:r>
          <w:t>87</w:t>
        </w:r>
        <w:r>
          <w:fldChar w:fldCharType="end"/>
        </w:r>
      </w:hyperlink>
    </w:p>
    <w:p>
      <w:pPr>
        <w:pStyle w:val="TOC2"/>
        <w:tabs>
          <w:tab w:val="right" w:leader="dot" w:pos="8306"/>
        </w:tabs>
      </w:pPr>
      <w:hyperlink w:anchor="_Toc5241" w:history="1">
        <w:r>
          <w:rPr>
            <w:rFonts w:ascii="仿宋" w:eastAsia="仿宋" w:hAnsi="仿宋" w:cs="仿宋" w:hint="eastAsia"/>
            <w:lang w:eastAsia="zh-CN"/>
          </w:rPr>
          <w:t>(一)、建筑工程设计原则</w:t>
        </w:r>
        <w:r>
          <w:tab/>
        </w:r>
        <w:r>
          <w:fldChar w:fldCharType="begin"/>
        </w:r>
        <w:r>
          <w:instrText xml:space="preserve"> PAGEREF _Toc5241 \h </w:instrText>
        </w:r>
        <w:r>
          <w:fldChar w:fldCharType="separate"/>
        </w:r>
        <w:r>
          <w:t>87</w:t>
        </w:r>
        <w:r>
          <w:fldChar w:fldCharType="end"/>
        </w:r>
      </w:hyperlink>
    </w:p>
    <w:p>
      <w:pPr>
        <w:pStyle w:val="TOC2"/>
        <w:tabs>
          <w:tab w:val="right" w:leader="dot" w:pos="8306"/>
        </w:tabs>
      </w:pPr>
      <w:hyperlink w:anchor="_Toc9333" w:history="1">
        <w:r>
          <w:rPr>
            <w:rFonts w:ascii="仿宋" w:eastAsia="仿宋" w:hAnsi="仿宋" w:cs="仿宋" w:hint="eastAsia"/>
            <w:lang w:eastAsia="zh-CN"/>
          </w:rPr>
          <w:t>(二)、土建工程建设指标</w:t>
        </w:r>
        <w:r>
          <w:tab/>
        </w:r>
        <w:r>
          <w:fldChar w:fldCharType="begin"/>
        </w:r>
        <w:r>
          <w:instrText xml:space="preserve"> PAGEREF _Toc9333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905"/>
      <w:r>
        <w:rPr>
          <w:rFonts w:ascii="仿宋" w:eastAsia="仿宋" w:hAnsi="仿宋" w:cs="仿宋" w:hint="eastAsia"/>
          <w:sz w:val="28"/>
          <w:lang w:eastAsia="zh-CN"/>
        </w:rPr>
        <w:t>一、水杨酸锌改性树脂(无碳复写纸显色剂)项目建设背景及必要性分析</w:t>
      </w:r>
      <w:bookmarkEnd w:id="2"/>
    </w:p>
    <w:p>
      <w:pPr>
        <w:pStyle w:val="Heading2"/>
        <w:rPr>
          <w:rFonts w:ascii="仿宋" w:eastAsia="仿宋" w:hAnsi="仿宋" w:cs="仿宋" w:hint="eastAsia"/>
          <w:lang w:eastAsia="zh-CN"/>
        </w:rPr>
      </w:pPr>
      <w:bookmarkStart w:id="3" w:name="_Toc201"/>
      <w:r>
        <w:rPr>
          <w:rFonts w:ascii="仿宋" w:eastAsia="仿宋" w:hAnsi="仿宋" w:cs="仿宋" w:hint="eastAsia"/>
          <w:lang w:eastAsia="zh-CN"/>
        </w:rPr>
        <w:t>(一)、水杨酸锌改性树脂(无碳复写纸显色剂)项目背景分析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杨酸锌改性树脂(无碳复写纸显色剂)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杨酸锌改性树脂(无碳复写纸显色剂)项目在这个潮流中的定位。同时，我们将关注行业内涌现的新兴机遇，以便水杨酸锌改性树脂(无碳复写纸显色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杨酸锌改性树脂(无碳复写纸显色剂)项目提供了强大的发展动力。我们将聚焦于行业内最新的技术发展趋势，包括但不限于人工智能、大数据分析、物联网等领域。通过深度的技术研究，我们将确保水杨酸锌改性树脂(无碳复写纸显色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杨酸锌改性树脂(无碳复写纸显色剂)项目发展的源泉。我们将投入更多的精力对市场需求进行深入剖析，超越表面的需求，深入挖掘潜在的市场痛点和机遇。通过对市场需求的细致了解，水杨酸锌改性树脂(无碳复写纸显色剂)项目将更有针对性地设计解决方案，满足市场的多样化需求，从而更好地促进水杨酸锌改性树脂(无碳复写纸显色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杨酸锌改性树脂(无碳复写纸显色剂)项目战略至关重要。我们将对竞争态势进行更为深入的分析，包括但不限于市场份额、产品特点、客户满意度等多个维度。通过深度的竞争分析，水杨酸锌改性树脂(无碳复写纸显色剂)项目将能够更准确地把握市场脉搏，制定具有竞争力的水杨酸锌改性树脂(无碳复写纸显色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杨酸锌改性树脂(无碳复写纸显色剂)项目的发展具有直接的影响。我们将进行更为全面的法规和政策分析，了解行业发展中的潜在法律风险和合规挑战。通过充分了解和遵守相关法规，水杨酸锌改性树脂(无碳复写纸显色剂)项目将确保在法律框架内合法合规运营，为水杨酸锌改性树脂(无碳复写纸显色剂)项目的稳健发展提供有力支持。</w:t>
      </w:r>
    </w:p>
    <w:p>
      <w:pPr>
        <w:pStyle w:val="Heading2"/>
        <w:ind w:firstLine="560" w:firstLineChars="200"/>
        <w:rPr>
          <w:rFonts w:ascii="仿宋" w:eastAsia="仿宋" w:hAnsi="仿宋" w:cs="仿宋" w:hint="eastAsia"/>
          <w:sz w:val="28"/>
          <w:lang w:eastAsia="zh-CN"/>
        </w:rPr>
      </w:pPr>
      <w:bookmarkStart w:id="4" w:name="_Toc20"/>
      <w:r>
        <w:rPr>
          <w:rFonts w:ascii="仿宋" w:eastAsia="仿宋" w:hAnsi="仿宋" w:cs="仿宋" w:hint="eastAsia"/>
          <w:sz w:val="28"/>
          <w:lang w:eastAsia="zh-CN"/>
        </w:rPr>
        <w:t>(二)、水杨酸锌改性树脂(无碳复写纸显色剂)项目建设必要性分析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建设的迫切性源于对行业发展趋势的深刻洞察。我们正处于一个行业变革的时代，科技创新、数字化转型成为企业发展的关键动力。水杨酸锌改性树脂(无碳复写纸显色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建设不仅仅是为了跟上潮流，更是为了通过技术创新推动企业的持续发展。通过引入先进的技术和解决方案，水杨酸锌改性树脂(无碳复写纸显色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杨酸锌改性树脂(无碳复写纸显色剂)项目的建设成为必然选择，通过提高产品质量、拓展服务领域，从而在竞争中获得更多的机会。水杨酸锌改性树脂(无碳复写纸显色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杨酸锌改性树脂(无碳复写纸显色剂)项目建设的必要性体现在对客户需求更精准的满足。通过水杨酸锌改性树脂(无碳复写纸显色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杨酸锌改性树脂(无碳复写纸显色剂)项目建设的背后是对企业持续创新的追求。只有通过不断创新，企业才能在竞争中立于不败之地。水杨酸锌改性树脂(无碳复写纸显色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34"/>
      <w:r>
        <w:rPr>
          <w:rFonts w:ascii="仿宋" w:eastAsia="仿宋" w:hAnsi="仿宋" w:cs="仿宋" w:hint="eastAsia"/>
          <w:lang w:eastAsia="zh-CN"/>
        </w:rPr>
        <w:t>(一)、水杨酸锌改性树脂(无碳复写纸显色剂)行业分析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行业一直以来都是市场的关注焦点。行业内的发展趋势、竞争态势以及潜在机会都对水杨酸锌改性树脂(无碳复写纸显色剂)项目的推进产生深远的影响。通过深入研究行业的整体概貌，我们将更好地理解行业的核心特征，为水杨酸锌改性树脂(无碳复写纸显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行业，技术一直是推动创新和发展的关键因素。我们将对当前技术趋势进行详尽分析，包括但不限于人工智能、大数据应用、先进制造技术等。这有助于水杨酸锌改性树脂(无碳复写纸显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水杨酸锌改性树脂(无碳复写纸显色剂)项目成功的基础。我们将对主要竞争对手进行深入研究，包括其市场份额、产品特点、市场定位等。通过全面了解竞争对手的优势和劣势，水杨酸锌改性树脂(无碳复写纸显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112"/>
      <w:r>
        <w:rPr>
          <w:rFonts w:ascii="仿宋" w:eastAsia="仿宋" w:hAnsi="仿宋" w:cs="仿宋" w:hint="eastAsia"/>
          <w:sz w:val="28"/>
          <w:lang w:eastAsia="zh-CN"/>
        </w:rPr>
        <w:t>(二)、水杨酸锌改性树脂(无碳复写纸显色剂)市场分析预测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杨酸锌改性树脂(无碳复写纸显色剂)市场未来的增长趋势。这包括市场的整体规模、各细分领域的发展趋势等。水杨酸锌改性树脂(无碳复写纸显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杨酸锌改性树脂(无碳复写纸显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水杨酸锌改性树脂(无碳复写纸显色剂)项目实施过程中需要充分考虑的因素。我们将对市场风险进行全面评估，包括但不限于政策法规风险、市场竞争风险、技术变革风险等。通过对潜在风险的深入分析，水杨酸锌改性树脂(无碳复写纸显色剂)项目可以制定相应的风险缓解策略，降低不确定性对水杨酸锌改性树脂(无碳复写纸显色剂)项目的影响。</w:t>
      </w:r>
    </w:p>
    <w:p>
      <w:pPr>
        <w:pStyle w:val="Heading1"/>
        <w:ind w:firstLine="560" w:firstLineChars="200"/>
        <w:rPr>
          <w:rFonts w:ascii="仿宋" w:eastAsia="仿宋" w:hAnsi="仿宋" w:cs="仿宋" w:hint="eastAsia"/>
          <w:sz w:val="28"/>
          <w:lang w:eastAsia="zh-CN"/>
        </w:rPr>
      </w:pPr>
      <w:bookmarkStart w:id="8" w:name="_Toc15195"/>
      <w:r>
        <w:rPr>
          <w:rFonts w:ascii="仿宋" w:eastAsia="仿宋" w:hAnsi="仿宋" w:cs="仿宋" w:hint="eastAsia"/>
          <w:sz w:val="28"/>
          <w:lang w:eastAsia="zh-CN"/>
        </w:rPr>
        <w:t>三、水杨酸锌改性树脂(无碳复写纸显色剂)项目危机管理</w:t>
      </w:r>
      <w:bookmarkEnd w:id="8"/>
    </w:p>
    <w:p>
      <w:pPr>
        <w:pStyle w:val="Heading2"/>
        <w:rPr>
          <w:rFonts w:ascii="仿宋" w:eastAsia="仿宋" w:hAnsi="仿宋" w:cs="仿宋" w:hint="eastAsia"/>
          <w:lang w:eastAsia="zh-CN"/>
        </w:rPr>
      </w:pPr>
      <w:bookmarkStart w:id="9" w:name="_Toc838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项目危机管理中，危机预警与识别是确保水杨酸锌改性树脂(无碳复写纸显色剂)项目稳健运行的核心步骤。通过建立全面的监测机制，水杨酸锌改性树脂(无碳复写纸显色剂)项目团队旨在及时发现和理解潜在的风险和危机因素，以便采取及时的预防和应对措施，确保水杨酸锌改性树脂(无碳复写纸显色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杨酸锌改性树脂(无碳复写纸显色剂)项目团队全面分析了整个水杨酸锌改性树脂(无碳复写纸显色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杨酸锌改性树脂(无碳复写纸显色剂)项目团队着重于明确定义水杨酸锌改性树脂(无碳复写纸显色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杨酸锌改性树脂(无碳复写纸显色剂)项目进展的持续监控，团队能够及时发现潜在问题并作出迅速反应。水杨酸锌改性树脂(无碳复写纸显色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杨酸锌改性树脂(无碳复写纸显色剂)项目得以更有序、可控地推进。</w:t>
      </w:r>
    </w:p>
    <w:p>
      <w:pPr>
        <w:pStyle w:val="Heading2"/>
        <w:ind w:firstLine="560" w:firstLineChars="200"/>
        <w:rPr>
          <w:rFonts w:ascii="仿宋" w:eastAsia="仿宋" w:hAnsi="仿宋" w:cs="仿宋" w:hint="eastAsia"/>
          <w:sz w:val="28"/>
          <w:lang w:eastAsia="zh-CN"/>
        </w:rPr>
      </w:pPr>
      <w:bookmarkStart w:id="10" w:name="_Toc170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在危机发生时，水杨酸锌改性树脂(无碳复写纸显色剂)项目团队立即行动，成立了应急小组。该小组的任务是迅速制定并实施紧急应对措施，以最小化潜在损失。以下是采取的主要措施：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暂停水杨酸锌改性树脂(无碳复写纸显色剂)项目进度：为遏制危机蔓延，水杨酸锌改性树脂(无碳复写纸显色剂)项目暂时停止进行，以便全面评估当前状况。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资源重新分配：重新评估水杨酸锌改性树脂(无碳复写纸显色剂)项目资源的分配，确保最大限度地减小损失。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实时沟通：与关键利益相关者建立实时沟通机制，向他们传递水杨酸锌改性树脂(无碳复写纸显色剂)项目危机的实际状况，保障水杨酸锌改性树脂(无碳复写纸显色剂)项目核心利益。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在紧急应对的同时，水杨酸锌改性树脂(无碳复写纸显色剂)项目团队强调了团队协作和有效沟通的重要性。以下是团队协作的关键举措：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信息共享机制：建立了信息共享平台，确保团队成员能够及时获取水杨酸锌改性树脂(无碳复写纸显色剂)项目危机的实时信息。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领导者沟通：水杨酸锌改性树脂(无碳复写纸显色剂)项目领导者通过定期会议和即时沟通工具，指导团队应对危机，保持团队稳定运行。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随着危机得到初步控制，水杨酸锌改性树脂(无碳复写纸显色剂)项目团队转向制定恢复计划，以确保水杨酸锌改性树脂(无碳复写纸显色剂)项目能够从中迅速恢复。主要恢复计划包括：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修复受损的进度计划：重新评估水杨酸锌改性树脂(无碳复写纸显色剂)项目进度，制定修复计划，确保水杨酸锌改性树脂(无碳复写纸显色剂)项目尽快回归正常进程。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重新调整资源分配：优化资源分配，确保水杨酸锌改性树脂(无碳复写纸显色剂)项目在有限资源下高效运转。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风险管理机制加强：对水杨酸锌改性树脂(无碳复写纸显色剂)项目风险进行全面评估，制定更强化的风险管理策略，以预防未来可能的危机。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216"/>
      <w:r>
        <w:rPr>
          <w:rFonts w:ascii="仿宋" w:eastAsia="仿宋" w:hAnsi="仿宋" w:cs="仿宋" w:hint="eastAsia"/>
          <w:sz w:val="28"/>
          <w:lang w:eastAsia="zh-CN"/>
        </w:rPr>
        <w:t>四、水杨酸锌改性树脂(无碳复写纸显色剂)项目文档管理</w:t>
      </w:r>
      <w:bookmarkEnd w:id="11"/>
    </w:p>
    <w:p>
      <w:pPr>
        <w:pStyle w:val="Heading2"/>
        <w:rPr>
          <w:rFonts w:ascii="仿宋" w:eastAsia="仿宋" w:hAnsi="仿宋" w:cs="仿宋" w:hint="eastAsia"/>
          <w:lang w:eastAsia="zh-CN"/>
        </w:rPr>
      </w:pPr>
      <w:bookmarkStart w:id="12" w:name="_Toc281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水杨酸锌改性树脂(无碳复写纸显色剂)项目高度重视文档的质量和准确性，以支持水杨酸锌改性树脂(无碳复写纸显色剂)项目的各项活动和决策。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文档的编制始于水杨酸锌改性树脂(无碳复写纸显色剂)项目计划的初期，我们制定了详细的文档编制计划，明确了每个文档的内容、格式和编写责任人。在水杨酸锌改性树脂(无碳复写纸显色剂)项目启动阶段，我们首先编制了水杨酸锌改性树脂(无碳复写纸显色剂)项目章程，明确定义了水杨酸锌改性树脂(无碳复写纸显色剂)项目的目标、范围、风险等关键要素。随后，水杨酸锌改性树脂(无碳复写纸显色剂)项目团队根据计划陆续编制了需求文档、设计文档、测试文档等各类文档，确保水杨酸锌改性树脂(无碳复写纸显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杨酸锌改性树脂(无碳复写纸显色剂)项目管理中的重要环节，旨在确保水杨酸锌改性树脂(无碳复写纸显色剂)项目文档符合质量标准和水杨酸锌改性树脂(无碳复写纸显色剂)项目需求。在水杨酸锌改性树脂(无碳复写纸显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杨酸锌改性树脂(无碳复写纸显色剂)项目相关利益方和专业领域的专家对文档进行独立审查。这有助于获取更全面、客观的反馈，确保水杨酸锌改性树脂(无碳复写纸显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杨酸锌改性树脂(无碳复写纸显色剂)项目在文档编制与审查方面建立了严格的管理机制，通过规范的流程和多维度的审查，确保水杨酸锌改性树脂(无碳复写纸显色剂)项目文档的质量、准确性和可靠性，为水杨酸锌改性树脂(无碳复写纸显色剂)项目的顺利推进提供了有力支持。</w:t>
      </w:r>
    </w:p>
    <w:p>
      <w:pPr>
        <w:pStyle w:val="Heading2"/>
        <w:ind w:firstLine="560" w:firstLineChars="200"/>
        <w:rPr>
          <w:rFonts w:ascii="仿宋" w:eastAsia="仿宋" w:hAnsi="仿宋" w:cs="仿宋" w:hint="eastAsia"/>
          <w:sz w:val="28"/>
          <w:lang w:eastAsia="zh-CN"/>
        </w:rPr>
      </w:pPr>
      <w:bookmarkStart w:id="13" w:name="_Toc935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在水杨酸锌改性树脂(无碳复写纸显色剂)项目中，我们致力于优化文档发布与分发过程，以确保信息的高效传递和团队间协作的顺畅进行。以下是我们采取的关键优化策略：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我们通过多渠道发布文档，包括电子邮件、水杨酸锌改性树脂(无碳复写纸显色剂)项目管理平台、内部网站等，以满足不同团队成员的偏好和需求。多渠道发布确保了信息的全面覆盖。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我们采用了精细的权限控制，确保只有授权人员可以访问敏感信息。这种安全措施保护了水杨酸锌改性树脂(无碳复写纸显色剂)项目文档的机密性，防止了未经授权的信息泄露。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93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杨酸锌改性树脂(无碳复写纸显色剂)项目生命周期中一个至关重要的环节，直接关系到水杨酸锌改性树脂(无碳复写纸显色剂)项目信息的长期保存和历史记录的完整性。在水杨酸锌改性树脂(无碳复写纸显色剂)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228"/>
      <w:r>
        <w:rPr>
          <w:rFonts w:ascii="仿宋" w:eastAsia="仿宋" w:hAnsi="仿宋" w:cs="仿宋" w:hint="eastAsia"/>
          <w:sz w:val="28"/>
          <w:lang w:eastAsia="zh-CN"/>
        </w:rPr>
        <w:t>五、水杨酸锌改性树脂(无碳复写纸显色剂)项目建设单位说明</w:t>
      </w:r>
      <w:bookmarkEnd w:id="15"/>
    </w:p>
    <w:p>
      <w:pPr>
        <w:pStyle w:val="Heading2"/>
        <w:rPr>
          <w:rFonts w:ascii="仿宋" w:eastAsia="仿宋" w:hAnsi="仿宋" w:cs="仿宋" w:hint="eastAsia"/>
          <w:lang w:eastAsia="zh-CN"/>
        </w:rPr>
      </w:pPr>
      <w:bookmarkStart w:id="16" w:name="_Toc32582"/>
      <w:r>
        <w:rPr>
          <w:rFonts w:ascii="仿宋" w:eastAsia="仿宋" w:hAnsi="仿宋" w:cs="仿宋" w:hint="eastAsia"/>
          <w:lang w:eastAsia="zh-CN"/>
        </w:rPr>
        <w:t>(一)、水杨酸锌改性树脂(无碳复写纸显色剂)项目承办单位基本情况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75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https://d.book118.com/097041106052006026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水杨酸锌改性树脂(无碳复写纸显色剂)项目规划设计纲要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2188A"/>
    <w:rsid w:val="678218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41106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2024-01-03T16:53:00Z</dcterms:created>
  <dcterms:modified xsi:type="dcterms:W3CDTF">2024-01-03T16:54:07Z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D5136ABD96624AFD898E8E619C3CE544_11</vt:lpwstr>
  </property>
  <property fmtid="{D5CDD505-2E9C-101B-9397-08002B2CF9AE}" pid="3" name="KSOProductBuildVer">
    <vt:lpwstr>2052-12.1.0.16120</vt:lpwstr>
  </property>
</Properties>
</file>