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beforeLines="0" w:after="0" w:afterLines="0" w:line="240" w:lineRule="auto"/>
        <w:ind w:left="0" w:right="0" w:firstLine="0" w:leftChars="0" w:rightChars="0" w:firstLineChars="0"/>
        <w:jc w:val="center"/>
        <w:rPr>
          <w:b/>
          <w:bCs/>
          <w:color w:val="auto"/>
          <w:szCs w:val="21"/>
        </w:rPr>
      </w:pPr>
      <w:r>
        <w:rPr>
          <w:rFonts w:ascii="宋体" w:eastAsia="宋体" w:hAnsi="宋体"/>
          <w:b/>
          <w:bCs/>
          <w:color w:val="auto"/>
          <w:sz w:val="21"/>
          <w:szCs w:val="21"/>
        </w:rPr>
        <w:t>目录</w:t>
      </w:r>
    </w:p>
    <w:p>
      <w:pPr>
        <w:pStyle w:val="WPSOffice1"/>
        <w:tabs>
          <w:tab w:val="right" w:leader="dot" w:pos="9072"/>
        </w:tabs>
        <w:rPr>
          <w:b/>
          <w:bCs/>
          <w:color w:val="auto"/>
          <w:sz w:val="21"/>
          <w:szCs w:val="21"/>
        </w:rPr>
      </w:pPr>
      <w:r>
        <w:rPr>
          <w:b/>
          <w:bCs/>
          <w:color w:val="auto"/>
          <w:sz w:val="21"/>
          <w:szCs w:val="21"/>
        </w:rPr>
        <w:fldChar w:fldCharType="begin"/>
      </w:r>
      <w:r>
        <w:rPr>
          <w:b/>
          <w:bCs/>
          <w:color w:val="auto"/>
          <w:sz w:val="21"/>
          <w:szCs w:val="21"/>
        </w:rPr>
        <w:instrText xml:space="preserve">TOC \o "1-2" \h \u </w:instrText>
      </w:r>
      <w:r>
        <w:rPr>
          <w:b/>
          <w:bCs/>
          <w:color w:val="auto"/>
          <w:sz w:val="21"/>
          <w:szCs w:val="21"/>
        </w:rPr>
        <w:fldChar w:fldCharType="separate"/>
      </w:r>
      <w:hyperlink w:anchor="_Toc8096" w:history="1">
        <w:r>
          <w:rPr>
            <w:rFonts w:ascii="Times New Roman" w:hAnsi="Times New Roman" w:cs="Times New Roman" w:hint="default"/>
            <w:b/>
            <w:bCs/>
            <w:color w:val="auto"/>
            <w:sz w:val="21"/>
            <w:szCs w:val="21"/>
          </w:rPr>
          <w:t>环境风险评价专章</w:t>
        </w:r>
        <w:r>
          <w:rPr>
            <w:b/>
            <w:bCs/>
            <w:color w:val="auto"/>
            <w:sz w:val="21"/>
            <w:szCs w:val="21"/>
          </w:rPr>
          <w:tab/>
        </w:r>
        <w:r>
          <w:rPr>
            <w:b/>
            <w:bCs/>
            <w:color w:val="auto"/>
            <w:sz w:val="21"/>
            <w:szCs w:val="21"/>
          </w:rPr>
          <w:fldChar w:fldCharType="begin"/>
        </w:r>
        <w:r>
          <w:rPr>
            <w:b/>
            <w:bCs/>
            <w:color w:val="auto"/>
            <w:sz w:val="21"/>
            <w:szCs w:val="21"/>
          </w:rPr>
          <w:instrText xml:space="preserve"> PAGEREF _Toc8096 \h </w:instrText>
        </w:r>
        <w:r>
          <w:rPr>
            <w:b/>
            <w:bCs/>
            <w:color w:val="auto"/>
            <w:sz w:val="21"/>
            <w:szCs w:val="21"/>
          </w:rPr>
          <w:fldChar w:fldCharType="separate"/>
        </w:r>
        <w:r>
          <w:rPr>
            <w:b/>
            <w:bCs/>
            <w:color w:val="auto"/>
            <w:sz w:val="21"/>
            <w:szCs w:val="21"/>
          </w:rPr>
          <w:t>2</w:t>
        </w:r>
        <w:r>
          <w:rPr>
            <w:b/>
            <w:bCs/>
            <w:color w:val="auto"/>
            <w:sz w:val="21"/>
            <w:szCs w:val="21"/>
          </w:rPr>
          <w:fldChar w:fldCharType="end"/>
        </w:r>
      </w:hyperlink>
    </w:p>
    <w:p>
      <w:pPr>
        <w:pStyle w:val="WPSOffice2"/>
        <w:tabs>
          <w:tab w:val="right" w:leader="dot" w:pos="9072"/>
        </w:tabs>
        <w:rPr>
          <w:b/>
          <w:bCs/>
          <w:color w:val="auto"/>
          <w:sz w:val="21"/>
          <w:szCs w:val="21"/>
        </w:rPr>
      </w:pPr>
      <w:hyperlink w:anchor="_Toc3902" w:history="1">
        <w:r>
          <w:rPr>
            <w:rFonts w:ascii="Times New Roman" w:hAnsi="Times New Roman" w:cs="Times New Roman" w:hint="default"/>
            <w:b/>
            <w:bCs/>
            <w:color w:val="auto"/>
            <w:sz w:val="21"/>
            <w:szCs w:val="21"/>
            <w:lang w:val="en-US" w:eastAsia="zh-CN"/>
          </w:rPr>
          <w:t>1</w:t>
        </w:r>
        <w:r>
          <w:rPr>
            <w:rFonts w:ascii="Times New Roman" w:hAnsi="Times New Roman" w:cs="Times New Roman" w:hint="default"/>
            <w:b/>
            <w:bCs/>
            <w:color w:val="auto"/>
            <w:sz w:val="21"/>
            <w:szCs w:val="21"/>
          </w:rPr>
          <w:t>.1现有项目环境风险回顾性评价</w:t>
        </w:r>
        <w:r>
          <w:rPr>
            <w:b/>
            <w:bCs/>
            <w:color w:val="auto"/>
            <w:sz w:val="21"/>
            <w:szCs w:val="21"/>
          </w:rPr>
          <w:tab/>
        </w:r>
        <w:r>
          <w:rPr>
            <w:b/>
            <w:bCs/>
            <w:color w:val="auto"/>
            <w:sz w:val="21"/>
            <w:szCs w:val="21"/>
          </w:rPr>
          <w:fldChar w:fldCharType="begin"/>
        </w:r>
        <w:r>
          <w:rPr>
            <w:b/>
            <w:bCs/>
            <w:color w:val="auto"/>
            <w:sz w:val="21"/>
            <w:szCs w:val="21"/>
          </w:rPr>
          <w:instrText xml:space="preserve"> PAGEREF _Toc3902 \h </w:instrText>
        </w:r>
        <w:r>
          <w:rPr>
            <w:b/>
            <w:bCs/>
            <w:color w:val="auto"/>
            <w:sz w:val="21"/>
            <w:szCs w:val="21"/>
          </w:rPr>
          <w:fldChar w:fldCharType="separate"/>
        </w:r>
        <w:r>
          <w:rPr>
            <w:b/>
            <w:bCs/>
            <w:color w:val="auto"/>
            <w:sz w:val="21"/>
            <w:szCs w:val="21"/>
          </w:rPr>
          <w:t>2</w:t>
        </w:r>
        <w:r>
          <w:rPr>
            <w:b/>
            <w:bCs/>
            <w:color w:val="auto"/>
            <w:sz w:val="21"/>
            <w:szCs w:val="21"/>
          </w:rPr>
          <w:fldChar w:fldCharType="end"/>
        </w:r>
      </w:hyperlink>
    </w:p>
    <w:p>
      <w:pPr>
        <w:pStyle w:val="WPSOffice2"/>
        <w:tabs>
          <w:tab w:val="right" w:leader="dot" w:pos="9072"/>
        </w:tabs>
        <w:rPr>
          <w:b/>
          <w:bCs/>
          <w:color w:val="auto"/>
          <w:sz w:val="21"/>
          <w:szCs w:val="21"/>
        </w:rPr>
      </w:pPr>
      <w:hyperlink w:anchor="_Toc19176" w:history="1">
        <w:r>
          <w:rPr>
            <w:rFonts w:ascii="Times New Roman" w:hAnsi="Times New Roman" w:cs="Times New Roman" w:hint="default"/>
            <w:b/>
            <w:bCs/>
            <w:color w:val="auto"/>
            <w:sz w:val="21"/>
            <w:szCs w:val="21"/>
            <w:lang w:val="en-US" w:eastAsia="zh-CN"/>
          </w:rPr>
          <w:t>1</w:t>
        </w:r>
        <w:r>
          <w:rPr>
            <w:rFonts w:ascii="Times New Roman" w:hAnsi="Times New Roman" w:cs="Times New Roman" w:hint="default"/>
            <w:b/>
            <w:bCs/>
            <w:color w:val="auto"/>
            <w:sz w:val="21"/>
            <w:szCs w:val="21"/>
          </w:rPr>
          <w:t>.1.1</w:t>
        </w:r>
        <w:r>
          <w:rPr>
            <w:rFonts w:ascii="Times New Roman" w:hAnsi="Times New Roman" w:cs="Times New Roman" w:hint="default"/>
            <w:b/>
            <w:bCs/>
            <w:color w:val="auto"/>
            <w:sz w:val="21"/>
            <w:szCs w:val="21"/>
            <w:lang w:val="en-US" w:eastAsia="zh-CN"/>
          </w:rPr>
          <w:t xml:space="preserve"> </w:t>
        </w:r>
        <w:r>
          <w:rPr>
            <w:rFonts w:ascii="Times New Roman" w:hAnsi="Times New Roman" w:cs="Times New Roman" w:hint="default"/>
            <w:b/>
            <w:bCs/>
            <w:color w:val="auto"/>
            <w:sz w:val="21"/>
            <w:szCs w:val="21"/>
          </w:rPr>
          <w:t>主要环境风险物质、风险因素识别</w:t>
        </w:r>
        <w:r>
          <w:rPr>
            <w:b/>
            <w:bCs/>
            <w:color w:val="auto"/>
            <w:sz w:val="21"/>
            <w:szCs w:val="21"/>
          </w:rPr>
          <w:tab/>
        </w:r>
        <w:r>
          <w:rPr>
            <w:b/>
            <w:bCs/>
            <w:color w:val="auto"/>
            <w:sz w:val="21"/>
            <w:szCs w:val="21"/>
          </w:rPr>
          <w:fldChar w:fldCharType="begin"/>
        </w:r>
        <w:r>
          <w:rPr>
            <w:b/>
            <w:bCs/>
            <w:color w:val="auto"/>
            <w:sz w:val="21"/>
            <w:szCs w:val="21"/>
          </w:rPr>
          <w:instrText xml:space="preserve"> PAGEREF _Toc19176 \h </w:instrText>
        </w:r>
        <w:r>
          <w:rPr>
            <w:b/>
            <w:bCs/>
            <w:color w:val="auto"/>
            <w:sz w:val="21"/>
            <w:szCs w:val="21"/>
          </w:rPr>
          <w:fldChar w:fldCharType="separate"/>
        </w:r>
        <w:r>
          <w:rPr>
            <w:b/>
            <w:bCs/>
            <w:color w:val="auto"/>
            <w:sz w:val="21"/>
            <w:szCs w:val="21"/>
          </w:rPr>
          <w:t>2</w:t>
        </w:r>
        <w:r>
          <w:rPr>
            <w:b/>
            <w:bCs/>
            <w:color w:val="auto"/>
            <w:sz w:val="21"/>
            <w:szCs w:val="21"/>
          </w:rPr>
          <w:fldChar w:fldCharType="end"/>
        </w:r>
      </w:hyperlink>
    </w:p>
    <w:p>
      <w:pPr>
        <w:pStyle w:val="WPSOffice2"/>
        <w:tabs>
          <w:tab w:val="right" w:leader="dot" w:pos="9072"/>
        </w:tabs>
        <w:rPr>
          <w:b/>
          <w:bCs/>
          <w:color w:val="auto"/>
          <w:sz w:val="21"/>
          <w:szCs w:val="21"/>
        </w:rPr>
      </w:pPr>
      <w:hyperlink w:anchor="_Toc4812" w:history="1">
        <w:r>
          <w:rPr>
            <w:rFonts w:ascii="Times New Roman" w:hAnsi="Times New Roman" w:cs="Times New Roman" w:hint="default"/>
            <w:b/>
            <w:bCs/>
            <w:color w:val="auto"/>
            <w:sz w:val="21"/>
            <w:szCs w:val="21"/>
            <w:lang w:val="en-US" w:eastAsia="zh-CN"/>
          </w:rPr>
          <w:t>1</w:t>
        </w:r>
        <w:r>
          <w:rPr>
            <w:rFonts w:ascii="Times New Roman" w:hAnsi="Times New Roman" w:cs="Times New Roman" w:hint="default"/>
            <w:b/>
            <w:bCs/>
            <w:color w:val="auto"/>
            <w:sz w:val="21"/>
            <w:szCs w:val="21"/>
          </w:rPr>
          <w:t>.1.2</w:t>
        </w:r>
        <w:r>
          <w:rPr>
            <w:rFonts w:ascii="Times New Roman" w:hAnsi="Times New Roman" w:cs="Times New Roman" w:hint="default"/>
            <w:b/>
            <w:bCs/>
            <w:color w:val="auto"/>
            <w:sz w:val="21"/>
            <w:szCs w:val="21"/>
            <w:lang w:val="en-US" w:eastAsia="zh-CN"/>
          </w:rPr>
          <w:t xml:space="preserve"> </w:t>
        </w:r>
        <w:r>
          <w:rPr>
            <w:rFonts w:ascii="Times New Roman" w:hAnsi="Times New Roman" w:cs="Times New Roman" w:hint="default"/>
            <w:b/>
            <w:bCs/>
            <w:color w:val="auto"/>
            <w:sz w:val="21"/>
            <w:szCs w:val="21"/>
          </w:rPr>
          <w:t>已采取的主要风险防范措施</w:t>
        </w:r>
        <w:r>
          <w:rPr>
            <w:b/>
            <w:bCs/>
            <w:color w:val="auto"/>
            <w:sz w:val="21"/>
            <w:szCs w:val="21"/>
          </w:rPr>
          <w:tab/>
        </w:r>
        <w:r>
          <w:rPr>
            <w:b/>
            <w:bCs/>
            <w:color w:val="auto"/>
            <w:sz w:val="21"/>
            <w:szCs w:val="21"/>
          </w:rPr>
          <w:fldChar w:fldCharType="begin"/>
        </w:r>
        <w:r>
          <w:rPr>
            <w:b/>
            <w:bCs/>
            <w:color w:val="auto"/>
            <w:sz w:val="21"/>
            <w:szCs w:val="21"/>
          </w:rPr>
          <w:instrText xml:space="preserve"> PAGEREF _Toc4812 \h </w:instrText>
        </w:r>
        <w:r>
          <w:rPr>
            <w:b/>
            <w:bCs/>
            <w:color w:val="auto"/>
            <w:sz w:val="21"/>
            <w:szCs w:val="21"/>
          </w:rPr>
          <w:fldChar w:fldCharType="separate"/>
        </w:r>
        <w:r>
          <w:rPr>
            <w:b/>
            <w:bCs/>
            <w:color w:val="auto"/>
            <w:sz w:val="21"/>
            <w:szCs w:val="21"/>
          </w:rPr>
          <w:t>2</w:t>
        </w:r>
        <w:r>
          <w:rPr>
            <w:b/>
            <w:bCs/>
            <w:color w:val="auto"/>
            <w:sz w:val="21"/>
            <w:szCs w:val="21"/>
          </w:rPr>
          <w:fldChar w:fldCharType="end"/>
        </w:r>
      </w:hyperlink>
    </w:p>
    <w:p>
      <w:pPr>
        <w:pStyle w:val="WPSOffice2"/>
        <w:tabs>
          <w:tab w:val="right" w:leader="dot" w:pos="9072"/>
        </w:tabs>
        <w:rPr>
          <w:b/>
          <w:bCs/>
          <w:color w:val="auto"/>
          <w:sz w:val="21"/>
          <w:szCs w:val="21"/>
        </w:rPr>
      </w:pPr>
      <w:hyperlink w:anchor="_Toc15138" w:history="1">
        <w:r>
          <w:rPr>
            <w:rFonts w:ascii="Times New Roman" w:hAnsi="Times New Roman" w:cs="Times New Roman" w:hint="default"/>
            <w:b/>
            <w:bCs/>
            <w:color w:val="auto"/>
            <w:sz w:val="21"/>
            <w:szCs w:val="21"/>
            <w:lang w:val="en-US" w:eastAsia="zh-CN"/>
          </w:rPr>
          <w:t>1</w:t>
        </w:r>
        <w:r>
          <w:rPr>
            <w:rFonts w:ascii="Times New Roman" w:hAnsi="Times New Roman" w:cs="Times New Roman" w:hint="default"/>
            <w:b/>
            <w:bCs/>
            <w:color w:val="auto"/>
            <w:sz w:val="21"/>
            <w:szCs w:val="21"/>
          </w:rPr>
          <w:t>.2 评价依据</w:t>
        </w:r>
        <w:r>
          <w:rPr>
            <w:b/>
            <w:bCs/>
            <w:color w:val="auto"/>
            <w:sz w:val="21"/>
            <w:szCs w:val="21"/>
          </w:rPr>
          <w:tab/>
        </w:r>
        <w:r>
          <w:rPr>
            <w:b/>
            <w:bCs/>
            <w:color w:val="auto"/>
            <w:sz w:val="21"/>
            <w:szCs w:val="21"/>
          </w:rPr>
          <w:fldChar w:fldCharType="begin"/>
        </w:r>
        <w:r>
          <w:rPr>
            <w:b/>
            <w:bCs/>
            <w:color w:val="auto"/>
            <w:sz w:val="21"/>
            <w:szCs w:val="21"/>
          </w:rPr>
          <w:instrText xml:space="preserve"> PAGEREF _Toc15138 \h </w:instrText>
        </w:r>
        <w:r>
          <w:rPr>
            <w:b/>
            <w:bCs/>
            <w:color w:val="auto"/>
            <w:sz w:val="21"/>
            <w:szCs w:val="21"/>
          </w:rPr>
          <w:fldChar w:fldCharType="separate"/>
        </w:r>
        <w:r>
          <w:rPr>
            <w:b/>
            <w:bCs/>
            <w:color w:val="auto"/>
            <w:sz w:val="21"/>
            <w:szCs w:val="21"/>
          </w:rPr>
          <w:t>3</w:t>
        </w:r>
        <w:r>
          <w:rPr>
            <w:b/>
            <w:bCs/>
            <w:color w:val="auto"/>
            <w:sz w:val="21"/>
            <w:szCs w:val="21"/>
          </w:rPr>
          <w:fldChar w:fldCharType="end"/>
        </w:r>
      </w:hyperlink>
    </w:p>
    <w:p>
      <w:pPr>
        <w:pStyle w:val="WPSOffice2"/>
        <w:tabs>
          <w:tab w:val="right" w:leader="dot" w:pos="9072"/>
        </w:tabs>
        <w:rPr>
          <w:b/>
          <w:bCs/>
          <w:color w:val="auto"/>
          <w:sz w:val="21"/>
          <w:szCs w:val="21"/>
        </w:rPr>
      </w:pPr>
      <w:hyperlink w:anchor="_Toc12297" w:history="1">
        <w:r>
          <w:rPr>
            <w:rFonts w:ascii="Times New Roman" w:hAnsi="Times New Roman" w:cs="Times New Roman" w:hint="default"/>
            <w:b/>
            <w:bCs/>
            <w:color w:val="auto"/>
            <w:sz w:val="21"/>
            <w:szCs w:val="21"/>
            <w:lang w:val="en-US" w:eastAsia="zh-CN"/>
          </w:rPr>
          <w:t>1</w:t>
        </w:r>
        <w:r>
          <w:rPr>
            <w:rFonts w:ascii="Times New Roman" w:hAnsi="Times New Roman" w:cs="Times New Roman" w:hint="default"/>
            <w:b/>
            <w:bCs/>
            <w:color w:val="auto"/>
            <w:sz w:val="21"/>
            <w:szCs w:val="21"/>
          </w:rPr>
          <w:t>.2.1 风险物质调查</w:t>
        </w:r>
        <w:r>
          <w:rPr>
            <w:b/>
            <w:bCs/>
            <w:color w:val="auto"/>
            <w:sz w:val="21"/>
            <w:szCs w:val="21"/>
          </w:rPr>
          <w:tab/>
        </w:r>
        <w:r>
          <w:rPr>
            <w:b/>
            <w:bCs/>
            <w:color w:val="auto"/>
            <w:sz w:val="21"/>
            <w:szCs w:val="21"/>
          </w:rPr>
          <w:fldChar w:fldCharType="begin"/>
        </w:r>
        <w:r>
          <w:rPr>
            <w:b/>
            <w:bCs/>
            <w:color w:val="auto"/>
            <w:sz w:val="21"/>
            <w:szCs w:val="21"/>
          </w:rPr>
          <w:instrText xml:space="preserve"> PAGEREF _Toc12297 \h </w:instrText>
        </w:r>
        <w:r>
          <w:rPr>
            <w:b/>
            <w:bCs/>
            <w:color w:val="auto"/>
            <w:sz w:val="21"/>
            <w:szCs w:val="21"/>
          </w:rPr>
          <w:fldChar w:fldCharType="separate"/>
        </w:r>
        <w:r>
          <w:rPr>
            <w:b/>
            <w:bCs/>
            <w:color w:val="auto"/>
            <w:sz w:val="21"/>
            <w:szCs w:val="21"/>
          </w:rPr>
          <w:t>3</w:t>
        </w:r>
        <w:r>
          <w:rPr>
            <w:b/>
            <w:bCs/>
            <w:color w:val="auto"/>
            <w:sz w:val="21"/>
            <w:szCs w:val="21"/>
          </w:rPr>
          <w:fldChar w:fldCharType="end"/>
        </w:r>
      </w:hyperlink>
    </w:p>
    <w:p>
      <w:pPr>
        <w:pStyle w:val="WPSOffice2"/>
        <w:tabs>
          <w:tab w:val="right" w:leader="dot" w:pos="9072"/>
        </w:tabs>
        <w:rPr>
          <w:b/>
          <w:bCs/>
          <w:color w:val="auto"/>
          <w:sz w:val="21"/>
          <w:szCs w:val="21"/>
        </w:rPr>
      </w:pPr>
      <w:hyperlink w:anchor="_Toc32207" w:history="1">
        <w:r>
          <w:rPr>
            <w:rFonts w:ascii="Times New Roman" w:hAnsi="Times New Roman" w:cs="Times New Roman" w:hint="default"/>
            <w:b/>
            <w:bCs/>
            <w:color w:val="auto"/>
            <w:sz w:val="21"/>
            <w:szCs w:val="21"/>
            <w:lang w:val="en-US" w:eastAsia="zh-CN"/>
          </w:rPr>
          <w:t>1</w:t>
        </w:r>
        <w:r>
          <w:rPr>
            <w:rFonts w:ascii="Times New Roman" w:hAnsi="Times New Roman" w:cs="Times New Roman" w:hint="default"/>
            <w:b/>
            <w:bCs/>
            <w:color w:val="auto"/>
            <w:sz w:val="21"/>
            <w:szCs w:val="21"/>
          </w:rPr>
          <w:t>.2.2风险潜势初判</w:t>
        </w:r>
        <w:r>
          <w:rPr>
            <w:b/>
            <w:bCs/>
            <w:color w:val="auto"/>
            <w:sz w:val="21"/>
            <w:szCs w:val="21"/>
          </w:rPr>
          <w:tab/>
        </w:r>
        <w:r>
          <w:rPr>
            <w:b/>
            <w:bCs/>
            <w:color w:val="auto"/>
            <w:sz w:val="21"/>
            <w:szCs w:val="21"/>
          </w:rPr>
          <w:fldChar w:fldCharType="begin"/>
        </w:r>
        <w:r>
          <w:rPr>
            <w:b/>
            <w:bCs/>
            <w:color w:val="auto"/>
            <w:sz w:val="21"/>
            <w:szCs w:val="21"/>
          </w:rPr>
          <w:instrText xml:space="preserve"> PAGEREF _Toc32207 \h </w:instrText>
        </w:r>
        <w:r>
          <w:rPr>
            <w:b/>
            <w:bCs/>
            <w:color w:val="auto"/>
            <w:sz w:val="21"/>
            <w:szCs w:val="21"/>
          </w:rPr>
          <w:fldChar w:fldCharType="separate"/>
        </w:r>
        <w:r>
          <w:rPr>
            <w:b/>
            <w:bCs/>
            <w:color w:val="auto"/>
            <w:sz w:val="21"/>
            <w:szCs w:val="21"/>
          </w:rPr>
          <w:t>9</w:t>
        </w:r>
        <w:r>
          <w:rPr>
            <w:b/>
            <w:bCs/>
            <w:color w:val="auto"/>
            <w:sz w:val="21"/>
            <w:szCs w:val="21"/>
          </w:rPr>
          <w:fldChar w:fldCharType="end"/>
        </w:r>
      </w:hyperlink>
    </w:p>
    <w:p>
      <w:pPr>
        <w:pStyle w:val="WPSOffice2"/>
        <w:tabs>
          <w:tab w:val="right" w:leader="dot" w:pos="9072"/>
        </w:tabs>
        <w:rPr>
          <w:b/>
          <w:bCs/>
          <w:color w:val="auto"/>
          <w:sz w:val="21"/>
          <w:szCs w:val="21"/>
        </w:rPr>
      </w:pPr>
      <w:hyperlink w:anchor="_Toc27779" w:history="1">
        <w:r>
          <w:rPr>
            <w:rFonts w:ascii="Times New Roman" w:hAnsi="Times New Roman" w:cs="Times New Roman" w:hint="default"/>
            <w:b/>
            <w:bCs/>
            <w:color w:val="auto"/>
            <w:sz w:val="21"/>
            <w:szCs w:val="21"/>
            <w:lang w:val="en-US" w:eastAsia="zh-CN"/>
          </w:rPr>
          <w:t>1.2.3 建设项目环境风险评价等级判定</w:t>
        </w:r>
        <w:r>
          <w:rPr>
            <w:b/>
            <w:bCs/>
            <w:color w:val="auto"/>
            <w:sz w:val="21"/>
            <w:szCs w:val="21"/>
          </w:rPr>
          <w:tab/>
        </w:r>
        <w:r>
          <w:rPr>
            <w:b/>
            <w:bCs/>
            <w:color w:val="auto"/>
            <w:sz w:val="21"/>
            <w:szCs w:val="21"/>
          </w:rPr>
          <w:fldChar w:fldCharType="begin"/>
        </w:r>
        <w:r>
          <w:rPr>
            <w:b/>
            <w:bCs/>
            <w:color w:val="auto"/>
            <w:sz w:val="21"/>
            <w:szCs w:val="21"/>
          </w:rPr>
          <w:instrText xml:space="preserve"> PAGEREF _Toc27779 \h </w:instrText>
        </w:r>
        <w:r>
          <w:rPr>
            <w:b/>
            <w:bCs/>
            <w:color w:val="auto"/>
            <w:sz w:val="21"/>
            <w:szCs w:val="21"/>
          </w:rPr>
          <w:fldChar w:fldCharType="separate"/>
        </w:r>
        <w:r>
          <w:rPr>
            <w:b/>
            <w:bCs/>
            <w:color w:val="auto"/>
            <w:sz w:val="21"/>
            <w:szCs w:val="21"/>
          </w:rPr>
          <w:t>13</w:t>
        </w:r>
        <w:r>
          <w:rPr>
            <w:b/>
            <w:bCs/>
            <w:color w:val="auto"/>
            <w:sz w:val="21"/>
            <w:szCs w:val="21"/>
          </w:rPr>
          <w:fldChar w:fldCharType="end"/>
        </w:r>
      </w:hyperlink>
    </w:p>
    <w:p>
      <w:pPr>
        <w:pStyle w:val="WPSOffice2"/>
        <w:tabs>
          <w:tab w:val="right" w:leader="dot" w:pos="9072"/>
        </w:tabs>
        <w:rPr>
          <w:b/>
          <w:bCs/>
          <w:color w:val="auto"/>
          <w:sz w:val="21"/>
          <w:szCs w:val="21"/>
        </w:rPr>
      </w:pPr>
      <w:hyperlink w:anchor="_Toc16388" w:history="1">
        <w:r>
          <w:rPr>
            <w:rFonts w:ascii="Times New Roman" w:hAnsi="Times New Roman" w:cs="Times New Roman" w:hint="default"/>
            <w:b/>
            <w:bCs/>
            <w:color w:val="auto"/>
            <w:sz w:val="21"/>
            <w:szCs w:val="21"/>
            <w:lang w:val="en-US" w:eastAsia="zh-CN"/>
          </w:rPr>
          <w:t>1.2.4 评价范围</w:t>
        </w:r>
        <w:r>
          <w:rPr>
            <w:b/>
            <w:bCs/>
            <w:color w:val="auto"/>
            <w:sz w:val="21"/>
            <w:szCs w:val="21"/>
          </w:rPr>
          <w:tab/>
        </w:r>
        <w:r>
          <w:rPr>
            <w:b/>
            <w:bCs/>
            <w:color w:val="auto"/>
            <w:sz w:val="21"/>
            <w:szCs w:val="21"/>
          </w:rPr>
          <w:fldChar w:fldCharType="begin"/>
        </w:r>
        <w:r>
          <w:rPr>
            <w:b/>
            <w:bCs/>
            <w:color w:val="auto"/>
            <w:sz w:val="21"/>
            <w:szCs w:val="21"/>
          </w:rPr>
          <w:instrText xml:space="preserve"> PAGEREF _Toc16388 \h </w:instrText>
        </w:r>
        <w:r>
          <w:rPr>
            <w:b/>
            <w:bCs/>
            <w:color w:val="auto"/>
            <w:sz w:val="21"/>
            <w:szCs w:val="21"/>
          </w:rPr>
          <w:fldChar w:fldCharType="separate"/>
        </w:r>
        <w:r>
          <w:rPr>
            <w:b/>
            <w:bCs/>
            <w:color w:val="auto"/>
            <w:sz w:val="21"/>
            <w:szCs w:val="21"/>
          </w:rPr>
          <w:t>13</w:t>
        </w:r>
        <w:r>
          <w:rPr>
            <w:b/>
            <w:bCs/>
            <w:color w:val="auto"/>
            <w:sz w:val="21"/>
            <w:szCs w:val="21"/>
          </w:rPr>
          <w:fldChar w:fldCharType="end"/>
        </w:r>
      </w:hyperlink>
    </w:p>
    <w:p>
      <w:pPr>
        <w:pStyle w:val="WPSOffice2"/>
        <w:tabs>
          <w:tab w:val="right" w:leader="dot" w:pos="9072"/>
        </w:tabs>
        <w:rPr>
          <w:b/>
          <w:bCs/>
          <w:color w:val="auto"/>
          <w:sz w:val="21"/>
          <w:szCs w:val="21"/>
        </w:rPr>
      </w:pPr>
      <w:hyperlink w:anchor="_Toc12183" w:history="1">
        <w:r>
          <w:rPr>
            <w:rFonts w:ascii="Times New Roman" w:hAnsi="Times New Roman" w:cs="Times New Roman" w:hint="default"/>
            <w:b/>
            <w:bCs/>
            <w:color w:val="auto"/>
            <w:sz w:val="21"/>
            <w:szCs w:val="21"/>
            <w:lang w:val="en-US" w:eastAsia="zh-CN"/>
          </w:rPr>
          <w:t>1.2.5 环境敏感目标概况</w:t>
        </w:r>
        <w:r>
          <w:rPr>
            <w:b/>
            <w:bCs/>
            <w:color w:val="auto"/>
            <w:sz w:val="21"/>
            <w:szCs w:val="21"/>
          </w:rPr>
          <w:tab/>
        </w:r>
        <w:r>
          <w:rPr>
            <w:b/>
            <w:bCs/>
            <w:color w:val="auto"/>
            <w:sz w:val="21"/>
            <w:szCs w:val="21"/>
          </w:rPr>
          <w:fldChar w:fldCharType="begin"/>
        </w:r>
        <w:r>
          <w:rPr>
            <w:b/>
            <w:bCs/>
            <w:color w:val="auto"/>
            <w:sz w:val="21"/>
            <w:szCs w:val="21"/>
          </w:rPr>
          <w:instrText xml:space="preserve"> PAGEREF _Toc12183 \h </w:instrText>
        </w:r>
        <w:r>
          <w:rPr>
            <w:b/>
            <w:bCs/>
            <w:color w:val="auto"/>
            <w:sz w:val="21"/>
            <w:szCs w:val="21"/>
          </w:rPr>
          <w:fldChar w:fldCharType="separate"/>
        </w:r>
        <w:r>
          <w:rPr>
            <w:b/>
            <w:bCs/>
            <w:color w:val="auto"/>
            <w:sz w:val="21"/>
            <w:szCs w:val="21"/>
          </w:rPr>
          <w:t>14</w:t>
        </w:r>
        <w:r>
          <w:rPr>
            <w:b/>
            <w:bCs/>
            <w:color w:val="auto"/>
            <w:sz w:val="21"/>
            <w:szCs w:val="21"/>
          </w:rPr>
          <w:fldChar w:fldCharType="end"/>
        </w:r>
      </w:hyperlink>
    </w:p>
    <w:p>
      <w:pPr>
        <w:pStyle w:val="WPSOffice2"/>
        <w:tabs>
          <w:tab w:val="right" w:leader="dot" w:pos="9072"/>
        </w:tabs>
        <w:rPr>
          <w:b/>
          <w:bCs/>
          <w:color w:val="auto"/>
          <w:sz w:val="21"/>
          <w:szCs w:val="21"/>
        </w:rPr>
      </w:pPr>
      <w:hyperlink w:anchor="_Toc1992" w:history="1">
        <w:r>
          <w:rPr>
            <w:rFonts w:ascii="Times New Roman" w:hAnsi="Times New Roman" w:cs="Times New Roman" w:hint="default"/>
            <w:b/>
            <w:bCs/>
            <w:color w:val="auto"/>
            <w:sz w:val="21"/>
            <w:szCs w:val="21"/>
            <w:lang w:val="en-US" w:eastAsia="zh-CN"/>
          </w:rPr>
          <w:t>1.3 环境风险识别</w:t>
        </w:r>
        <w:r>
          <w:rPr>
            <w:b/>
            <w:bCs/>
            <w:color w:val="auto"/>
            <w:sz w:val="21"/>
            <w:szCs w:val="21"/>
          </w:rPr>
          <w:tab/>
        </w:r>
        <w:r>
          <w:rPr>
            <w:b/>
            <w:bCs/>
            <w:color w:val="auto"/>
            <w:sz w:val="21"/>
            <w:szCs w:val="21"/>
          </w:rPr>
          <w:fldChar w:fldCharType="begin"/>
        </w:r>
        <w:r>
          <w:rPr>
            <w:b/>
            <w:bCs/>
            <w:color w:val="auto"/>
            <w:sz w:val="21"/>
            <w:szCs w:val="21"/>
          </w:rPr>
          <w:instrText xml:space="preserve"> PAGEREF _Toc1992 \h </w:instrText>
        </w:r>
        <w:r>
          <w:rPr>
            <w:b/>
            <w:bCs/>
            <w:color w:val="auto"/>
            <w:sz w:val="21"/>
            <w:szCs w:val="21"/>
          </w:rPr>
          <w:fldChar w:fldCharType="separate"/>
        </w:r>
        <w:r>
          <w:rPr>
            <w:b/>
            <w:bCs/>
            <w:color w:val="auto"/>
            <w:sz w:val="21"/>
            <w:szCs w:val="21"/>
          </w:rPr>
          <w:t>16</w:t>
        </w:r>
        <w:r>
          <w:rPr>
            <w:b/>
            <w:bCs/>
            <w:color w:val="auto"/>
            <w:sz w:val="21"/>
            <w:szCs w:val="21"/>
          </w:rPr>
          <w:fldChar w:fldCharType="end"/>
        </w:r>
      </w:hyperlink>
    </w:p>
    <w:p>
      <w:pPr>
        <w:pStyle w:val="WPSOffice2"/>
        <w:tabs>
          <w:tab w:val="right" w:leader="dot" w:pos="9072"/>
        </w:tabs>
        <w:rPr>
          <w:b/>
          <w:bCs/>
          <w:color w:val="auto"/>
          <w:sz w:val="21"/>
          <w:szCs w:val="21"/>
        </w:rPr>
      </w:pPr>
      <w:hyperlink w:anchor="_Toc6887" w:history="1">
        <w:r>
          <w:rPr>
            <w:rFonts w:ascii="Times New Roman" w:hAnsi="Times New Roman" w:cs="Times New Roman" w:hint="default"/>
            <w:b/>
            <w:bCs/>
            <w:color w:val="auto"/>
            <w:sz w:val="21"/>
            <w:szCs w:val="21"/>
            <w:lang w:val="en-US" w:eastAsia="zh-CN"/>
          </w:rPr>
          <w:t>1.3.1 危险物质识别</w:t>
        </w:r>
        <w:r>
          <w:rPr>
            <w:b/>
            <w:bCs/>
            <w:color w:val="auto"/>
            <w:sz w:val="21"/>
            <w:szCs w:val="21"/>
          </w:rPr>
          <w:tab/>
        </w:r>
        <w:r>
          <w:rPr>
            <w:b/>
            <w:bCs/>
            <w:color w:val="auto"/>
            <w:sz w:val="21"/>
            <w:szCs w:val="21"/>
          </w:rPr>
          <w:fldChar w:fldCharType="begin"/>
        </w:r>
        <w:r>
          <w:rPr>
            <w:b/>
            <w:bCs/>
            <w:color w:val="auto"/>
            <w:sz w:val="21"/>
            <w:szCs w:val="21"/>
          </w:rPr>
          <w:instrText xml:space="preserve"> PAGEREF _Toc6887 \h </w:instrText>
        </w:r>
        <w:r>
          <w:rPr>
            <w:b/>
            <w:bCs/>
            <w:color w:val="auto"/>
            <w:sz w:val="21"/>
            <w:szCs w:val="21"/>
          </w:rPr>
          <w:fldChar w:fldCharType="separate"/>
        </w:r>
        <w:r>
          <w:rPr>
            <w:b/>
            <w:bCs/>
            <w:color w:val="auto"/>
            <w:sz w:val="21"/>
            <w:szCs w:val="21"/>
          </w:rPr>
          <w:t>16</w:t>
        </w:r>
        <w:r>
          <w:rPr>
            <w:b/>
            <w:bCs/>
            <w:color w:val="auto"/>
            <w:sz w:val="21"/>
            <w:szCs w:val="21"/>
          </w:rPr>
          <w:fldChar w:fldCharType="end"/>
        </w:r>
      </w:hyperlink>
    </w:p>
    <w:p>
      <w:pPr>
        <w:pStyle w:val="WPSOffice2"/>
        <w:tabs>
          <w:tab w:val="right" w:leader="dot" w:pos="9072"/>
        </w:tabs>
        <w:rPr>
          <w:b/>
          <w:bCs/>
          <w:color w:val="auto"/>
          <w:sz w:val="21"/>
          <w:szCs w:val="21"/>
        </w:rPr>
      </w:pPr>
      <w:hyperlink w:anchor="_Toc7455" w:history="1">
        <w:r>
          <w:rPr>
            <w:rFonts w:ascii="Times New Roman" w:hAnsi="Times New Roman" w:cs="Times New Roman" w:hint="default"/>
            <w:b/>
            <w:bCs/>
            <w:color w:val="auto"/>
            <w:sz w:val="21"/>
            <w:szCs w:val="21"/>
            <w:lang w:val="en-US" w:eastAsia="zh-CN"/>
          </w:rPr>
          <w:t>1.3.2 生产系统风险识别</w:t>
        </w:r>
        <w:r>
          <w:rPr>
            <w:b/>
            <w:bCs/>
            <w:color w:val="auto"/>
            <w:sz w:val="21"/>
            <w:szCs w:val="21"/>
          </w:rPr>
          <w:tab/>
        </w:r>
        <w:r>
          <w:rPr>
            <w:b/>
            <w:bCs/>
            <w:color w:val="auto"/>
            <w:sz w:val="21"/>
            <w:szCs w:val="21"/>
          </w:rPr>
          <w:fldChar w:fldCharType="begin"/>
        </w:r>
        <w:r>
          <w:rPr>
            <w:b/>
            <w:bCs/>
            <w:color w:val="auto"/>
            <w:sz w:val="21"/>
            <w:szCs w:val="21"/>
          </w:rPr>
          <w:instrText xml:space="preserve"> PAGEREF _Toc7455 \h </w:instrText>
        </w:r>
        <w:r>
          <w:rPr>
            <w:b/>
            <w:bCs/>
            <w:color w:val="auto"/>
            <w:sz w:val="21"/>
            <w:szCs w:val="21"/>
          </w:rPr>
          <w:fldChar w:fldCharType="separate"/>
        </w:r>
        <w:r>
          <w:rPr>
            <w:b/>
            <w:bCs/>
            <w:color w:val="auto"/>
            <w:sz w:val="21"/>
            <w:szCs w:val="21"/>
          </w:rPr>
          <w:t>26</w:t>
        </w:r>
        <w:r>
          <w:rPr>
            <w:b/>
            <w:bCs/>
            <w:color w:val="auto"/>
            <w:sz w:val="21"/>
            <w:szCs w:val="21"/>
          </w:rPr>
          <w:fldChar w:fldCharType="end"/>
        </w:r>
      </w:hyperlink>
    </w:p>
    <w:p>
      <w:pPr>
        <w:pStyle w:val="WPSOffice2"/>
        <w:tabs>
          <w:tab w:val="right" w:leader="dot" w:pos="9072"/>
        </w:tabs>
        <w:rPr>
          <w:b/>
          <w:bCs/>
          <w:color w:val="auto"/>
          <w:sz w:val="21"/>
          <w:szCs w:val="21"/>
        </w:rPr>
      </w:pPr>
      <w:hyperlink w:anchor="_Toc30636" w:history="1">
        <w:r>
          <w:rPr>
            <w:rFonts w:ascii="Times New Roman" w:hAnsi="Times New Roman" w:cs="Times New Roman" w:hint="default"/>
            <w:b/>
            <w:bCs/>
            <w:color w:val="auto"/>
            <w:sz w:val="21"/>
            <w:szCs w:val="21"/>
            <w:lang w:val="en-US" w:eastAsia="zh-CN"/>
          </w:rPr>
          <w:t>1.3.3 有毒有害物质扩散途径风险识别</w:t>
        </w:r>
        <w:r>
          <w:rPr>
            <w:b/>
            <w:bCs/>
            <w:color w:val="auto"/>
            <w:sz w:val="21"/>
            <w:szCs w:val="21"/>
          </w:rPr>
          <w:tab/>
        </w:r>
        <w:r>
          <w:rPr>
            <w:b/>
            <w:bCs/>
            <w:color w:val="auto"/>
            <w:sz w:val="21"/>
            <w:szCs w:val="21"/>
          </w:rPr>
          <w:fldChar w:fldCharType="begin"/>
        </w:r>
        <w:r>
          <w:rPr>
            <w:b/>
            <w:bCs/>
            <w:color w:val="auto"/>
            <w:sz w:val="21"/>
            <w:szCs w:val="21"/>
          </w:rPr>
          <w:instrText xml:space="preserve"> PAGEREF _Toc30636 \h </w:instrText>
        </w:r>
        <w:r>
          <w:rPr>
            <w:b/>
            <w:bCs/>
            <w:color w:val="auto"/>
            <w:sz w:val="21"/>
            <w:szCs w:val="21"/>
          </w:rPr>
          <w:fldChar w:fldCharType="separate"/>
        </w:r>
        <w:r>
          <w:rPr>
            <w:b/>
            <w:bCs/>
            <w:color w:val="auto"/>
            <w:sz w:val="21"/>
            <w:szCs w:val="21"/>
          </w:rPr>
          <w:t>27</w:t>
        </w:r>
        <w:r>
          <w:rPr>
            <w:b/>
            <w:bCs/>
            <w:color w:val="auto"/>
            <w:sz w:val="21"/>
            <w:szCs w:val="21"/>
          </w:rPr>
          <w:fldChar w:fldCharType="end"/>
        </w:r>
      </w:hyperlink>
    </w:p>
    <w:p>
      <w:pPr>
        <w:pStyle w:val="WPSOffice2"/>
        <w:tabs>
          <w:tab w:val="right" w:leader="dot" w:pos="9072"/>
        </w:tabs>
        <w:rPr>
          <w:b/>
          <w:bCs/>
          <w:color w:val="auto"/>
          <w:sz w:val="21"/>
          <w:szCs w:val="21"/>
        </w:rPr>
      </w:pPr>
      <w:hyperlink w:anchor="_Toc18586" w:history="1">
        <w:r>
          <w:rPr>
            <w:rFonts w:ascii="Times New Roman" w:hAnsi="Times New Roman" w:cs="Times New Roman" w:hint="default"/>
            <w:b/>
            <w:bCs/>
            <w:color w:val="auto"/>
            <w:kern w:val="0"/>
            <w:sz w:val="21"/>
            <w:szCs w:val="21"/>
            <w:highlight w:val="none"/>
            <w:lang w:val="en-US" w:eastAsia="zh-CN"/>
          </w:rPr>
          <w:t>1</w:t>
        </w:r>
        <w:r>
          <w:rPr>
            <w:rFonts w:ascii="Times New Roman" w:eastAsia="宋体" w:hAnsi="Times New Roman" w:cs="Times New Roman" w:hint="default"/>
            <w:b/>
            <w:bCs/>
            <w:color w:val="auto"/>
            <w:kern w:val="0"/>
            <w:sz w:val="21"/>
            <w:szCs w:val="21"/>
            <w:highlight w:val="none"/>
            <w:lang w:val="en-US" w:eastAsia="zh-CN"/>
          </w:rPr>
          <w:t>.3.4 风险识别结果</w:t>
        </w:r>
        <w:r>
          <w:rPr>
            <w:b/>
            <w:bCs/>
            <w:color w:val="auto"/>
            <w:sz w:val="21"/>
            <w:szCs w:val="21"/>
          </w:rPr>
          <w:tab/>
        </w:r>
        <w:r>
          <w:rPr>
            <w:b/>
            <w:bCs/>
            <w:color w:val="auto"/>
            <w:sz w:val="21"/>
            <w:szCs w:val="21"/>
          </w:rPr>
          <w:fldChar w:fldCharType="begin"/>
        </w:r>
        <w:r>
          <w:rPr>
            <w:b/>
            <w:bCs/>
            <w:color w:val="auto"/>
            <w:sz w:val="21"/>
            <w:szCs w:val="21"/>
          </w:rPr>
          <w:instrText xml:space="preserve"> PAGEREF _Toc18586 \h </w:instrText>
        </w:r>
        <w:r>
          <w:rPr>
            <w:b/>
            <w:bCs/>
            <w:color w:val="auto"/>
            <w:sz w:val="21"/>
            <w:szCs w:val="21"/>
          </w:rPr>
          <w:fldChar w:fldCharType="separate"/>
        </w:r>
        <w:r>
          <w:rPr>
            <w:b/>
            <w:bCs/>
            <w:color w:val="auto"/>
            <w:sz w:val="21"/>
            <w:szCs w:val="21"/>
          </w:rPr>
          <w:t>28</w:t>
        </w:r>
        <w:r>
          <w:rPr>
            <w:b/>
            <w:bCs/>
            <w:color w:val="auto"/>
            <w:sz w:val="21"/>
            <w:szCs w:val="21"/>
          </w:rPr>
          <w:fldChar w:fldCharType="end"/>
        </w:r>
      </w:hyperlink>
    </w:p>
    <w:p>
      <w:pPr>
        <w:pStyle w:val="WPSOffice2"/>
        <w:tabs>
          <w:tab w:val="right" w:leader="dot" w:pos="9072"/>
        </w:tabs>
        <w:rPr>
          <w:b/>
          <w:bCs/>
          <w:color w:val="auto"/>
          <w:sz w:val="21"/>
          <w:szCs w:val="21"/>
        </w:rPr>
      </w:pPr>
      <w:hyperlink w:anchor="_Toc26495" w:history="1">
        <w:r>
          <w:rPr>
            <w:rFonts w:ascii="Times New Roman" w:hAnsi="Times New Roman" w:cs="Times New Roman" w:hint="default"/>
            <w:b/>
            <w:bCs/>
            <w:color w:val="auto"/>
            <w:sz w:val="21"/>
            <w:szCs w:val="21"/>
            <w:lang w:val="en-US" w:eastAsia="zh-CN"/>
          </w:rPr>
          <w:t>1.4 风险事故情形分析</w:t>
        </w:r>
        <w:r>
          <w:rPr>
            <w:b/>
            <w:bCs/>
            <w:color w:val="auto"/>
            <w:sz w:val="21"/>
            <w:szCs w:val="21"/>
          </w:rPr>
          <w:tab/>
        </w:r>
        <w:r>
          <w:rPr>
            <w:b/>
            <w:bCs/>
            <w:color w:val="auto"/>
            <w:sz w:val="21"/>
            <w:szCs w:val="21"/>
          </w:rPr>
          <w:fldChar w:fldCharType="begin"/>
        </w:r>
        <w:r>
          <w:rPr>
            <w:b/>
            <w:bCs/>
            <w:color w:val="auto"/>
            <w:sz w:val="21"/>
            <w:szCs w:val="21"/>
          </w:rPr>
          <w:instrText xml:space="preserve"> PAGEREF _Toc26495 \h </w:instrText>
        </w:r>
        <w:r>
          <w:rPr>
            <w:b/>
            <w:bCs/>
            <w:color w:val="auto"/>
            <w:sz w:val="21"/>
            <w:szCs w:val="21"/>
          </w:rPr>
          <w:fldChar w:fldCharType="separate"/>
        </w:r>
        <w:r>
          <w:rPr>
            <w:b/>
            <w:bCs/>
            <w:color w:val="auto"/>
            <w:sz w:val="21"/>
            <w:szCs w:val="21"/>
          </w:rPr>
          <w:t>29</w:t>
        </w:r>
        <w:r>
          <w:rPr>
            <w:b/>
            <w:bCs/>
            <w:color w:val="auto"/>
            <w:sz w:val="21"/>
            <w:szCs w:val="21"/>
          </w:rPr>
          <w:fldChar w:fldCharType="end"/>
        </w:r>
      </w:hyperlink>
    </w:p>
    <w:p>
      <w:pPr>
        <w:pStyle w:val="WPSOffice2"/>
        <w:tabs>
          <w:tab w:val="right" w:leader="dot" w:pos="9072"/>
        </w:tabs>
        <w:rPr>
          <w:b/>
          <w:bCs/>
          <w:color w:val="auto"/>
          <w:sz w:val="21"/>
          <w:szCs w:val="21"/>
        </w:rPr>
      </w:pPr>
      <w:hyperlink w:anchor="_Toc31605" w:history="1">
        <w:r>
          <w:rPr>
            <w:rFonts w:ascii="Times New Roman" w:hAnsi="Times New Roman" w:cs="Times New Roman" w:hint="default"/>
            <w:b/>
            <w:bCs/>
            <w:color w:val="auto"/>
            <w:sz w:val="21"/>
            <w:szCs w:val="21"/>
            <w:lang w:val="en-US" w:eastAsia="zh-CN"/>
          </w:rPr>
          <w:t>1.4.1 风险事故情形设定</w:t>
        </w:r>
        <w:r>
          <w:rPr>
            <w:b/>
            <w:bCs/>
            <w:color w:val="auto"/>
            <w:sz w:val="21"/>
            <w:szCs w:val="21"/>
          </w:rPr>
          <w:tab/>
        </w:r>
        <w:r>
          <w:rPr>
            <w:b/>
            <w:bCs/>
            <w:color w:val="auto"/>
            <w:sz w:val="21"/>
            <w:szCs w:val="21"/>
          </w:rPr>
          <w:fldChar w:fldCharType="begin"/>
        </w:r>
        <w:r>
          <w:rPr>
            <w:b/>
            <w:bCs/>
            <w:color w:val="auto"/>
            <w:sz w:val="21"/>
            <w:szCs w:val="21"/>
          </w:rPr>
          <w:instrText xml:space="preserve"> PAGEREF _Toc31605 \h </w:instrText>
        </w:r>
        <w:r>
          <w:rPr>
            <w:b/>
            <w:bCs/>
            <w:color w:val="auto"/>
            <w:sz w:val="21"/>
            <w:szCs w:val="21"/>
          </w:rPr>
          <w:fldChar w:fldCharType="separate"/>
        </w:r>
        <w:r>
          <w:rPr>
            <w:b/>
            <w:bCs/>
            <w:color w:val="auto"/>
            <w:sz w:val="21"/>
            <w:szCs w:val="21"/>
          </w:rPr>
          <w:t>29</w:t>
        </w:r>
        <w:r>
          <w:rPr>
            <w:b/>
            <w:bCs/>
            <w:color w:val="auto"/>
            <w:sz w:val="21"/>
            <w:szCs w:val="21"/>
          </w:rPr>
          <w:fldChar w:fldCharType="end"/>
        </w:r>
      </w:hyperlink>
    </w:p>
    <w:p>
      <w:pPr>
        <w:pStyle w:val="WPSOffice2"/>
        <w:tabs>
          <w:tab w:val="right" w:leader="dot" w:pos="9072"/>
        </w:tabs>
        <w:rPr>
          <w:b/>
          <w:bCs/>
          <w:color w:val="auto"/>
          <w:sz w:val="21"/>
          <w:szCs w:val="21"/>
        </w:rPr>
      </w:pPr>
      <w:hyperlink w:anchor="_Toc15502" w:history="1">
        <w:r>
          <w:rPr>
            <w:rFonts w:ascii="Times New Roman" w:hAnsi="Times New Roman" w:cs="Times New Roman" w:hint="default"/>
            <w:b/>
            <w:bCs/>
            <w:color w:val="auto"/>
            <w:sz w:val="21"/>
            <w:szCs w:val="21"/>
            <w:lang w:val="en-US" w:eastAsia="zh-CN"/>
          </w:rPr>
          <w:t>1.4.2 源项分析</w:t>
        </w:r>
        <w:r>
          <w:rPr>
            <w:b/>
            <w:bCs/>
            <w:color w:val="auto"/>
            <w:sz w:val="21"/>
            <w:szCs w:val="21"/>
          </w:rPr>
          <w:tab/>
        </w:r>
        <w:r>
          <w:rPr>
            <w:b/>
            <w:bCs/>
            <w:color w:val="auto"/>
            <w:sz w:val="21"/>
            <w:szCs w:val="21"/>
          </w:rPr>
          <w:fldChar w:fldCharType="begin"/>
        </w:r>
        <w:r>
          <w:rPr>
            <w:b/>
            <w:bCs/>
            <w:color w:val="auto"/>
            <w:sz w:val="21"/>
            <w:szCs w:val="21"/>
          </w:rPr>
          <w:instrText xml:space="preserve"> PAGEREF _Toc15502 \h </w:instrText>
        </w:r>
        <w:r>
          <w:rPr>
            <w:b/>
            <w:bCs/>
            <w:color w:val="auto"/>
            <w:sz w:val="21"/>
            <w:szCs w:val="21"/>
          </w:rPr>
          <w:fldChar w:fldCharType="separate"/>
        </w:r>
        <w:r>
          <w:rPr>
            <w:b/>
            <w:bCs/>
            <w:color w:val="auto"/>
            <w:sz w:val="21"/>
            <w:szCs w:val="21"/>
          </w:rPr>
          <w:t>32</w:t>
        </w:r>
        <w:r>
          <w:rPr>
            <w:b/>
            <w:bCs/>
            <w:color w:val="auto"/>
            <w:sz w:val="21"/>
            <w:szCs w:val="21"/>
          </w:rPr>
          <w:fldChar w:fldCharType="end"/>
        </w:r>
      </w:hyperlink>
    </w:p>
    <w:p>
      <w:pPr>
        <w:pStyle w:val="WPSOffice2"/>
        <w:tabs>
          <w:tab w:val="right" w:leader="dot" w:pos="9072"/>
        </w:tabs>
        <w:rPr>
          <w:b/>
          <w:bCs/>
          <w:color w:val="auto"/>
          <w:sz w:val="21"/>
          <w:szCs w:val="21"/>
        </w:rPr>
      </w:pPr>
      <w:hyperlink w:anchor="_Toc21890" w:history="1">
        <w:r>
          <w:rPr>
            <w:rFonts w:ascii="Times New Roman" w:hAnsi="Times New Roman" w:cs="Times New Roman" w:hint="default"/>
            <w:b/>
            <w:bCs/>
            <w:color w:val="auto"/>
            <w:sz w:val="21"/>
            <w:szCs w:val="21"/>
            <w:lang w:val="en-US" w:eastAsia="zh-CN"/>
          </w:rPr>
          <w:t>1.5 风险预测与评价</w:t>
        </w:r>
        <w:r>
          <w:rPr>
            <w:b/>
            <w:bCs/>
            <w:color w:val="auto"/>
            <w:sz w:val="21"/>
            <w:szCs w:val="21"/>
          </w:rPr>
          <w:tab/>
        </w:r>
        <w:r>
          <w:rPr>
            <w:b/>
            <w:bCs/>
            <w:color w:val="auto"/>
            <w:sz w:val="21"/>
            <w:szCs w:val="21"/>
          </w:rPr>
          <w:fldChar w:fldCharType="begin"/>
        </w:r>
        <w:r>
          <w:rPr>
            <w:b/>
            <w:bCs/>
            <w:color w:val="auto"/>
            <w:sz w:val="21"/>
            <w:szCs w:val="21"/>
          </w:rPr>
          <w:instrText xml:space="preserve"> PAGEREF _Toc21890 \h </w:instrText>
        </w:r>
        <w:r>
          <w:rPr>
            <w:b/>
            <w:bCs/>
            <w:color w:val="auto"/>
            <w:sz w:val="21"/>
            <w:szCs w:val="21"/>
          </w:rPr>
          <w:fldChar w:fldCharType="separate"/>
        </w:r>
        <w:r>
          <w:rPr>
            <w:b/>
            <w:bCs/>
            <w:color w:val="auto"/>
            <w:sz w:val="21"/>
            <w:szCs w:val="21"/>
          </w:rPr>
          <w:t>36</w:t>
        </w:r>
        <w:r>
          <w:rPr>
            <w:b/>
            <w:bCs/>
            <w:color w:val="auto"/>
            <w:sz w:val="21"/>
            <w:szCs w:val="21"/>
          </w:rPr>
          <w:fldChar w:fldCharType="end"/>
        </w:r>
      </w:hyperlink>
    </w:p>
    <w:p>
      <w:pPr>
        <w:pStyle w:val="WPSOffice2"/>
        <w:tabs>
          <w:tab w:val="right" w:leader="dot" w:pos="9072"/>
        </w:tabs>
        <w:rPr>
          <w:b/>
          <w:bCs/>
          <w:color w:val="auto"/>
          <w:sz w:val="21"/>
          <w:szCs w:val="21"/>
        </w:rPr>
      </w:pPr>
      <w:hyperlink w:anchor="_Toc15449" w:history="1">
        <w:r>
          <w:rPr>
            <w:rFonts w:ascii="Times New Roman" w:hAnsi="Times New Roman" w:cs="Times New Roman" w:hint="default"/>
            <w:b/>
            <w:bCs/>
            <w:color w:val="auto"/>
            <w:sz w:val="21"/>
            <w:szCs w:val="21"/>
            <w:lang w:val="en-US" w:eastAsia="zh-CN"/>
          </w:rPr>
          <w:t>1.5.1 有毒有害物质在大气中扩散</w:t>
        </w:r>
        <w:r>
          <w:rPr>
            <w:b/>
            <w:bCs/>
            <w:color w:val="auto"/>
            <w:sz w:val="21"/>
            <w:szCs w:val="21"/>
          </w:rPr>
          <w:tab/>
        </w:r>
        <w:r>
          <w:rPr>
            <w:b/>
            <w:bCs/>
            <w:color w:val="auto"/>
            <w:sz w:val="21"/>
            <w:szCs w:val="21"/>
          </w:rPr>
          <w:fldChar w:fldCharType="begin"/>
        </w:r>
        <w:r>
          <w:rPr>
            <w:b/>
            <w:bCs/>
            <w:color w:val="auto"/>
            <w:sz w:val="21"/>
            <w:szCs w:val="21"/>
          </w:rPr>
          <w:instrText xml:space="preserve"> PAGEREF _Toc15449 \h </w:instrText>
        </w:r>
        <w:r>
          <w:rPr>
            <w:b/>
            <w:bCs/>
            <w:color w:val="auto"/>
            <w:sz w:val="21"/>
            <w:szCs w:val="21"/>
          </w:rPr>
          <w:fldChar w:fldCharType="separate"/>
        </w:r>
        <w:r>
          <w:rPr>
            <w:b/>
            <w:bCs/>
            <w:color w:val="auto"/>
            <w:sz w:val="21"/>
            <w:szCs w:val="21"/>
          </w:rPr>
          <w:t>36</w:t>
        </w:r>
        <w:r>
          <w:rPr>
            <w:b/>
            <w:bCs/>
            <w:color w:val="auto"/>
            <w:sz w:val="21"/>
            <w:szCs w:val="21"/>
          </w:rPr>
          <w:fldChar w:fldCharType="end"/>
        </w:r>
      </w:hyperlink>
    </w:p>
    <w:p>
      <w:pPr>
        <w:pStyle w:val="WPSOffice2"/>
        <w:tabs>
          <w:tab w:val="right" w:leader="dot" w:pos="9072"/>
        </w:tabs>
        <w:rPr>
          <w:b/>
          <w:bCs/>
          <w:color w:val="auto"/>
          <w:sz w:val="21"/>
          <w:szCs w:val="21"/>
        </w:rPr>
      </w:pPr>
      <w:hyperlink w:anchor="_Toc24426" w:history="1">
        <w:r>
          <w:rPr>
            <w:rFonts w:ascii="Times New Roman" w:hAnsi="Times New Roman" w:cs="Times New Roman" w:hint="default"/>
            <w:b/>
            <w:bCs/>
            <w:color w:val="auto"/>
            <w:sz w:val="21"/>
            <w:szCs w:val="21"/>
            <w:lang w:val="en-US" w:eastAsia="zh-CN"/>
          </w:rPr>
          <w:t>1.5.2 有毒有害物质在地表水、地下水环境中的运移扩散</w:t>
        </w:r>
        <w:r>
          <w:rPr>
            <w:b/>
            <w:bCs/>
            <w:color w:val="auto"/>
            <w:sz w:val="21"/>
            <w:szCs w:val="21"/>
          </w:rPr>
          <w:tab/>
        </w:r>
        <w:r>
          <w:rPr>
            <w:b/>
            <w:bCs/>
            <w:color w:val="auto"/>
            <w:sz w:val="21"/>
            <w:szCs w:val="21"/>
          </w:rPr>
          <w:fldChar w:fldCharType="begin"/>
        </w:r>
        <w:r>
          <w:rPr>
            <w:b/>
            <w:bCs/>
            <w:color w:val="auto"/>
            <w:sz w:val="21"/>
            <w:szCs w:val="21"/>
          </w:rPr>
          <w:instrText xml:space="preserve"> PAGEREF _Toc24426 \h </w:instrText>
        </w:r>
        <w:r>
          <w:rPr>
            <w:b/>
            <w:bCs/>
            <w:color w:val="auto"/>
            <w:sz w:val="21"/>
            <w:szCs w:val="21"/>
          </w:rPr>
          <w:fldChar w:fldCharType="separate"/>
        </w:r>
        <w:r>
          <w:rPr>
            <w:b/>
            <w:bCs/>
            <w:color w:val="auto"/>
            <w:sz w:val="21"/>
            <w:szCs w:val="21"/>
          </w:rPr>
          <w:t>52</w:t>
        </w:r>
        <w:r>
          <w:rPr>
            <w:b/>
            <w:bCs/>
            <w:color w:val="auto"/>
            <w:sz w:val="21"/>
            <w:szCs w:val="21"/>
          </w:rPr>
          <w:fldChar w:fldCharType="end"/>
        </w:r>
      </w:hyperlink>
    </w:p>
    <w:p>
      <w:pPr>
        <w:pStyle w:val="WPSOffice2"/>
        <w:tabs>
          <w:tab w:val="right" w:leader="dot" w:pos="9072"/>
        </w:tabs>
        <w:rPr>
          <w:b/>
          <w:bCs/>
          <w:color w:val="auto"/>
          <w:sz w:val="21"/>
          <w:szCs w:val="21"/>
        </w:rPr>
      </w:pPr>
      <w:hyperlink w:anchor="_Toc26983" w:history="1">
        <w:r>
          <w:rPr>
            <w:rFonts w:ascii="Times New Roman" w:hAnsi="Times New Roman" w:cs="Times New Roman" w:hint="default"/>
            <w:b/>
            <w:bCs/>
            <w:color w:val="auto"/>
            <w:sz w:val="21"/>
            <w:szCs w:val="21"/>
            <w:lang w:val="en-US" w:eastAsia="zh-CN"/>
          </w:rPr>
          <w:t>1.6 环境风险管理</w:t>
        </w:r>
        <w:r>
          <w:rPr>
            <w:b/>
            <w:bCs/>
            <w:color w:val="auto"/>
            <w:sz w:val="21"/>
            <w:szCs w:val="21"/>
          </w:rPr>
          <w:tab/>
        </w:r>
        <w:r>
          <w:rPr>
            <w:b/>
            <w:bCs/>
            <w:color w:val="auto"/>
            <w:sz w:val="21"/>
            <w:szCs w:val="21"/>
          </w:rPr>
          <w:fldChar w:fldCharType="begin"/>
        </w:r>
        <w:r>
          <w:rPr>
            <w:b/>
            <w:bCs/>
            <w:color w:val="auto"/>
            <w:sz w:val="21"/>
            <w:szCs w:val="21"/>
          </w:rPr>
          <w:instrText xml:space="preserve"> PAGEREF _Toc26983 \h </w:instrText>
        </w:r>
        <w:r>
          <w:rPr>
            <w:b/>
            <w:bCs/>
            <w:color w:val="auto"/>
            <w:sz w:val="21"/>
            <w:szCs w:val="21"/>
          </w:rPr>
          <w:fldChar w:fldCharType="separate"/>
        </w:r>
        <w:r>
          <w:rPr>
            <w:b/>
            <w:bCs/>
            <w:color w:val="auto"/>
            <w:sz w:val="21"/>
            <w:szCs w:val="21"/>
          </w:rPr>
          <w:t>55</w:t>
        </w:r>
        <w:r>
          <w:rPr>
            <w:b/>
            <w:bCs/>
            <w:color w:val="auto"/>
            <w:sz w:val="21"/>
            <w:szCs w:val="21"/>
          </w:rPr>
          <w:fldChar w:fldCharType="end"/>
        </w:r>
      </w:hyperlink>
    </w:p>
    <w:p>
      <w:pPr>
        <w:pStyle w:val="WPSOffice2"/>
        <w:tabs>
          <w:tab w:val="right" w:leader="dot" w:pos="9072"/>
        </w:tabs>
        <w:rPr>
          <w:b/>
          <w:bCs/>
          <w:color w:val="auto"/>
          <w:sz w:val="21"/>
          <w:szCs w:val="21"/>
        </w:rPr>
      </w:pPr>
      <w:hyperlink w:anchor="_Toc17427" w:history="1">
        <w:r>
          <w:rPr>
            <w:rFonts w:ascii="Times New Roman" w:hAnsi="Times New Roman" w:cs="Times New Roman" w:hint="default"/>
            <w:b/>
            <w:bCs/>
            <w:color w:val="auto"/>
            <w:sz w:val="21"/>
            <w:szCs w:val="21"/>
            <w:lang w:val="en-US" w:eastAsia="zh-CN"/>
          </w:rPr>
          <w:t>1.6.1 环境风险管理目标</w:t>
        </w:r>
        <w:r>
          <w:rPr>
            <w:b/>
            <w:bCs/>
            <w:color w:val="auto"/>
            <w:sz w:val="21"/>
            <w:szCs w:val="21"/>
          </w:rPr>
          <w:tab/>
        </w:r>
        <w:r>
          <w:rPr>
            <w:b/>
            <w:bCs/>
            <w:color w:val="auto"/>
            <w:sz w:val="21"/>
            <w:szCs w:val="21"/>
          </w:rPr>
          <w:fldChar w:fldCharType="begin"/>
        </w:r>
        <w:r>
          <w:rPr>
            <w:b/>
            <w:bCs/>
            <w:color w:val="auto"/>
            <w:sz w:val="21"/>
            <w:szCs w:val="21"/>
          </w:rPr>
          <w:instrText xml:space="preserve"> PAGEREF _Toc17427 \h </w:instrText>
        </w:r>
        <w:r>
          <w:rPr>
            <w:b/>
            <w:bCs/>
            <w:color w:val="auto"/>
            <w:sz w:val="21"/>
            <w:szCs w:val="21"/>
          </w:rPr>
          <w:fldChar w:fldCharType="separate"/>
        </w:r>
        <w:r>
          <w:rPr>
            <w:b/>
            <w:bCs/>
            <w:color w:val="auto"/>
            <w:sz w:val="21"/>
            <w:szCs w:val="21"/>
          </w:rPr>
          <w:t>55</w:t>
        </w:r>
        <w:r>
          <w:rPr>
            <w:b/>
            <w:bCs/>
            <w:color w:val="auto"/>
            <w:sz w:val="21"/>
            <w:szCs w:val="21"/>
          </w:rPr>
          <w:fldChar w:fldCharType="end"/>
        </w:r>
      </w:hyperlink>
    </w:p>
    <w:p>
      <w:pPr>
        <w:pStyle w:val="WPSOffice2"/>
        <w:tabs>
          <w:tab w:val="right" w:leader="dot" w:pos="9072"/>
        </w:tabs>
        <w:rPr>
          <w:b/>
          <w:bCs/>
          <w:color w:val="auto"/>
          <w:sz w:val="21"/>
          <w:szCs w:val="21"/>
        </w:rPr>
      </w:pPr>
      <w:hyperlink w:anchor="_Toc5013" w:history="1">
        <w:r>
          <w:rPr>
            <w:rFonts w:ascii="Times New Roman" w:hAnsi="Times New Roman" w:cs="Times New Roman" w:hint="default"/>
            <w:b/>
            <w:bCs/>
            <w:color w:val="auto"/>
            <w:sz w:val="21"/>
            <w:szCs w:val="21"/>
            <w:lang w:val="en-US" w:eastAsia="zh-CN"/>
          </w:rPr>
          <w:t>1.6.2 环境风险防范措施</w:t>
        </w:r>
        <w:r>
          <w:rPr>
            <w:b/>
            <w:bCs/>
            <w:color w:val="auto"/>
            <w:sz w:val="21"/>
            <w:szCs w:val="21"/>
          </w:rPr>
          <w:tab/>
        </w:r>
        <w:r>
          <w:rPr>
            <w:b/>
            <w:bCs/>
            <w:color w:val="auto"/>
            <w:sz w:val="21"/>
            <w:szCs w:val="21"/>
          </w:rPr>
          <w:fldChar w:fldCharType="begin"/>
        </w:r>
        <w:r>
          <w:rPr>
            <w:b/>
            <w:bCs/>
            <w:color w:val="auto"/>
            <w:sz w:val="21"/>
            <w:szCs w:val="21"/>
          </w:rPr>
          <w:instrText xml:space="preserve"> PAGEREF _Toc5013 \h </w:instrText>
        </w:r>
        <w:r>
          <w:rPr>
            <w:b/>
            <w:bCs/>
            <w:color w:val="auto"/>
            <w:sz w:val="21"/>
            <w:szCs w:val="21"/>
          </w:rPr>
          <w:fldChar w:fldCharType="separate"/>
        </w:r>
        <w:r>
          <w:rPr>
            <w:b/>
            <w:bCs/>
            <w:color w:val="auto"/>
            <w:sz w:val="21"/>
            <w:szCs w:val="21"/>
          </w:rPr>
          <w:t>55</w:t>
        </w:r>
        <w:r>
          <w:rPr>
            <w:b/>
            <w:bCs/>
            <w:color w:val="auto"/>
            <w:sz w:val="21"/>
            <w:szCs w:val="21"/>
          </w:rPr>
          <w:fldChar w:fldCharType="end"/>
        </w:r>
      </w:hyperlink>
    </w:p>
    <w:p>
      <w:pPr>
        <w:pStyle w:val="WPSOffice2"/>
        <w:tabs>
          <w:tab w:val="right" w:leader="dot" w:pos="9072"/>
        </w:tabs>
        <w:rPr>
          <w:b/>
          <w:bCs/>
          <w:color w:val="auto"/>
          <w:sz w:val="21"/>
          <w:szCs w:val="21"/>
        </w:rPr>
      </w:pPr>
      <w:hyperlink w:anchor="_Toc27185" w:history="1">
        <w:r>
          <w:rPr>
            <w:rFonts w:ascii="Times New Roman" w:hAnsi="Times New Roman" w:cs="Times New Roman" w:hint="default"/>
            <w:b/>
            <w:bCs/>
            <w:color w:val="auto"/>
            <w:kern w:val="0"/>
            <w:sz w:val="21"/>
            <w:szCs w:val="21"/>
            <w:lang w:val="en-US" w:eastAsia="zh-CN"/>
          </w:rPr>
          <w:t>1.6</w:t>
        </w:r>
        <w:r>
          <w:rPr>
            <w:rFonts w:ascii="Times New Roman" w:hAnsi="Times New Roman" w:cs="Times New Roman" w:hint="default"/>
            <w:b/>
            <w:bCs/>
            <w:color w:val="auto"/>
            <w:kern w:val="0"/>
            <w:sz w:val="21"/>
            <w:szCs w:val="21"/>
          </w:rPr>
          <w:t>.3建立</w:t>
        </w:r>
        <w:r>
          <w:rPr>
            <w:rFonts w:ascii="Times New Roman" w:hAnsi="Times New Roman" w:cs="Times New Roman" w:hint="default"/>
            <w:b/>
            <w:bCs/>
            <w:color w:val="auto"/>
            <w:kern w:val="0"/>
            <w:sz w:val="21"/>
            <w:szCs w:val="21"/>
          </w:rPr>
          <w:t>“</w:t>
        </w:r>
        <w:r>
          <w:rPr>
            <w:rFonts w:ascii="Times New Roman" w:hAnsi="Times New Roman" w:cs="Times New Roman" w:hint="default"/>
            <w:b/>
            <w:bCs/>
            <w:color w:val="auto"/>
            <w:kern w:val="0"/>
            <w:sz w:val="21"/>
            <w:szCs w:val="21"/>
          </w:rPr>
          <w:t>三级</w:t>
        </w:r>
        <w:r>
          <w:rPr>
            <w:rFonts w:ascii="Times New Roman" w:hAnsi="Times New Roman" w:cs="Times New Roman" w:hint="default"/>
            <w:b/>
            <w:bCs/>
            <w:color w:val="auto"/>
            <w:kern w:val="0"/>
            <w:sz w:val="21"/>
            <w:szCs w:val="21"/>
          </w:rPr>
          <w:t>”</w:t>
        </w:r>
        <w:r>
          <w:rPr>
            <w:rFonts w:ascii="Times New Roman" w:hAnsi="Times New Roman" w:cs="Times New Roman" w:hint="default"/>
            <w:b/>
            <w:bCs/>
            <w:color w:val="auto"/>
            <w:kern w:val="0"/>
            <w:sz w:val="21"/>
            <w:szCs w:val="21"/>
          </w:rPr>
          <w:t>防控体系</w:t>
        </w:r>
        <w:r>
          <w:rPr>
            <w:b/>
            <w:bCs/>
            <w:color w:val="auto"/>
            <w:sz w:val="21"/>
            <w:szCs w:val="21"/>
          </w:rPr>
          <w:tab/>
        </w:r>
        <w:r>
          <w:rPr>
            <w:b/>
            <w:bCs/>
            <w:color w:val="auto"/>
            <w:sz w:val="21"/>
            <w:szCs w:val="21"/>
          </w:rPr>
          <w:fldChar w:fldCharType="begin"/>
        </w:r>
        <w:r>
          <w:rPr>
            <w:b/>
            <w:bCs/>
            <w:color w:val="auto"/>
            <w:sz w:val="21"/>
            <w:szCs w:val="21"/>
          </w:rPr>
          <w:instrText xml:space="preserve"> PAGEREF _Toc27185 \h </w:instrText>
        </w:r>
        <w:r>
          <w:rPr>
            <w:b/>
            <w:bCs/>
            <w:color w:val="auto"/>
            <w:sz w:val="21"/>
            <w:szCs w:val="21"/>
          </w:rPr>
          <w:fldChar w:fldCharType="separate"/>
        </w:r>
        <w:r>
          <w:rPr>
            <w:b/>
            <w:bCs/>
            <w:color w:val="auto"/>
            <w:sz w:val="21"/>
            <w:szCs w:val="21"/>
          </w:rPr>
          <w:t>61</w:t>
        </w:r>
        <w:r>
          <w:rPr>
            <w:b/>
            <w:bCs/>
            <w:color w:val="auto"/>
            <w:sz w:val="21"/>
            <w:szCs w:val="21"/>
          </w:rPr>
          <w:fldChar w:fldCharType="end"/>
        </w:r>
      </w:hyperlink>
    </w:p>
    <w:p>
      <w:pPr>
        <w:pStyle w:val="WPSOffice2"/>
        <w:tabs>
          <w:tab w:val="right" w:leader="dot" w:pos="9072"/>
        </w:tabs>
        <w:rPr>
          <w:b/>
          <w:bCs/>
          <w:color w:val="auto"/>
          <w:sz w:val="21"/>
          <w:szCs w:val="21"/>
        </w:rPr>
      </w:pPr>
      <w:hyperlink w:anchor="_Toc11243" w:history="1">
        <w:r>
          <w:rPr>
            <w:rFonts w:ascii="Times New Roman" w:hAnsi="Times New Roman" w:cs="Times New Roman" w:hint="default"/>
            <w:b/>
            <w:bCs/>
            <w:color w:val="auto"/>
            <w:kern w:val="0"/>
            <w:sz w:val="21"/>
            <w:szCs w:val="21"/>
            <w:lang w:val="en-US" w:eastAsia="zh-CN"/>
          </w:rPr>
          <w:t>1.6</w:t>
        </w:r>
        <w:r>
          <w:rPr>
            <w:rFonts w:ascii="Times New Roman" w:hAnsi="Times New Roman" w:cs="Times New Roman" w:hint="default"/>
            <w:b/>
            <w:bCs/>
            <w:color w:val="auto"/>
            <w:kern w:val="0"/>
            <w:sz w:val="21"/>
            <w:szCs w:val="21"/>
          </w:rPr>
          <w:t>.4与当地政府部门风险应急系统联动协调防范措施</w:t>
        </w:r>
        <w:r>
          <w:rPr>
            <w:b/>
            <w:bCs/>
            <w:color w:val="auto"/>
            <w:sz w:val="21"/>
            <w:szCs w:val="21"/>
          </w:rPr>
          <w:tab/>
        </w:r>
        <w:r>
          <w:rPr>
            <w:b/>
            <w:bCs/>
            <w:color w:val="auto"/>
            <w:sz w:val="21"/>
            <w:szCs w:val="21"/>
          </w:rPr>
          <w:fldChar w:fldCharType="begin"/>
        </w:r>
        <w:r>
          <w:rPr>
            <w:b/>
            <w:bCs/>
            <w:color w:val="auto"/>
            <w:sz w:val="21"/>
            <w:szCs w:val="21"/>
          </w:rPr>
          <w:instrText xml:space="preserve"> PAGEREF _Toc11243 \h </w:instrText>
        </w:r>
        <w:r>
          <w:rPr>
            <w:b/>
            <w:bCs/>
            <w:color w:val="auto"/>
            <w:sz w:val="21"/>
            <w:szCs w:val="21"/>
          </w:rPr>
          <w:fldChar w:fldCharType="separate"/>
        </w:r>
        <w:r>
          <w:rPr>
            <w:b/>
            <w:bCs/>
            <w:color w:val="auto"/>
            <w:sz w:val="21"/>
            <w:szCs w:val="21"/>
          </w:rPr>
          <w:t>62</w:t>
        </w:r>
        <w:r>
          <w:rPr>
            <w:b/>
            <w:bCs/>
            <w:color w:val="auto"/>
            <w:sz w:val="21"/>
            <w:szCs w:val="21"/>
          </w:rPr>
          <w:fldChar w:fldCharType="end"/>
        </w:r>
      </w:hyperlink>
    </w:p>
    <w:p>
      <w:pPr>
        <w:pStyle w:val="WPSOffice2"/>
        <w:tabs>
          <w:tab w:val="right" w:leader="dot" w:pos="9072"/>
        </w:tabs>
        <w:rPr>
          <w:b/>
          <w:bCs/>
          <w:color w:val="auto"/>
          <w:sz w:val="21"/>
          <w:szCs w:val="21"/>
        </w:rPr>
      </w:pPr>
      <w:hyperlink w:anchor="_Toc5953" w:history="1">
        <w:r>
          <w:rPr>
            <w:rFonts w:ascii="Times New Roman" w:hAnsi="Times New Roman" w:cs="Times New Roman" w:hint="default"/>
            <w:b/>
            <w:bCs/>
            <w:color w:val="auto"/>
            <w:sz w:val="21"/>
            <w:szCs w:val="21"/>
            <w:lang w:val="en-US" w:eastAsia="zh-CN"/>
          </w:rPr>
          <w:t>1.7 突发环境事件应急预案编制要求</w:t>
        </w:r>
        <w:r>
          <w:rPr>
            <w:b/>
            <w:bCs/>
            <w:color w:val="auto"/>
            <w:sz w:val="21"/>
            <w:szCs w:val="21"/>
          </w:rPr>
          <w:tab/>
        </w:r>
        <w:r>
          <w:rPr>
            <w:b/>
            <w:bCs/>
            <w:color w:val="auto"/>
            <w:sz w:val="21"/>
            <w:szCs w:val="21"/>
          </w:rPr>
          <w:fldChar w:fldCharType="begin"/>
        </w:r>
        <w:r>
          <w:rPr>
            <w:b/>
            <w:bCs/>
            <w:color w:val="auto"/>
            <w:sz w:val="21"/>
            <w:szCs w:val="21"/>
          </w:rPr>
          <w:instrText xml:space="preserve"> PAGEREF _Toc5953 \h </w:instrText>
        </w:r>
        <w:r>
          <w:rPr>
            <w:b/>
            <w:bCs/>
            <w:color w:val="auto"/>
            <w:sz w:val="21"/>
            <w:szCs w:val="21"/>
          </w:rPr>
          <w:fldChar w:fldCharType="separate"/>
        </w:r>
        <w:r>
          <w:rPr>
            <w:b/>
            <w:bCs/>
            <w:color w:val="auto"/>
            <w:sz w:val="21"/>
            <w:szCs w:val="21"/>
          </w:rPr>
          <w:t>66</w:t>
        </w:r>
        <w:r>
          <w:rPr>
            <w:b/>
            <w:bCs/>
            <w:color w:val="auto"/>
            <w:sz w:val="21"/>
            <w:szCs w:val="21"/>
          </w:rPr>
          <w:fldChar w:fldCharType="end"/>
        </w:r>
      </w:hyperlink>
    </w:p>
    <w:p>
      <w:pPr>
        <w:pStyle w:val="WPSOffice2"/>
        <w:tabs>
          <w:tab w:val="right" w:leader="dot" w:pos="9072"/>
        </w:tabs>
        <w:rPr>
          <w:b/>
          <w:bCs/>
          <w:color w:val="auto"/>
          <w:sz w:val="21"/>
          <w:szCs w:val="21"/>
        </w:rPr>
      </w:pPr>
      <w:hyperlink w:anchor="_Toc35" w:history="1">
        <w:r>
          <w:rPr>
            <w:rFonts w:ascii="Times New Roman" w:hAnsi="Times New Roman" w:cs="Times New Roman" w:hint="default"/>
            <w:b/>
            <w:bCs/>
            <w:color w:val="auto"/>
            <w:sz w:val="21"/>
            <w:szCs w:val="21"/>
            <w:lang w:val="en-US" w:eastAsia="zh-CN"/>
          </w:rPr>
          <w:t>1.7.1 应急预案编制要求</w:t>
        </w:r>
        <w:r>
          <w:rPr>
            <w:b/>
            <w:bCs/>
            <w:color w:val="auto"/>
            <w:sz w:val="21"/>
            <w:szCs w:val="21"/>
          </w:rPr>
          <w:tab/>
        </w:r>
        <w:r>
          <w:rPr>
            <w:b/>
            <w:bCs/>
            <w:color w:val="auto"/>
            <w:sz w:val="21"/>
            <w:szCs w:val="21"/>
          </w:rPr>
          <w:fldChar w:fldCharType="begin"/>
        </w:r>
        <w:r>
          <w:rPr>
            <w:b/>
            <w:bCs/>
            <w:color w:val="auto"/>
            <w:sz w:val="21"/>
            <w:szCs w:val="21"/>
          </w:rPr>
          <w:instrText xml:space="preserve"> PAGEREF _Toc35 \h </w:instrText>
        </w:r>
        <w:r>
          <w:rPr>
            <w:b/>
            <w:bCs/>
            <w:color w:val="auto"/>
            <w:sz w:val="21"/>
            <w:szCs w:val="21"/>
          </w:rPr>
          <w:fldChar w:fldCharType="separate"/>
        </w:r>
        <w:r>
          <w:rPr>
            <w:b/>
            <w:bCs/>
            <w:color w:val="auto"/>
            <w:sz w:val="21"/>
            <w:szCs w:val="21"/>
          </w:rPr>
          <w:t>66</w:t>
        </w:r>
        <w:r>
          <w:rPr>
            <w:b/>
            <w:bCs/>
            <w:color w:val="auto"/>
            <w:sz w:val="21"/>
            <w:szCs w:val="21"/>
          </w:rPr>
          <w:fldChar w:fldCharType="end"/>
        </w:r>
      </w:hyperlink>
    </w:p>
    <w:p>
      <w:pPr>
        <w:pStyle w:val="WPSOffice2"/>
        <w:tabs>
          <w:tab w:val="right" w:leader="dot" w:pos="9072"/>
        </w:tabs>
        <w:rPr>
          <w:b/>
          <w:bCs/>
          <w:color w:val="auto"/>
          <w:sz w:val="21"/>
          <w:szCs w:val="21"/>
        </w:rPr>
      </w:pPr>
      <w:hyperlink w:anchor="_Toc20356" w:history="1">
        <w:r>
          <w:rPr>
            <w:rFonts w:ascii="Times New Roman" w:hAnsi="Times New Roman" w:cs="Times New Roman" w:hint="default"/>
            <w:b/>
            <w:bCs/>
            <w:color w:val="auto"/>
            <w:sz w:val="21"/>
            <w:szCs w:val="21"/>
            <w:lang w:val="en-US" w:eastAsia="zh-CN"/>
          </w:rPr>
          <w:t>1.7.2 应急处置措施</w:t>
        </w:r>
        <w:r>
          <w:rPr>
            <w:b/>
            <w:bCs/>
            <w:color w:val="auto"/>
            <w:sz w:val="21"/>
            <w:szCs w:val="21"/>
          </w:rPr>
          <w:tab/>
        </w:r>
        <w:r>
          <w:rPr>
            <w:b/>
            <w:bCs/>
            <w:color w:val="auto"/>
            <w:sz w:val="21"/>
            <w:szCs w:val="21"/>
          </w:rPr>
          <w:fldChar w:fldCharType="begin"/>
        </w:r>
        <w:r>
          <w:rPr>
            <w:b/>
            <w:bCs/>
            <w:color w:val="auto"/>
            <w:sz w:val="21"/>
            <w:szCs w:val="21"/>
          </w:rPr>
          <w:instrText xml:space="preserve"> PAGEREF _Toc20356 \h </w:instrText>
        </w:r>
        <w:r>
          <w:rPr>
            <w:b/>
            <w:bCs/>
            <w:color w:val="auto"/>
            <w:sz w:val="21"/>
            <w:szCs w:val="21"/>
          </w:rPr>
          <w:fldChar w:fldCharType="separate"/>
        </w:r>
        <w:r>
          <w:rPr>
            <w:b/>
            <w:bCs/>
            <w:color w:val="auto"/>
            <w:sz w:val="21"/>
            <w:szCs w:val="21"/>
          </w:rPr>
          <w:t>67</w:t>
        </w:r>
        <w:r>
          <w:rPr>
            <w:b/>
            <w:bCs/>
            <w:color w:val="auto"/>
            <w:sz w:val="21"/>
            <w:szCs w:val="21"/>
          </w:rPr>
          <w:fldChar w:fldCharType="end"/>
        </w:r>
      </w:hyperlink>
    </w:p>
    <w:p>
      <w:pPr>
        <w:pStyle w:val="WPSOffice2"/>
        <w:tabs>
          <w:tab w:val="right" w:leader="dot" w:pos="9072"/>
        </w:tabs>
        <w:rPr>
          <w:b/>
          <w:bCs/>
          <w:color w:val="auto"/>
          <w:sz w:val="21"/>
          <w:szCs w:val="21"/>
        </w:rPr>
      </w:pPr>
      <w:hyperlink w:anchor="_Toc25402" w:history="1">
        <w:r>
          <w:rPr>
            <w:rFonts w:ascii="Times New Roman" w:hAnsi="Times New Roman" w:cs="Times New Roman" w:hint="default"/>
            <w:b/>
            <w:bCs/>
            <w:color w:val="auto"/>
            <w:sz w:val="21"/>
            <w:szCs w:val="21"/>
            <w:lang w:val="en-US" w:eastAsia="zh-CN"/>
          </w:rPr>
          <w:t>1.7.3 应急监测</w:t>
        </w:r>
        <w:r>
          <w:rPr>
            <w:b/>
            <w:bCs/>
            <w:color w:val="auto"/>
            <w:sz w:val="21"/>
            <w:szCs w:val="21"/>
          </w:rPr>
          <w:tab/>
        </w:r>
        <w:r>
          <w:rPr>
            <w:b/>
            <w:bCs/>
            <w:color w:val="auto"/>
            <w:sz w:val="21"/>
            <w:szCs w:val="21"/>
          </w:rPr>
          <w:fldChar w:fldCharType="begin"/>
        </w:r>
        <w:r>
          <w:rPr>
            <w:b/>
            <w:bCs/>
            <w:color w:val="auto"/>
            <w:sz w:val="21"/>
            <w:szCs w:val="21"/>
          </w:rPr>
          <w:instrText xml:space="preserve"> PAGEREF _Toc25402 \h </w:instrText>
        </w:r>
        <w:r>
          <w:rPr>
            <w:b/>
            <w:bCs/>
            <w:color w:val="auto"/>
            <w:sz w:val="21"/>
            <w:szCs w:val="21"/>
          </w:rPr>
          <w:fldChar w:fldCharType="separate"/>
        </w:r>
        <w:r>
          <w:rPr>
            <w:b/>
            <w:bCs/>
            <w:color w:val="auto"/>
            <w:sz w:val="21"/>
            <w:szCs w:val="21"/>
          </w:rPr>
          <w:t>71</w:t>
        </w:r>
        <w:r>
          <w:rPr>
            <w:b/>
            <w:bCs/>
            <w:color w:val="auto"/>
            <w:sz w:val="21"/>
            <w:szCs w:val="21"/>
          </w:rPr>
          <w:fldChar w:fldCharType="end"/>
        </w:r>
      </w:hyperlink>
    </w:p>
    <w:p>
      <w:pPr>
        <w:pStyle w:val="WPSOffice2"/>
        <w:tabs>
          <w:tab w:val="right" w:leader="dot" w:pos="9072"/>
        </w:tabs>
        <w:rPr>
          <w:b/>
          <w:bCs/>
          <w:color w:val="auto"/>
          <w:sz w:val="21"/>
          <w:szCs w:val="21"/>
        </w:rPr>
      </w:pPr>
      <w:hyperlink w:anchor="_Toc696" w:history="1">
        <w:r>
          <w:rPr>
            <w:rFonts w:ascii="Times New Roman" w:hAnsi="Times New Roman" w:cs="Times New Roman" w:hint="default"/>
            <w:b/>
            <w:bCs/>
            <w:color w:val="auto"/>
            <w:sz w:val="21"/>
            <w:szCs w:val="21"/>
            <w:lang w:val="en-US" w:eastAsia="zh-CN"/>
          </w:rPr>
          <w:t>1.8 小结</w:t>
        </w:r>
        <w:r>
          <w:rPr>
            <w:b/>
            <w:bCs/>
            <w:color w:val="auto"/>
            <w:sz w:val="21"/>
            <w:szCs w:val="21"/>
          </w:rPr>
          <w:tab/>
        </w:r>
        <w:r>
          <w:rPr>
            <w:b/>
            <w:bCs/>
            <w:color w:val="auto"/>
            <w:sz w:val="21"/>
            <w:szCs w:val="21"/>
          </w:rPr>
          <w:fldChar w:fldCharType="begin"/>
        </w:r>
        <w:r>
          <w:rPr>
            <w:b/>
            <w:bCs/>
            <w:color w:val="auto"/>
            <w:sz w:val="21"/>
            <w:szCs w:val="21"/>
          </w:rPr>
          <w:instrText xml:space="preserve"> PAGEREF _Toc696 \h </w:instrText>
        </w:r>
        <w:r>
          <w:rPr>
            <w:b/>
            <w:bCs/>
            <w:color w:val="auto"/>
            <w:sz w:val="21"/>
            <w:szCs w:val="21"/>
          </w:rPr>
          <w:fldChar w:fldCharType="separate"/>
        </w:r>
        <w:r>
          <w:rPr>
            <w:b/>
            <w:bCs/>
            <w:color w:val="auto"/>
            <w:sz w:val="21"/>
            <w:szCs w:val="21"/>
          </w:rPr>
          <w:t>71</w:t>
        </w:r>
        <w:r>
          <w:rPr>
            <w:b/>
            <w:bCs/>
            <w:color w:val="auto"/>
            <w:sz w:val="21"/>
            <w:szCs w:val="21"/>
          </w:rPr>
          <w:fldChar w:fldCharType="end"/>
        </w:r>
      </w:hyperlink>
    </w:p>
    <w:p>
      <w:pPr>
        <w:rPr>
          <w:color w:val="auto"/>
        </w:rPr>
        <w:sectPr>
          <w:footerReference w:type="default" r:id="rId4"/>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
          <w:cols w:space="708"/>
          <w:docGrid w:type="lines" w:linePitch="312"/>
        </w:sectPr>
      </w:pPr>
      <w:r>
        <w:rPr>
          <w:b/>
          <w:bCs/>
          <w:color w:val="auto"/>
          <w:sz w:val="21"/>
          <w:szCs w:val="21"/>
        </w:rPr>
        <w:fldChar w:fldCharType="end"/>
      </w:r>
    </w:p>
    <w:p>
      <w:pPr>
        <w:keepNext w:val="0"/>
        <w:keepLines w:val="0"/>
        <w:pageBreakBefore/>
        <w:widowControl w:val="0"/>
        <w:kinsoku/>
        <w:wordWrap/>
        <w:overflowPunct/>
        <w:topLinePunct w:val="0"/>
        <w:autoSpaceDE/>
        <w:autoSpaceDN/>
        <w:bidi w:val="0"/>
        <w:adjustRightInd/>
        <w:snapToGrid/>
        <w:spacing w:before="312" w:beforeLines="100" w:after="312" w:afterLines="100" w:line="360" w:lineRule="auto"/>
        <w:jc w:val="center"/>
        <w:textAlignment w:val="auto"/>
        <w:outlineLvl w:val="0"/>
        <w:rPr>
          <w:rFonts w:ascii="Times New Roman" w:hAnsi="Times New Roman" w:hint="default"/>
          <w:b/>
          <w:bCs/>
          <w:color w:val="auto"/>
          <w:sz w:val="44"/>
          <w:szCs w:val="44"/>
        </w:rPr>
      </w:pPr>
      <w:bookmarkStart w:id="0" w:name="_Toc8096"/>
      <w:r>
        <w:rPr>
          <w:rFonts w:ascii="Times New Roman" w:hAnsi="Times New Roman" w:cs="Times New Roman" w:hint="default"/>
          <w:b/>
          <w:bCs/>
          <w:color w:val="auto"/>
          <w:sz w:val="44"/>
          <w:szCs w:val="44"/>
        </w:rPr>
        <w:t>环境风险评价专章</w:t>
      </w:r>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环境风险评价目的是分析和预测建设项目存在的潜在危险、有害因素，建设项目建设和运行期间可能发生的突发性事件或事故（一般不包括人为破坏及自然灾害），引起有毒有害和易燃易爆等物质泄漏，所造成的人身安全与环境影响和损害程度，提出合理可行的防范、应急与减缓措施，以使建设项目事故率、损失和环境影响达到可接受水平。</w:t>
      </w:r>
    </w:p>
    <w:p>
      <w:pPr>
        <w:pStyle w:val="Heading2"/>
        <w:rPr>
          <w:rFonts w:cs="Times New Roman" w:hint="default"/>
          <w:color w:val="auto"/>
          <w:sz w:val="32"/>
          <w:szCs w:val="36"/>
        </w:rPr>
      </w:pPr>
      <w:bookmarkStart w:id="1" w:name="_Toc3902"/>
      <w:r>
        <w:rPr>
          <w:rFonts w:ascii="Times New Roman" w:hAnsi="Times New Roman" w:cs="Times New Roman" w:hint="default"/>
          <w:color w:val="auto"/>
          <w:sz w:val="32"/>
          <w:szCs w:val="36"/>
          <w:lang w:val="en-US" w:eastAsia="zh-CN"/>
        </w:rPr>
        <w:t>1</w:t>
      </w:r>
      <w:r>
        <w:rPr>
          <w:rFonts w:ascii="Times New Roman" w:hAnsi="Times New Roman" w:cs="Times New Roman" w:hint="default"/>
          <w:color w:val="auto"/>
          <w:sz w:val="32"/>
          <w:szCs w:val="36"/>
        </w:rPr>
        <w:t>.1现有项目环境风险回顾性评价</w:t>
      </w:r>
      <w:bookmarkEnd w:id="1"/>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rPr>
      </w:pPr>
      <w:bookmarkStart w:id="2" w:name="_Toc19176"/>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.1.1</w:t>
      </w:r>
      <w:r>
        <w:rPr>
          <w:rFonts w:ascii="Times New Roman" w:hAnsi="Times New Roman" w:cs="Times New Roman" w:hint="default"/>
          <w:color w:val="auto"/>
          <w:sz w:val="28"/>
          <w:szCs w:val="28"/>
          <w:lang w:val="en-US" w:eastAsia="zh-CN"/>
        </w:rPr>
        <w:t xml:space="preserve"> </w:t>
      </w:r>
      <w:r>
        <w:rPr>
          <w:rFonts w:ascii="Times New Roman" w:hAnsi="Times New Roman" w:cs="Times New Roman" w:hint="default"/>
          <w:color w:val="auto"/>
          <w:sz w:val="28"/>
          <w:szCs w:val="28"/>
        </w:rPr>
        <w:t>主要环境风险物质、风险因素识别</w:t>
      </w:r>
      <w:bookmarkEnd w:id="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现有项目主要风险物质包括各类酸碱化学品、油墨和稀释剂，以及酸（碱）性蚀刻液、含硝酸废液等危险废物。主要风险类型包括废水/废液</w:t>
      </w:r>
      <w:r>
        <w:rPr>
          <w:rFonts w:ascii="Times New Roman" w:hAnsi="Times New Roman" w:cs="Times New Roman" w:hint="default"/>
          <w:color w:val="auto"/>
          <w:sz w:val="24"/>
          <w:szCs w:val="24"/>
          <w:lang w:eastAsia="zh-CN"/>
        </w:rPr>
        <w:t>泄漏</w:t>
      </w:r>
      <w:r>
        <w:rPr>
          <w:rFonts w:ascii="Times New Roman" w:hAnsi="Times New Roman" w:cs="Times New Roman" w:hint="default"/>
          <w:color w:val="auto"/>
          <w:sz w:val="24"/>
          <w:szCs w:val="24"/>
        </w:rPr>
        <w:t>，以及油墨和稀释剂等易燃易爆物质发生火灾、爆炸事故次生的CO等污染物排放。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eastAsia="宋体" w:hAnsi="Times New Roman" w:cs="Times New Roman" w:hint="default"/>
          <w:color w:val="auto"/>
          <w:sz w:val="24"/>
          <w:szCs w:val="24"/>
        </w:rPr>
        <w:t>现有工程主要风险装置或单元为：化学品仓库（储桶区）</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危险化学品仓库、调药房罐区、</w:t>
      </w:r>
      <w:r>
        <w:rPr>
          <w:rFonts w:ascii="Times New Roman" w:eastAsia="宋体" w:hAnsi="Times New Roman" w:cs="Times New Roman" w:hint="default"/>
          <w:color w:val="auto"/>
          <w:sz w:val="24"/>
          <w:szCs w:val="24"/>
          <w:lang w:val="en-US" w:eastAsia="zh-CN"/>
        </w:rPr>
        <w:t>2#</w:t>
      </w:r>
      <w:r>
        <w:rPr>
          <w:rFonts w:ascii="Times New Roman" w:eastAsia="宋体" w:hAnsi="Times New Roman" w:cs="Times New Roman" w:hint="default"/>
          <w:color w:val="auto"/>
          <w:sz w:val="24"/>
          <w:szCs w:val="24"/>
        </w:rPr>
        <w:t>厂房供药罐区</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lang w:val="en-US" w:eastAsia="zh-CN"/>
        </w:rPr>
        <w:t>3#</w:t>
      </w:r>
      <w:r>
        <w:rPr>
          <w:rFonts w:ascii="Times New Roman" w:eastAsia="宋体" w:hAnsi="Times New Roman" w:cs="Times New Roman" w:hint="default"/>
          <w:color w:val="auto"/>
          <w:sz w:val="24"/>
          <w:szCs w:val="24"/>
        </w:rPr>
        <w:t>厂房供药罐区</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废液暂存间</w:t>
      </w:r>
      <w:r>
        <w:rPr>
          <w:rFonts w:ascii="Times New Roman" w:eastAsia="宋体" w:hAnsi="Times New Roman" w:cs="Times New Roman" w:hint="default"/>
          <w:color w:val="auto"/>
          <w:sz w:val="24"/>
          <w:szCs w:val="24"/>
          <w:lang w:val="en-US" w:eastAsia="zh-CN"/>
        </w:rPr>
        <w:t>储罐区</w:t>
      </w:r>
      <w:r>
        <w:rPr>
          <w:rFonts w:ascii="Times New Roman" w:eastAsia="宋体" w:hAnsi="Times New Roman" w:cs="Times New Roman" w:hint="default"/>
          <w:color w:val="auto"/>
          <w:sz w:val="24"/>
          <w:szCs w:val="24"/>
        </w:rPr>
        <w:t>、涉及风险物质使用的生产车间、危险废物储存场所、微蚀废液</w:t>
      </w:r>
      <w:r>
        <w:rPr>
          <w:rFonts w:ascii="Times New Roman" w:hAnsi="Times New Roman" w:cs="Times New Roman" w:hint="default"/>
          <w:color w:val="auto"/>
          <w:sz w:val="24"/>
          <w:szCs w:val="24"/>
          <w:lang w:val="en-US" w:eastAsia="zh-CN"/>
        </w:rPr>
        <w:t>在线</w:t>
      </w:r>
      <w:r>
        <w:rPr>
          <w:rFonts w:ascii="Times New Roman" w:eastAsia="宋体" w:hAnsi="Times New Roman" w:cs="Times New Roman" w:hint="default"/>
          <w:color w:val="auto"/>
          <w:sz w:val="24"/>
          <w:szCs w:val="24"/>
        </w:rPr>
        <w:t>回收。</w:t>
      </w: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rPr>
      </w:pPr>
      <w:bookmarkStart w:id="3" w:name="_Toc4812"/>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.1.2</w:t>
      </w:r>
      <w:r>
        <w:rPr>
          <w:rFonts w:ascii="Times New Roman" w:hAnsi="Times New Roman" w:cs="Times New Roman" w:hint="default"/>
          <w:color w:val="auto"/>
          <w:sz w:val="28"/>
          <w:szCs w:val="28"/>
          <w:lang w:val="en-US" w:eastAsia="zh-CN"/>
        </w:rPr>
        <w:t xml:space="preserve"> </w:t>
      </w:r>
      <w:r>
        <w:rPr>
          <w:rFonts w:ascii="Times New Roman" w:hAnsi="Times New Roman" w:cs="Times New Roman" w:hint="default"/>
          <w:color w:val="auto"/>
          <w:sz w:val="28"/>
          <w:szCs w:val="28"/>
        </w:rPr>
        <w:t>已采取的主要风险防范措施</w:t>
      </w:r>
      <w:bookmarkEnd w:id="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（1）厂区雨水管截止阀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现有工程</w:t>
      </w:r>
      <w:r>
        <w:rPr>
          <w:rFonts w:ascii="Times New Roman" w:hAnsi="Times New Roman" w:cs="Times New Roman" w:hint="default"/>
          <w:color w:val="auto"/>
          <w:sz w:val="24"/>
          <w:szCs w:val="24"/>
        </w:rPr>
        <w:t>厂区雨水通过雨水总排口排出厂外，目前厂区内的雨水总排口共计有1个，已经安装截止阀，发生事故时，关闭雨水管截止阀，厂区门口用消防沙构建临时围堰，能有效将事故雨水拦截在厂区内。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（2）事故应急池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现有工程</w:t>
      </w:r>
      <w:r>
        <w:rPr>
          <w:rFonts w:ascii="Times New Roman" w:hAnsi="Times New Roman" w:cs="Times New Roman" w:hint="default"/>
          <w:color w:val="auto"/>
          <w:sz w:val="24"/>
          <w:szCs w:val="24"/>
        </w:rPr>
        <w:t>厂区内已经建设一个事故应急池，地埋式，有效容量为</w:t>
      </w:r>
      <w:r>
        <w:rPr>
          <w:rFonts w:ascii="Times New Roman" w:hAnsi="Times New Roman" w:cs="Times New Roman" w:hint="eastAsia"/>
          <w:color w:val="auto"/>
          <w:sz w:val="24"/>
          <w:szCs w:val="24"/>
          <w:lang w:val="en-US" w:eastAsia="zh-CN"/>
        </w:rPr>
        <w:t>3</w:t>
      </w:r>
      <w:r>
        <w:rPr>
          <w:rFonts w:ascii="Times New Roman" w:hAnsi="Times New Roman" w:cs="Times New Roman" w:hint="default"/>
          <w:color w:val="auto"/>
          <w:sz w:val="24"/>
          <w:szCs w:val="24"/>
          <w:lang w:val="en-US" w:eastAsia="zh-CN"/>
        </w:rPr>
        <w:t>000</w:t>
      </w:r>
      <w:r>
        <w:rPr>
          <w:rFonts w:ascii="Times New Roman" w:hAnsi="Times New Roman" w:cs="Times New Roman" w:hint="default"/>
          <w:color w:val="auto"/>
          <w:sz w:val="24"/>
          <w:szCs w:val="24"/>
        </w:rPr>
        <w:t>m</w:t>
      </w:r>
      <w:r>
        <w:rPr>
          <w:rFonts w:ascii="Times New Roman" w:hAnsi="Times New Roman" w:cs="Times New Roman" w:hint="default"/>
          <w:color w:val="auto"/>
          <w:sz w:val="24"/>
          <w:szCs w:val="24"/>
          <w:vertAlign w:val="superscript"/>
        </w:rPr>
        <w:t>3</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lang w:val="en-US" w:eastAsia="zh-CN"/>
        </w:rPr>
        <w:t>含镍废水和含氰废水单独设有事故池，</w:t>
      </w:r>
      <w:r>
        <w:rPr>
          <w:rFonts w:ascii="Times New Roman" w:hAnsi="Times New Roman" w:cs="Times New Roman" w:hint="default"/>
          <w:color w:val="auto"/>
          <w:sz w:val="24"/>
          <w:szCs w:val="24"/>
        </w:rPr>
        <w:t>含镍废水事故池（容量50m</w:t>
      </w:r>
      <w:r>
        <w:rPr>
          <w:rFonts w:ascii="Times New Roman" w:hAnsi="Times New Roman" w:cs="Times New Roman" w:hint="default"/>
          <w:color w:val="auto"/>
          <w:sz w:val="24"/>
          <w:szCs w:val="24"/>
          <w:vertAlign w:val="superscript"/>
        </w:rPr>
        <w:t>3</w:t>
      </w:r>
      <w:r>
        <w:rPr>
          <w:rFonts w:ascii="Times New Roman" w:hAnsi="Times New Roman" w:cs="Times New Roman" w:hint="default"/>
          <w:color w:val="auto"/>
          <w:sz w:val="24"/>
          <w:szCs w:val="24"/>
        </w:rPr>
        <w:t>）、含氰废水事故池（容量50m</w:t>
      </w:r>
      <w:r>
        <w:rPr>
          <w:rFonts w:ascii="Times New Roman" w:hAnsi="Times New Roman" w:cs="Times New Roman" w:hint="default"/>
          <w:color w:val="auto"/>
          <w:sz w:val="24"/>
          <w:szCs w:val="24"/>
          <w:vertAlign w:val="superscript"/>
        </w:rPr>
        <w:t>3</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lang w:eastAsia="zh-CN"/>
        </w:rPr>
        <w:t>，</w:t>
      </w:r>
      <w:r>
        <w:rPr>
          <w:rFonts w:ascii="Times New Roman" w:hAnsi="Times New Roman" w:cs="Times New Roman" w:hint="default"/>
          <w:color w:val="auto"/>
          <w:sz w:val="24"/>
          <w:szCs w:val="24"/>
          <w:lang w:val="en-US" w:eastAsia="zh-CN"/>
        </w:rPr>
        <w:t>可满足现有工程需求。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（3）供药罐区、废液罐区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5"/>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
          <w:cols w:space="708"/>
          <w:titlePg w:val="0"/>
          <w:docGrid w:type="lines" w:linePitch="312"/>
        </w:sectPr>
      </w:pPr>
      <w:r>
        <w:rPr>
          <w:rFonts w:ascii="Times New Roman" w:eastAsia="宋体" w:hAnsi="Times New Roman" w:cs="Times New Roman" w:hint="default"/>
          <w:color w:val="auto"/>
          <w:sz w:val="24"/>
          <w:szCs w:val="24"/>
        </w:rPr>
        <w:t>盐酸</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酸性蚀刻子液</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双氧水</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碱性蚀刻药剂</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剥锡液药剂</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lang w:val="en-US" w:eastAsia="zh-CN"/>
        </w:rPr>
        <w:t>氨水、</w:t>
      </w:r>
      <w:r>
        <w:rPr>
          <w:rFonts w:ascii="Times New Roman" w:eastAsia="宋体" w:hAnsi="Times New Roman" w:cs="Times New Roman" w:hint="default"/>
          <w:color w:val="auto"/>
          <w:sz w:val="24"/>
          <w:szCs w:val="24"/>
        </w:rPr>
        <w:t>硫酸</w:t>
      </w:r>
      <w:r>
        <w:rPr>
          <w:rFonts w:ascii="Times New Roman" w:eastAsia="宋体" w:hAnsi="Times New Roman" w:cs="Times New Roman" w:hint="default"/>
          <w:color w:val="auto"/>
          <w:sz w:val="24"/>
          <w:szCs w:val="24"/>
          <w:lang w:val="en-US" w:eastAsia="zh-CN"/>
        </w:rPr>
        <w:t>、</w:t>
      </w:r>
      <w:r>
        <w:rPr>
          <w:rFonts w:ascii="Times New Roman" w:eastAsia="宋体" w:hAnsi="Times New Roman" w:cs="Times New Roman" w:hint="default"/>
          <w:color w:val="auto"/>
          <w:sz w:val="24"/>
          <w:szCs w:val="24"/>
        </w:rPr>
        <w:t>氢氧化钠</w:t>
      </w:r>
      <w:r>
        <w:rPr>
          <w:rFonts w:ascii="Times New Roman" w:eastAsia="宋体" w:hAnsi="Times New Roman" w:cs="Times New Roman" w:hint="default"/>
          <w:color w:val="auto"/>
          <w:sz w:val="24"/>
          <w:szCs w:val="24"/>
          <w:lang w:val="en-US" w:eastAsia="zh-CN"/>
        </w:rPr>
        <w:t>、</w:t>
      </w:r>
      <w:r>
        <w:rPr>
          <w:rFonts w:ascii="Times New Roman" w:eastAsia="宋体" w:hAnsi="Times New Roman" w:cs="Times New Roman" w:hint="default"/>
          <w:color w:val="auto"/>
          <w:sz w:val="24"/>
          <w:szCs w:val="24"/>
        </w:rPr>
        <w:t>硫酸铜</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高锰酸钠</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rPr>
        <w:t>沉铜</w:t>
      </w:r>
      <w:r>
        <w:rPr>
          <w:rFonts w:ascii="Times New Roman" w:eastAsia="宋体" w:hAnsi="Times New Roman" w:cs="Times New Roman" w:hint="default"/>
          <w:color w:val="auto"/>
          <w:sz w:val="24"/>
          <w:szCs w:val="24"/>
          <w:lang w:val="en-US" w:eastAsia="zh-CN"/>
        </w:rPr>
        <w:t>药剂</w:t>
      </w:r>
      <w:r>
        <w:rPr>
          <w:rFonts w:ascii="Times New Roman" w:eastAsia="宋体" w:hAnsi="Times New Roman" w:cs="Times New Roman" w:hint="default"/>
          <w:color w:val="auto"/>
          <w:sz w:val="24"/>
          <w:szCs w:val="24"/>
          <w:lang w:eastAsia="zh-CN"/>
        </w:rPr>
        <w:t>、</w:t>
      </w:r>
      <w:r>
        <w:rPr>
          <w:rFonts w:ascii="Times New Roman" w:eastAsia="宋体" w:hAnsi="Times New Roman" w:cs="Times New Roman" w:hint="default"/>
          <w:color w:val="auto"/>
          <w:sz w:val="24"/>
          <w:szCs w:val="24"/>
          <w:lang w:val="en-US" w:eastAsia="zh-CN"/>
        </w:rPr>
        <w:t>电镀铜试剂</w:t>
      </w:r>
      <w:r>
        <w:rPr>
          <w:rFonts w:ascii="Times New Roman" w:eastAsia="宋体" w:hAnsi="Times New Roman" w:cs="Times New Roman" w:hint="default"/>
          <w:color w:val="auto"/>
          <w:sz w:val="24"/>
          <w:szCs w:val="24"/>
        </w:rPr>
        <w:t>，以及含硝酸废液等采用PP罐盛装。各储罐底部设有防止物料</w:t>
      </w:r>
      <w:r>
        <w:rPr>
          <w:rFonts w:ascii="Times New Roman" w:hAnsi="Times New Roman" w:cs="Times New Roman" w:hint="default"/>
          <w:color w:val="auto"/>
          <w:sz w:val="24"/>
          <w:szCs w:val="24"/>
          <w:lang w:eastAsia="zh-CN"/>
        </w:rPr>
        <w:t>泄漏</w:t>
      </w:r>
      <w:r>
        <w:rPr>
          <w:rFonts w:ascii="Times New Roman" w:eastAsia="宋体" w:hAnsi="Times New Roman" w:cs="Times New Roman" w:hint="default"/>
          <w:color w:val="auto"/>
          <w:sz w:val="24"/>
          <w:szCs w:val="24"/>
        </w:rPr>
        <w:t>的储槽，通过管道与事故应急池相通，可使</w:t>
      </w:r>
      <w:r>
        <w:rPr>
          <w:rFonts w:ascii="Times New Roman" w:hAnsi="Times New Roman" w:cs="Times New Roman" w:hint="default"/>
          <w:color w:val="auto"/>
          <w:sz w:val="24"/>
          <w:szCs w:val="24"/>
          <w:lang w:eastAsia="zh-CN"/>
        </w:rPr>
        <w:t>泄漏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eastAsia="宋体" w:hAnsi="Times New Roman" w:cs="Times New Roman" w:hint="default"/>
          <w:color w:val="auto"/>
          <w:sz w:val="24"/>
          <w:szCs w:val="24"/>
        </w:rPr>
        <w:t>的物料得到有效收集。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（4）化学品仓库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各化学品分类、分区暂存于化学品仓库，化学品堆垛底部设置防泄漏托盘，包装容器破损后，会被收集防泄漏托盘收集。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（5）电镀车间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现有工程涉水车间均做防腐防渗，设有地沟，可将跑、冒、滴、漏的废水和泄漏的化学品及时输送到废水处理站。</w:t>
      </w:r>
    </w:p>
    <w:p>
      <w:pPr>
        <w:pStyle w:val="Heading2"/>
        <w:keepNext w:val="0"/>
        <w:keepLines w:val="0"/>
        <w:pageBreakBefore w:val="0"/>
        <w:widowControl w:val="0"/>
        <w:kinsoku/>
        <w:wordWrap/>
        <w:overflowPunct/>
        <w:topLinePunct w:val="0"/>
        <w:autoSpaceDE/>
        <w:autoSpaceDN/>
        <w:bidi w:val="0"/>
        <w:adjustRightInd/>
        <w:snapToGrid/>
        <w:textAlignment w:val="auto"/>
        <w:rPr>
          <w:rFonts w:cs="Times New Roman" w:hint="default"/>
          <w:color w:val="auto"/>
          <w:sz w:val="32"/>
          <w:szCs w:val="36"/>
        </w:rPr>
      </w:pPr>
      <w:bookmarkStart w:id="4" w:name="_Toc15138"/>
      <w:r>
        <w:rPr>
          <w:rFonts w:ascii="Times New Roman" w:hAnsi="Times New Roman" w:cs="Times New Roman" w:hint="default"/>
          <w:color w:val="auto"/>
          <w:sz w:val="32"/>
          <w:szCs w:val="36"/>
          <w:lang w:val="en-US" w:eastAsia="zh-CN"/>
        </w:rPr>
        <w:t>1</w:t>
      </w:r>
      <w:r>
        <w:rPr>
          <w:rFonts w:ascii="Times New Roman" w:hAnsi="Times New Roman" w:cs="Times New Roman" w:hint="default"/>
          <w:color w:val="auto"/>
          <w:sz w:val="32"/>
          <w:szCs w:val="36"/>
        </w:rPr>
        <w:t>.2 评价依据</w:t>
      </w:r>
      <w:bookmarkEnd w:id="4"/>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rPr>
      </w:pPr>
      <w:bookmarkStart w:id="5" w:name="_Toc12297"/>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.2.1 风险物质调查</w:t>
      </w:r>
      <w:bookmarkEnd w:id="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6"/>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3"/>
          <w:cols w:space="708"/>
          <w:titlePg w:val="0"/>
          <w:docGrid w:type="lines" w:linePitch="312"/>
        </w:sectPr>
      </w:pPr>
      <w:r>
        <w:rPr>
          <w:rFonts w:ascii="Times New Roman" w:hAnsi="Times New Roman" w:cs="Times New Roman" w:hint="default"/>
          <w:color w:val="auto"/>
          <w:sz w:val="24"/>
          <w:szCs w:val="24"/>
        </w:rPr>
        <w:t>根据《建设项目环境风险评价技术导则》（HJ169-2018）附录B，本项目中的原辅材料、工作槽液和危险废物均涉及风险物质，</w:t>
      </w:r>
      <w:r>
        <w:rPr>
          <w:rFonts w:ascii="Times New Roman" w:hAnsi="Times New Roman" w:cs="Times New Roman" w:hint="default"/>
          <w:color w:val="auto"/>
          <w:sz w:val="24"/>
          <w:szCs w:val="24"/>
        </w:rPr>
        <w:t>详见表</w:t>
      </w:r>
      <w:r>
        <w:rPr>
          <w:rFonts w:ascii="Times New Roman" w:hAnsi="Times New Roman" w:cs="Times New Roman" w:hint="default"/>
          <w:color w:val="auto"/>
          <w:sz w:val="24"/>
          <w:szCs w:val="24"/>
          <w:lang w:val="en-US" w:eastAsia="zh-CN"/>
        </w:rPr>
        <w:t>1.2</w:t>
      </w:r>
      <w:r>
        <w:rPr>
          <w:rFonts w:ascii="Times New Roman" w:hAnsi="Times New Roman" w:cs="Times New Roman" w:hint="default"/>
          <w:color w:val="auto"/>
          <w:sz w:val="24"/>
          <w:szCs w:val="24"/>
        </w:rPr>
        <w:t>-1</w:t>
      </w:r>
      <w:r>
        <w:rPr>
          <w:rFonts w:ascii="Times New Roman" w:hAnsi="Times New Roman" w:cs="Times New Roman" w:hint="default"/>
          <w:color w:val="auto"/>
          <w:sz w:val="24"/>
          <w:szCs w:val="24"/>
        </w:rPr>
        <w:t>。原辅料中属于风险物质主要是无机酸碱类物质、氧化剂、金属及其氧化物、有机物和油墨等；工作槽液中属于风险物质主要是酸洗槽液、酸性蚀刻槽液、退膜槽液、酸性除油槽液、微蚀槽液、棕化槽液、氧化槽液、退锡槽液、沉铜槽液、镀铜槽液和沉镍槽液等；危险废物中属于风险物质的主要是酸性蚀刻液、碱性蚀刻液、镀铜废液、镀锡废液、含硝酸废液等。如管理不善或人为操作失误，可能发生泄漏事故使风险物质进入环境，进而造成环境污染，具有一定的环境风险；也有可能发生火灾，产生的有毒有害气体会对周边环境空气质量带来一定的影响。</w:t>
      </w:r>
    </w:p>
    <w:p>
      <w:pPr>
        <w:tabs>
          <w:tab w:val="left" w:pos="1500"/>
        </w:tabs>
        <w:spacing w:before="37"/>
        <w:ind w:left="432" w:right="0" w:firstLine="0"/>
        <w:jc w:val="center"/>
        <w:rPr>
          <w:rFonts w:ascii="Times New Roman" w:hAnsi="Times New Roman" w:hint="default"/>
          <w:color w:val="auto"/>
          <w:szCs w:val="21"/>
        </w:rPr>
      </w:pPr>
      <w:r>
        <w:rPr>
          <w:rFonts w:ascii="Times New Roman" w:eastAsia="宋体" w:hAnsi="Times New Roman" w:cs="Times New Roman" w:hint="default"/>
          <w:b/>
          <w:bCs/>
          <w:color w:val="auto"/>
          <w:sz w:val="21"/>
          <w:szCs w:val="21"/>
        </w:rPr>
        <w:t>表</w:t>
      </w:r>
      <w:r>
        <w:rPr>
          <w:rFonts w:ascii="Times New Roman" w:hAnsi="Times New Roman" w:cs="Times New Roman" w:hint="default"/>
          <w:b/>
          <w:bCs/>
          <w:color w:val="auto"/>
          <w:sz w:val="21"/>
          <w:szCs w:val="21"/>
          <w:lang w:val="en-US" w:eastAsia="zh-CN"/>
        </w:rPr>
        <w:t>1.2-1  全厂</w:t>
      </w:r>
      <w:r>
        <w:rPr>
          <w:rFonts w:ascii="Times New Roman" w:eastAsia="宋体" w:hAnsi="Times New Roman" w:cs="Times New Roman" w:hint="default"/>
          <w:b/>
          <w:bCs/>
          <w:color w:val="auto"/>
          <w:spacing w:val="1"/>
          <w:sz w:val="21"/>
          <w:szCs w:val="21"/>
        </w:rPr>
        <w:t>危险物质与临界量比值计算表</w:t>
      </w:r>
    </w:p>
    <w:tbl>
      <w:tblPr>
        <w:tblStyle w:val="TableNormal"/>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
      <w:tblGrid>
        <w:gridCol w:w="1856"/>
        <w:gridCol w:w="2169"/>
        <w:gridCol w:w="4927"/>
        <w:gridCol w:w="1646"/>
        <w:gridCol w:w="1325"/>
        <w:gridCol w:w="3"/>
        <w:gridCol w:w="1160"/>
        <w:gridCol w:w="3"/>
        <w:gridCol w:w="1117"/>
        <w:gridCol w:w="3"/>
      </w:tblGrid>
      <w:tr>
        <w:tblPrEx>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Ex>
        <w:trPr>
          <w:gridAfter w:val="1"/>
          <w:trHeight w:val="340"/>
          <w:jc w:val="center"/>
        </w:trPr>
        <w:tc>
          <w:tcPr>
            <w:tcW w:w="1416"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b/>
                <w:bCs/>
                <w:color w:val="auto"/>
                <w:szCs w:val="21"/>
              </w:rPr>
            </w:pPr>
            <w:r>
              <w:rPr>
                <w:rFonts w:ascii="Times New Roman" w:eastAsia="宋体" w:hAnsi="Times New Roman" w:cs="Times New Roman" w:hint="default"/>
                <w:b/>
                <w:bCs/>
                <w:color w:val="auto"/>
                <w:sz w:val="21"/>
                <w:szCs w:val="21"/>
              </w:rPr>
              <w:t>名称</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b/>
                <w:bCs/>
                <w:color w:val="auto"/>
                <w:szCs w:val="21"/>
              </w:rPr>
            </w:pPr>
            <w:r>
              <w:rPr>
                <w:rFonts w:ascii="Times New Roman" w:eastAsia="宋体" w:hAnsi="Times New Roman" w:cs="Times New Roman" w:hint="default"/>
                <w:b/>
                <w:bCs/>
                <w:color w:val="auto"/>
                <w:sz w:val="21"/>
                <w:szCs w:val="21"/>
              </w:rPr>
              <w:t>主要成分/组分</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b/>
                <w:bCs/>
                <w:color w:val="auto"/>
                <w:szCs w:val="21"/>
              </w:rPr>
            </w:pPr>
            <w:r>
              <w:rPr>
                <w:rFonts w:ascii="Times New Roman" w:eastAsia="宋体" w:hAnsi="Times New Roman" w:cs="Times New Roman" w:hint="default"/>
                <w:b/>
                <w:bCs/>
                <w:color w:val="auto"/>
                <w:sz w:val="21"/>
                <w:szCs w:val="21"/>
              </w:rPr>
              <w:t>风险物质</w:t>
            </w:r>
          </w:p>
        </w:tc>
        <w:tc>
          <w:tcPr>
            <w:tcW w:w="466" w:type="pct"/>
            <w:tcBorders>
              <w:left w:val="single" w:sz="4" w:space="0" w:color="auto"/>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b/>
                <w:bCs/>
                <w:color w:val="auto"/>
                <w:szCs w:val="21"/>
              </w:rPr>
            </w:pPr>
            <w:r>
              <w:rPr>
                <w:rFonts w:ascii="Times New Roman" w:eastAsia="宋体" w:hAnsi="Times New Roman" w:cs="Times New Roman" w:hint="default"/>
                <w:b/>
                <w:bCs/>
                <w:color w:val="auto"/>
                <w:sz w:val="21"/>
                <w:szCs w:val="21"/>
              </w:rPr>
              <w:t>最大存在总量/t</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b/>
                <w:bCs/>
                <w:color w:val="auto"/>
                <w:szCs w:val="21"/>
              </w:rPr>
            </w:pPr>
            <w:r>
              <w:rPr>
                <w:rFonts w:ascii="Times New Roman" w:eastAsia="宋体" w:hAnsi="Times New Roman" w:cs="Times New Roman" w:hint="default"/>
                <w:b/>
                <w:bCs/>
                <w:color w:val="auto"/>
                <w:sz w:val="21"/>
                <w:szCs w:val="21"/>
              </w:rPr>
              <w:t>临界量/t</w:t>
            </w:r>
          </w:p>
        </w:tc>
        <w:tc>
          <w:tcPr>
            <w:tcW w:w="394"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b/>
                <w:bCs/>
                <w:color w:val="auto"/>
                <w:szCs w:val="21"/>
              </w:rPr>
            </w:pPr>
            <w:r>
              <w:rPr>
                <w:rFonts w:ascii="Times New Roman" w:eastAsia="宋体" w:hAnsi="Times New Roman" w:cs="Times New Roman" w:hint="default"/>
                <w:b/>
                <w:bCs/>
                <w:color w:val="auto"/>
                <w:sz w:val="21"/>
                <w:szCs w:val="21"/>
              </w:rPr>
              <w:t>Q值</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原辅材料</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工业硫酸</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98%H</w:t>
            </w:r>
            <w:r>
              <w:rPr>
                <w:rFonts w:ascii="Times New Roman" w:eastAsia="宋体" w:hAnsi="Times New Roman" w:cs="Times New Roman" w:hint="default"/>
                <w:color w:val="auto"/>
                <w:sz w:val="21"/>
                <w:szCs w:val="21"/>
                <w:vertAlign w:val="subscript"/>
              </w:rPr>
              <w:t>2</w:t>
            </w:r>
            <w:r>
              <w:rPr>
                <w:rFonts w:ascii="Times New Roman" w:eastAsia="宋体" w:hAnsi="Times New Roman" w:cs="Times New Roman" w:hint="default"/>
                <w:color w:val="auto"/>
                <w:sz w:val="21"/>
                <w:szCs w:val="21"/>
              </w:rPr>
              <w:t>SO</w:t>
            </w:r>
            <w:r>
              <w:rPr>
                <w:rFonts w:ascii="Times New Roman" w:eastAsia="宋体" w:hAnsi="Times New Roman" w:cs="Times New Roman" w:hint="default"/>
                <w:color w:val="auto"/>
                <w:sz w:val="21"/>
                <w:szCs w:val="21"/>
                <w:vertAlign w:val="subscript"/>
              </w:rPr>
              <w:t>4</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发烟</w:t>
            </w: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914.05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182.81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工业盐酸</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31%HCl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981.98</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130.93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68%HNO</w:t>
            </w:r>
            <w:r>
              <w:rPr>
                <w:rFonts w:ascii="Times New Roman" w:eastAsia="宋体" w:hAnsi="Times New Roman" w:cs="Times New Roman" w:hint="default"/>
                <w:color w:val="auto"/>
                <w:sz w:val="21"/>
                <w:szCs w:val="21"/>
                <w:vertAlign w:val="subscript"/>
              </w:rPr>
              <w:t>3</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38</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5.07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氨水</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20</w:t>
            </w:r>
            <w:r>
              <w:rPr>
                <w:rFonts w:ascii="Times New Roman" w:eastAsia="宋体" w:hAnsi="Times New Roman" w:cs="Times New Roman" w:hint="default"/>
                <w:color w:val="auto"/>
                <w:sz w:val="21"/>
                <w:szCs w:val="21"/>
              </w:rPr>
              <w:t>%氨</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氨</w:t>
            </w:r>
            <w:r>
              <w:rPr>
                <w:rFonts w:ascii="Times New Roman" w:hAnsi="Times New Roman" w:cs="Times New Roman" w:hint="default"/>
                <w:color w:val="auto"/>
                <w:sz w:val="21"/>
                <w:szCs w:val="21"/>
                <w:lang w:eastAsia="zh-CN"/>
              </w:rPr>
              <w:t>水</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1251.4</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125.14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eastAsia="zh-CN"/>
              </w:rPr>
              <w:t>棕化</w:t>
            </w:r>
            <w:r>
              <w:rPr>
                <w:rFonts w:ascii="Times New Roman" w:eastAsia="宋体" w:hAnsi="Times New Roman" w:cs="Times New Roman" w:hint="default"/>
                <w:color w:val="auto"/>
                <w:sz w:val="21"/>
                <w:szCs w:val="21"/>
              </w:rPr>
              <w:t>除油剂</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硫酸30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40%、氯化铵0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6.3</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0.63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eastAsia="zh-CN"/>
              </w:rPr>
              <w:t>抗</w:t>
            </w:r>
            <w:r>
              <w:rPr>
                <w:rFonts w:ascii="Times New Roman" w:eastAsia="宋体" w:hAnsi="Times New Roman" w:cs="Times New Roman" w:hint="default"/>
                <w:color w:val="auto"/>
                <w:sz w:val="21"/>
                <w:szCs w:val="21"/>
              </w:rPr>
              <w:t>氧化剂</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氯酸钠180～200g/L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氯酸钠</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18</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0.18</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rPr>
              <w:t>沉铜</w:t>
            </w:r>
            <w:r>
              <w:rPr>
                <w:rFonts w:ascii="Times New Roman" w:eastAsia="宋体" w:hAnsi="Times New Roman" w:cs="Times New Roman" w:hint="default"/>
                <w:color w:val="auto"/>
                <w:sz w:val="21"/>
                <w:szCs w:val="21"/>
              </w:rPr>
              <w:t>中和剂</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H</w:t>
            </w:r>
            <w:r>
              <w:rPr>
                <w:rFonts w:ascii="Times New Roman" w:eastAsia="宋体" w:hAnsi="Times New Roman" w:cs="Times New Roman" w:hint="default"/>
                <w:color w:val="auto"/>
                <w:sz w:val="21"/>
                <w:szCs w:val="21"/>
                <w:vertAlign w:val="subscript"/>
              </w:rPr>
              <w:t>2</w:t>
            </w:r>
            <w:r>
              <w:rPr>
                <w:rFonts w:ascii="Times New Roman" w:eastAsia="宋体" w:hAnsi="Times New Roman" w:cs="Times New Roman" w:hint="default"/>
                <w:color w:val="auto"/>
                <w:sz w:val="21"/>
                <w:szCs w:val="21"/>
              </w:rPr>
              <w:t>SO</w:t>
            </w:r>
            <w:r>
              <w:rPr>
                <w:rFonts w:ascii="Times New Roman" w:eastAsia="宋体" w:hAnsi="Times New Roman" w:cs="Times New Roman" w:hint="default"/>
                <w:color w:val="auto"/>
                <w:sz w:val="21"/>
                <w:szCs w:val="21"/>
                <w:vertAlign w:val="subscript"/>
              </w:rPr>
              <w:t>4</w:t>
            </w:r>
            <w:r>
              <w:rPr>
                <w:rFonts w:ascii="Times New Roman" w:eastAsia="宋体" w:hAnsi="Times New Roman" w:cs="Times New Roman" w:hint="default"/>
                <w:color w:val="auto"/>
                <w:sz w:val="21"/>
                <w:szCs w:val="21"/>
              </w:rPr>
              <w:t xml:space="preserve"> 3</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6%、水合肼8</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12%、水82</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89%</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0.625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0.0625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沉铜活化剂</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氯化钯2%、氯化亚锡5%、盐酸5%、DI水88%</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0.05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0.007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eastAsia"/>
                <w:color w:val="auto"/>
                <w:szCs w:val="21"/>
              </w:rPr>
            </w:pPr>
            <w:r>
              <w:rPr>
                <w:rFonts w:ascii="Times New Roman" w:eastAsia="宋体" w:hAnsi="Times New Roman" w:cs="Times New Roman" w:hint="default"/>
                <w:color w:val="auto"/>
                <w:sz w:val="21"/>
                <w:szCs w:val="21"/>
              </w:rPr>
              <w:t>沉铜</w:t>
            </w:r>
            <w:r>
              <w:rPr>
                <w:rFonts w:ascii="Times New Roman" w:hAnsi="Times New Roman" w:cs="Times New Roman" w:hint="eastAsia"/>
                <w:color w:val="auto"/>
                <w:sz w:val="21"/>
                <w:szCs w:val="21"/>
                <w:lang w:eastAsia="zh-CN"/>
              </w:rPr>
              <w:t>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硫酸铜11</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14%、HCHO16</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19%、水67</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73%</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甲醛</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8.1</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16.2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5.85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23.4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硫酸铜</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98%五水硫酸铜</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15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60</w:t>
            </w:r>
          </w:p>
        </w:tc>
      </w:tr>
      <w:tr>
        <w:tblPrEx>
          <w:tblW w:w="4996" w:type="pct"/>
          <w:jc w:val="center"/>
          <w:tblInd w:w="6" w:type="dxa"/>
          <w:tblCellMar>
            <w:top w:w="0" w:type="dxa"/>
            <w:left w:w="108" w:type="dxa"/>
            <w:bottom w:w="0" w:type="dxa"/>
            <w:right w:w="108" w:type="dxa"/>
          </w:tblCellMar>
          <w:tblLook w:val="0000"/>
        </w:tblPrEx>
        <w:trPr>
          <w:trHeight w:val="9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rPr>
              <w:t>硫酸镍</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硫酸镍10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25%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镍及其化合物</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0.7</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2.8</w:t>
            </w:r>
          </w:p>
        </w:tc>
      </w:tr>
      <w:tr>
        <w:tblPrEx>
          <w:tblW w:w="4996" w:type="pct"/>
          <w:jc w:val="center"/>
          <w:tblInd w:w="6" w:type="dxa"/>
          <w:tblCellMar>
            <w:top w:w="0" w:type="dxa"/>
            <w:left w:w="108" w:type="dxa"/>
            <w:bottom w:w="0" w:type="dxa"/>
            <w:right w:w="108" w:type="dxa"/>
          </w:tblCellMar>
          <w:tblLook w:val="0000"/>
        </w:tblPrEx>
        <w:trPr>
          <w:trHeight w:val="9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碱性蚀刻液</w:t>
            </w:r>
            <w:r>
              <w:rPr>
                <w:rFonts w:ascii="Times New Roman"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子液</w:t>
            </w:r>
            <w:r>
              <w:rPr>
                <w:rFonts w:ascii="Times New Roman" w:hAnsi="Times New Roman" w:cs="Times New Roman" w:hint="default"/>
                <w:color w:val="auto"/>
                <w:sz w:val="21"/>
                <w:szCs w:val="21"/>
                <w:lang w:eastAsia="zh-CN"/>
              </w:rPr>
              <w:t>）</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氯化铵25%、氨水20%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氨水</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30.54</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3.054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eastAsia"/>
                <w:color w:val="auto"/>
                <w:szCs w:val="21"/>
              </w:rPr>
            </w:pPr>
            <w:r>
              <w:rPr>
                <w:rFonts w:ascii="Times New Roman" w:hAnsi="Times New Roman" w:cs="Times New Roman" w:hint="eastAsia"/>
                <w:color w:val="auto"/>
                <w:sz w:val="21"/>
                <w:szCs w:val="21"/>
                <w:lang w:eastAsia="zh-CN"/>
              </w:rPr>
              <w:t>防白水</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油墨</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3.05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0.0305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阻焊</w:t>
            </w:r>
            <w:r>
              <w:rPr>
                <w:rFonts w:ascii="Times New Roman" w:hAnsi="Times New Roman" w:cs="Times New Roman" w:hint="eastAsia"/>
                <w:color w:val="auto"/>
                <w:sz w:val="21"/>
                <w:szCs w:val="21"/>
                <w:lang w:eastAsia="zh-CN"/>
              </w:rPr>
              <w:t>感光</w:t>
            </w:r>
            <w:r>
              <w:rPr>
                <w:rFonts w:ascii="Times New Roman" w:eastAsia="宋体" w:hAnsi="Times New Roman" w:cs="Times New Roman" w:hint="default"/>
                <w:color w:val="auto"/>
                <w:sz w:val="21"/>
                <w:szCs w:val="21"/>
              </w:rPr>
              <w:t>油墨</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油墨</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96.13</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0.9613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eastAsia="zh-CN"/>
              </w:rPr>
              <w:t>紫外</w:t>
            </w:r>
            <w:r>
              <w:rPr>
                <w:rFonts w:ascii="Times New Roman" w:eastAsia="宋体" w:hAnsi="Times New Roman" w:cs="Times New Roman" w:hint="default"/>
                <w:color w:val="auto"/>
                <w:sz w:val="21"/>
                <w:szCs w:val="21"/>
              </w:rPr>
              <w:t>文字油墨</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油墨</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eastAsia"/>
                <w:color w:val="auto"/>
                <w:sz w:val="21"/>
                <w:szCs w:val="21"/>
                <w:lang w:val="en-US" w:eastAsia="zh-CN"/>
              </w:rPr>
              <w:t>2.3</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color w:val="auto"/>
                <w:sz w:val="21"/>
                <w:szCs w:val="21"/>
                <w:lang w:val="en-US" w:eastAsia="zh-CN"/>
              </w:rPr>
              <w:t>0.023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内层前处理线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酸性除油槽液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硫酸(30ml/L)+过硫酸钠（80g/L）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0.0189</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0.0311</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0.0031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内层DES线</w:t>
            </w: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酸性蚀刻槽液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31%盐酸与氧化剂（含NaClO</w:t>
            </w:r>
            <w:r>
              <w:rPr>
                <w:rFonts w:ascii="Times New Roman" w:eastAsia="宋体" w:hAnsi="Times New Roman" w:cs="Times New Roman" w:hint="default"/>
                <w:color w:val="auto"/>
                <w:sz w:val="21"/>
                <w:szCs w:val="21"/>
                <w:vertAlign w:val="subscript"/>
              </w:rPr>
              <w:t>3</w:t>
            </w:r>
            <w:r>
              <w:rPr>
                <w:rFonts w:ascii="Times New Roman" w:hAnsi="Times New Roman" w:cs="Times New Roman" w:hint="default"/>
                <w:color w:val="auto"/>
                <w:sz w:val="21"/>
                <w:szCs w:val="21"/>
                <w:lang w:eastAsia="zh-CN"/>
              </w:rPr>
              <w:t>）</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0.4488</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0.0598</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180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200g/L）按2:1比例调配而成</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氯酸钠</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0.0935</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0.0009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0.0311</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0.0031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棕化线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0.0124</w:t>
            </w:r>
          </w:p>
        </w:tc>
        <w:tc>
          <w:tcPr>
            <w:tcW w:w="409"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gridSpan w:val="2"/>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0.0012</w:t>
            </w:r>
          </w:p>
        </w:tc>
      </w:tr>
    </w:tbl>
    <w:p>
      <w:pPr>
        <w:sectPr>
          <w:footerReference w:type="default" r:id="rId7"/>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4"/>
          <w:cols w:space="708"/>
          <w:docGrid w:type="lines" w:linePitch="312"/>
        </w:sectPr>
      </w:pPr>
    </w:p>
    <w:tbl>
      <w:tblPr>
        <w:tblStyle w:val="TableNormal"/>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
      <w:tblGrid>
        <w:gridCol w:w="1856"/>
        <w:gridCol w:w="2169"/>
        <w:gridCol w:w="4927"/>
        <w:gridCol w:w="1646"/>
        <w:gridCol w:w="1328"/>
        <w:gridCol w:w="1163"/>
        <w:gridCol w:w="1120"/>
      </w:tblGrid>
      <w:tr>
        <w:tblPrEx>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棕化槽液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硫酸50ml/L、33ml/LH</w:t>
            </w:r>
            <w:r>
              <w:rPr>
                <w:rFonts w:ascii="Times New Roman" w:eastAsia="宋体" w:hAnsi="Times New Roman" w:cs="Times New Roman" w:hint="default"/>
                <w:color w:val="auto"/>
                <w:sz w:val="21"/>
                <w:szCs w:val="21"/>
                <w:vertAlign w:val="subscript"/>
              </w:rPr>
              <w:t>2</w:t>
            </w:r>
            <w:r>
              <w:rPr>
                <w:rFonts w:ascii="Times New Roman" w:eastAsia="宋体" w:hAnsi="Times New Roman" w:cs="Times New Roman" w:hint="default"/>
                <w:color w:val="auto"/>
                <w:sz w:val="21"/>
                <w:szCs w:val="21"/>
              </w:rPr>
              <w:t>O</w:t>
            </w:r>
            <w:r>
              <w:rPr>
                <w:rFonts w:ascii="Times New Roman" w:eastAsia="宋体" w:hAnsi="Times New Roman" w:cs="Times New Roman" w:hint="default"/>
                <w:color w:val="auto"/>
                <w:sz w:val="21"/>
                <w:szCs w:val="21"/>
                <w:vertAlign w:val="subscript"/>
              </w:rPr>
              <w:t>2</w:t>
            </w:r>
            <w:r>
              <w:rPr>
                <w:rFonts w:ascii="Times New Roman" w:eastAsia="宋体" w:hAnsi="Times New Roman" w:cs="Times New Roman" w:hint="default"/>
                <w:color w:val="auto"/>
                <w:sz w:val="21"/>
                <w:szCs w:val="21"/>
              </w:rPr>
              <w:t>.35ml/L</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棕化液（苯并三唑5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10%、间硝基苯磺酸钠2</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5.乙醇胺2</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0.0576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0.0058</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锰及其化合物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0.1468</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沉铜前处理线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干膜超粗化前处理线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超粗化槽液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甲酸5%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10%、氯化钠5%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0.0726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0.0073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15%HCl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0.0965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0.0129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碱性蚀刻线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碱性蚀刻槽液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氯化铵25%、氨水20%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氨水</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0.576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0.0576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退锡槽液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退锡水(含20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25%的硝酸）</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0.3621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0.0483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阻焊喷砂前处理</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0.0467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喷锡前处理</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0.0311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0.0031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沉金前后处理</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成品铜板清洗线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抗氧化线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酸性除油槽液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5%+H</w:t>
            </w:r>
            <w:r>
              <w:rPr>
                <w:rFonts w:ascii="Times New Roman" w:eastAsia="宋体" w:hAnsi="Times New Roman" w:cs="Times New Roman" w:hint="default"/>
                <w:color w:val="auto"/>
                <w:sz w:val="21"/>
                <w:szCs w:val="21"/>
                <w:vertAlign w:val="subscript"/>
              </w:rPr>
              <w:t>2</w:t>
            </w:r>
            <w:r>
              <w:rPr>
                <w:rFonts w:ascii="Times New Roman" w:eastAsia="宋体" w:hAnsi="Times New Roman" w:cs="Times New Roman" w:hint="default"/>
                <w:color w:val="auto"/>
                <w:sz w:val="21"/>
                <w:szCs w:val="21"/>
              </w:rPr>
              <w:t>O</w:t>
            </w:r>
            <w:r>
              <w:rPr>
                <w:rFonts w:ascii="Times New Roman" w:eastAsia="宋体" w:hAnsi="Times New Roman" w:cs="Times New Roman" w:hint="default"/>
                <w:color w:val="auto"/>
                <w:sz w:val="21"/>
                <w:szCs w:val="21"/>
                <w:vertAlign w:val="subscript"/>
              </w:rPr>
              <w:t>2</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0.0315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0.0032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垂直沉铜线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预中和槽液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硫酸（1.5%）+双氧水（1.5%）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0.0544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0.0054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中和槽液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硫酸（5%）+双氧水（5%）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0.0544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0.0054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硫酸(2%)+过硫酸钠(90g/L)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0.0544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0.0054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预浸盐（14%）+盐酸（5%）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0.0351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活化槽液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预浸盐（14%）+盐酸（5%））+活化剂（0.7%）</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0.0351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沉铜槽液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铜离子（1.75g/L）+氢氧化钠(12g/L)+甲醛(0.6%)</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0.0021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0.0084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甲醛</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0.0077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0.0154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垂直板电线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硫酸(110ml/L)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0.3422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0.0342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镀铜槽液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硫酸(110ml/L)+硫酸铜(75g/L)+盐酸(55ppm)+光剂(4ml/L)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6.9469</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0.6947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1.0353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4.1412</w:t>
            </w:r>
          </w:p>
        </w:tc>
      </w:tr>
    </w:tbl>
    <w:p>
      <w:pPr>
        <w:sectPr>
          <w:footerReference w:type="default" r:id="rId8"/>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5"/>
          <w:cols w:space="708"/>
          <w:titlePg w:val="0"/>
          <w:docGrid w:type="lines" w:linePitch="312"/>
        </w:sectPr>
      </w:pPr>
    </w:p>
    <w:tbl>
      <w:tblPr>
        <w:tblStyle w:val="TableNormal"/>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
      <w:tblGrid>
        <w:gridCol w:w="1856"/>
        <w:gridCol w:w="2169"/>
        <w:gridCol w:w="4927"/>
        <w:gridCol w:w="1646"/>
        <w:gridCol w:w="1328"/>
        <w:gridCol w:w="1163"/>
        <w:gridCol w:w="1120"/>
      </w:tblGrid>
      <w:tr>
        <w:tblPrEx>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0.0023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0.0003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销挂槽液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硝酸(50%)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0.4587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0.0612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电镀线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硫酸（2%）+过硫酸钠(70g/L)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0.1493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0.0149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铜酸浸槽液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0.7466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0.0747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镀铜槽液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硫酸（110ml/L）+硫酸铜(65g/L)+盐酸（50ppm）+光剂(6ml)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21.833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2.1833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2.82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11.2800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0.0072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锡酸浸槽液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0.7466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0.0747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镀锡槽液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硫酸(110ml/L)+硫酸亚锡(30g/L)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1.6426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0.1643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销挂槽液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硝酸(50%)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2.1967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0.2929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沉金线</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硫酸(30ml/L)+过硫酸钠（80g/L）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0.0147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硫酸(50ml/L)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0.0245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0.0025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活化槽液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硫酸(50ml/L)+活化剂(50ppm/L，0.04%硫酸钯)</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0.0245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0.0025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后浸槽液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硫酸（50ml/L）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0.0245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0.0025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沉镍槽液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镍离子(4.5g/L)+次亚磷酸钠（30g/L）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镍及其化合物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0.0023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0.0092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电镀镍金</w:t>
            </w:r>
          </w:p>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硫酸(30ml/L)+过硫酸钠（80g/L）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0.028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0.0028</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0.0467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电镀镍槽液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氨基磺酸镍(15g/L)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镍及其化合物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0.0638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0.2552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板电后处理</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0.0311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0.0031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水平沉铜</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除胶渣槽液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氢氧化钠(40g/L)+高锰酸钾(60g/L)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高锰酸钾</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0.2499</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0.0025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预中和槽液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硫酸（1.5%）+双氧水（1.5%）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0.0093</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0.0009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中和槽液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硫酸（5%）+双氧水（5%）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0.0859</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0.0086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微蚀槽液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硫酸(30ml/L)+过硫酸钠（80g/L）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0.0546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0.0055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预浸盐（14%）+盐酸（5%）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0.0301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活化槽液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预浸盐（14%）+盐酸（5%））+活化剂（0.7%）</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0.0532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0.0071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沉铜槽液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铜离子（1.75g/L）+氢氧化钠(12g/L)+甲醛(0.6%)</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0.0079</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0.0316</w:t>
            </w:r>
          </w:p>
        </w:tc>
      </w:tr>
    </w:tbl>
    <w:p>
      <w:pPr>
        <w:sectPr>
          <w:footerReference w:type="default" r:id="rId9"/>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6"/>
          <w:cols w:space="708"/>
          <w:titlePg w:val="0"/>
          <w:docGrid w:type="lines" w:linePitch="312"/>
        </w:sectPr>
      </w:pPr>
    </w:p>
    <w:tbl>
      <w:tblPr>
        <w:tblStyle w:val="TableNormal"/>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
      <w:tblGrid>
        <w:gridCol w:w="1856"/>
        <w:gridCol w:w="2169"/>
        <w:gridCol w:w="4927"/>
        <w:gridCol w:w="1646"/>
        <w:gridCol w:w="1328"/>
        <w:gridCol w:w="1163"/>
        <w:gridCol w:w="1120"/>
      </w:tblGrid>
      <w:tr>
        <w:tblPrEx>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甲醛</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0.0291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0.0582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VCP电镀</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浸酸槽液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硫酸（8%）</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0.0396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预浸槽液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硫酸（8%）</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0.0672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0.0067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镀铜槽液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硫酸（220g/L）+硫酸铜(65g/L)+盐酸（50ppm）+光剂(15ml/L)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19.3545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1.9355</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2.2874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9.1496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0.0052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0.0007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硝挂槽液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硝酸(40%)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0.3621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0.0483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干膜前处理</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0.0467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中粗化槽液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甲酸5%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10%、氯化钠5%</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10%</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0.2178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0.0218</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15%HCl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0.1354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0.0181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外层DES线</w:t>
            </w: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酸性蚀刻槽液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31%盐酸与氧化剂（含NaClO</w:t>
            </w:r>
            <w:r>
              <w:rPr>
                <w:rFonts w:ascii="Times New Roman" w:eastAsia="宋体" w:hAnsi="Times New Roman" w:cs="Times New Roman" w:hint="default"/>
                <w:color w:val="auto"/>
                <w:sz w:val="21"/>
                <w:szCs w:val="21"/>
                <w:vertAlign w:val="subscript"/>
              </w:rPr>
              <w:t>3</w:t>
            </w:r>
            <w:r>
              <w:rPr>
                <w:rFonts w:ascii="Times New Roman" w:eastAsia="宋体" w:hAnsi="Times New Roman" w:cs="Times New Roman" w:hint="default"/>
                <w:color w:val="auto"/>
                <w:sz w:val="21"/>
                <w:szCs w:val="21"/>
              </w:rPr>
              <w:t>180</w:t>
            </w:r>
            <w:r>
              <w:rPr>
                <w:rFonts w:ascii="Times New Roman" w:eastAsia="宋体" w:hAnsi="Times New Roman" w:cs="Times New Roman" w:hint="default"/>
                <w:color w:val="auto"/>
                <w:sz w:val="21"/>
                <w:szCs w:val="21"/>
                <w:lang w:eastAsia="zh-CN"/>
              </w:rPr>
              <w:t>～</w:t>
            </w:r>
            <w:r>
              <w:rPr>
                <w:rFonts w:ascii="Times New Roman" w:eastAsia="宋体" w:hAnsi="Times New Roman" w:cs="Times New Roman" w:hint="default"/>
                <w:color w:val="auto"/>
                <w:sz w:val="21"/>
                <w:szCs w:val="21"/>
              </w:rPr>
              <w:t>200g/L）按2:1比例调配而成</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2.0196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0.2693</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氯酸钠</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0.4208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0.0042</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0.0467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阻焊前处理机</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0.0467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0.0047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碳油前处理</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酸洗槽液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r>
              <w:rPr>
                <w:rFonts w:ascii="Times New Roman" w:eastAsia="宋体" w:hAnsi="Times New Roman" w:cs="Times New Roman" w:hint="default"/>
                <w:color w:val="auto"/>
                <w:sz w:val="21"/>
                <w:szCs w:val="21"/>
              </w:rPr>
              <w:t>≤</w:t>
            </w:r>
            <w:r>
              <w:rPr>
                <w:rFonts w:ascii="Times New Roman" w:eastAsia="宋体" w:hAnsi="Times New Roman" w:cs="Times New Roman" w:hint="default"/>
                <w:color w:val="auto"/>
                <w:sz w:val="21"/>
                <w:szCs w:val="21"/>
              </w:rPr>
              <w:t>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0.0156</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0.0016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废液回收</w:t>
            </w:r>
            <w:r>
              <w:rPr>
                <w:rFonts w:ascii="Times New Roman" w:hAnsi="Times New Roman" w:cs="Times New Roman" w:hint="default"/>
                <w:color w:val="auto"/>
                <w:sz w:val="21"/>
                <w:szCs w:val="21"/>
                <w:lang w:eastAsia="zh-CN"/>
              </w:rPr>
              <w:t>车间</w:t>
            </w: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酸性蚀刻废液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HCl（31%）、NaClO</w:t>
            </w:r>
            <w:r>
              <w:rPr>
                <w:rFonts w:ascii="Times New Roman" w:eastAsia="宋体" w:hAnsi="Times New Roman" w:cs="Times New Roman" w:hint="default"/>
                <w:color w:val="auto"/>
                <w:sz w:val="21"/>
                <w:szCs w:val="21"/>
                <w:vertAlign w:val="subscript"/>
              </w:rPr>
              <w:t>3</w:t>
            </w:r>
            <w:r>
              <w:rPr>
                <w:rFonts w:ascii="Times New Roman" w:eastAsia="宋体" w:hAnsi="Times New Roman" w:cs="Times New Roman" w:hint="default"/>
                <w:color w:val="auto"/>
                <w:sz w:val="21"/>
                <w:szCs w:val="21"/>
              </w:rPr>
              <w:t>（200g/</w:t>
            </w:r>
            <w:r>
              <w:rPr>
                <w:rFonts w:ascii="Times New Roman" w:hAnsi="Times New Roman" w:cs="Times New Roman" w:hint="default"/>
                <w:color w:val="auto"/>
                <w:sz w:val="21"/>
                <w:szCs w:val="21"/>
                <w:lang w:val="en-US" w:eastAsia="zh-CN"/>
              </w:rPr>
              <w:t>L</w:t>
            </w:r>
            <w:r>
              <w:rPr>
                <w:rFonts w:ascii="Times New Roman" w:eastAsia="宋体" w:hAnsi="Times New Roman" w:cs="Times New Roman" w:hint="default"/>
                <w:color w:val="auto"/>
                <w:sz w:val="21"/>
                <w:szCs w:val="21"/>
              </w:rPr>
              <w:t>）、Cu离子（140g/L）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3.72</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0.4960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氯酸钠</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2.087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0.0209</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1.4609</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5.8436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碱性刻蚀废液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NH</w:t>
            </w:r>
            <w:r>
              <w:rPr>
                <w:rFonts w:ascii="Times New Roman" w:eastAsia="宋体" w:hAnsi="Times New Roman" w:cs="Times New Roman" w:hint="default"/>
                <w:color w:val="auto"/>
                <w:sz w:val="21"/>
                <w:szCs w:val="21"/>
                <w:vertAlign w:val="subscript"/>
              </w:rPr>
              <w:t>3</w:t>
            </w:r>
            <w:r>
              <w:rPr>
                <w:rFonts w:ascii="Times New Roman" w:eastAsia="宋体" w:hAnsi="Times New Roman" w:cs="Times New Roman" w:hint="default"/>
                <w:color w:val="auto"/>
                <w:sz w:val="21"/>
                <w:szCs w:val="21"/>
              </w:rPr>
              <w:t>（20%）、氯化铵、Cu离子（120g/L）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氨水</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0.1100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0.55</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2.2000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危险废物</w:t>
            </w: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酸性蚀刻废液（增量子液）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HCl（31%）、NaClO</w:t>
            </w:r>
            <w:r>
              <w:rPr>
                <w:rFonts w:ascii="Times New Roman" w:eastAsia="宋体" w:hAnsi="Times New Roman" w:cs="Times New Roman" w:hint="default"/>
                <w:color w:val="auto"/>
                <w:sz w:val="21"/>
                <w:szCs w:val="21"/>
                <w:vertAlign w:val="subscript"/>
              </w:rPr>
              <w:t>3</w:t>
            </w:r>
            <w:r>
              <w:rPr>
                <w:rFonts w:ascii="Times New Roman" w:eastAsia="宋体" w:hAnsi="Times New Roman" w:cs="Times New Roman" w:hint="default"/>
                <w:color w:val="auto"/>
                <w:sz w:val="21"/>
                <w:szCs w:val="21"/>
              </w:rPr>
              <w:t>（200g/</w:t>
            </w:r>
            <w:r>
              <w:rPr>
                <w:rFonts w:ascii="Times New Roman" w:hAnsi="Times New Roman" w:cs="Times New Roman" w:hint="default"/>
                <w:color w:val="auto"/>
                <w:sz w:val="21"/>
                <w:szCs w:val="21"/>
                <w:lang w:val="en-US" w:eastAsia="zh-CN"/>
              </w:rPr>
              <w:t>L</w:t>
            </w:r>
            <w:r>
              <w:rPr>
                <w:rFonts w:ascii="Times New Roman" w:eastAsia="宋体" w:hAnsi="Times New Roman" w:cs="Times New Roman" w:hint="default"/>
                <w:color w:val="auto"/>
                <w:sz w:val="21"/>
                <w:szCs w:val="21"/>
              </w:rPr>
              <w:t>）、Cu离子（140g/L）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12.648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1.6864</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氯酸钠</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7.0957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0.0710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4.967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19.8680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碱性蚀刻废液</w:t>
            </w: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NH</w:t>
            </w:r>
            <w:r>
              <w:rPr>
                <w:rFonts w:ascii="Times New Roman" w:eastAsia="宋体" w:hAnsi="Times New Roman" w:cs="Times New Roman" w:hint="default"/>
                <w:color w:val="auto"/>
                <w:sz w:val="21"/>
                <w:szCs w:val="21"/>
                <w:vertAlign w:val="subscript"/>
              </w:rPr>
              <w:t>3</w:t>
            </w:r>
            <w:r>
              <w:rPr>
                <w:rFonts w:ascii="Times New Roman" w:eastAsia="宋体" w:hAnsi="Times New Roman" w:cs="Times New Roman" w:hint="default"/>
                <w:color w:val="auto"/>
                <w:sz w:val="21"/>
                <w:szCs w:val="21"/>
              </w:rPr>
              <w:t>（20%）、氯化铵、Cu离子（130g/L）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eastAsia="zh-CN"/>
              </w:rPr>
              <w:t>氨水</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4.08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0.4080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2.21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8.8400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镀铜废液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jc w:val="left"/>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0.2827</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0.0283</w:t>
            </w:r>
          </w:p>
        </w:tc>
      </w:tr>
    </w:tbl>
    <w:p>
      <w:pPr>
        <w:sectPr>
          <w:footerReference w:type="default" r:id="rId10"/>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7"/>
          <w:cols w:space="708"/>
          <w:titlePg w:val="0"/>
          <w:docGrid w:type="lines" w:linePitch="312"/>
        </w:sectPr>
      </w:pPr>
    </w:p>
    <w:tbl>
      <w:tblPr>
        <w:tblStyle w:val="TableNormal"/>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
      <w:tblGrid>
        <w:gridCol w:w="1856"/>
        <w:gridCol w:w="2169"/>
        <w:gridCol w:w="4927"/>
        <w:gridCol w:w="1646"/>
        <w:gridCol w:w="1328"/>
        <w:gridCol w:w="1163"/>
        <w:gridCol w:w="1120"/>
      </w:tblGrid>
      <w:tr>
        <w:tblPrEx>
          <w:tblW w:w="4996" w:type="pct"/>
          <w:jc w:val="center"/>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108" w:type="dxa"/>
            <w:bottom w:w="0" w:type="dxa"/>
            <w:right w:w="108" w:type="dxa"/>
          </w:tblCellMar>
          <w:tblLook w:val="0000"/>
        </w:tblPrEx>
        <w:trPr>
          <w:trHeight w:val="340"/>
          <w:jc w:val="center"/>
        </w:trPr>
        <w:tc>
          <w:tcPr>
            <w:tcW w:w="653" w:type="pct"/>
            <w:vMerge w:val="restart"/>
            <w:tcBorders>
              <w:tl2br w:val="nil"/>
              <w:tr2bl w:val="nil"/>
            </w:tcBorders>
            <w:vAlign w:val="center"/>
          </w:tcPr>
          <w:p/>
        </w:tc>
        <w:tc>
          <w:tcPr>
            <w:tcW w:w="763" w:type="pct"/>
            <w:vMerge w:val="restart"/>
            <w:tcBorders>
              <w:tl2br w:val="nil"/>
              <w:tr2bl w:val="nil"/>
            </w:tcBorders>
            <w:vAlign w:val="center"/>
          </w:tcPr>
          <w:p/>
        </w:tc>
        <w:tc>
          <w:tcPr>
            <w:tcW w:w="173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before="0"/>
              <w:jc w:val="left"/>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硫酸（220g/L）+硫酸铜(65g/L)+盐酸（50ppm）+光剂(15ml/L)</w:t>
            </w:r>
          </w:p>
        </w:tc>
        <w:tc>
          <w:tcPr>
            <w:tcW w:w="579" w:type="pct"/>
            <w:tcBorders>
              <w:tl2br w:val="nil"/>
              <w:tr2bl w:val="nil"/>
            </w:tcBorders>
            <w:vAlign w:val="center"/>
          </w:tcPr>
          <w:p/>
        </w:tc>
        <w:tc>
          <w:tcPr>
            <w:tcW w:w="467" w:type="pct"/>
            <w:tcBorders>
              <w:tl2br w:val="nil"/>
              <w:tr2bl w:val="nil"/>
            </w:tcBorders>
            <w:vAlign w:val="center"/>
          </w:tcPr>
          <w:p/>
        </w:tc>
        <w:tc>
          <w:tcPr>
            <w:tcW w:w="409" w:type="pct"/>
            <w:tcBorders>
              <w:tl2br w:val="nil"/>
              <w:tr2bl w:val="nil"/>
            </w:tcBorders>
            <w:vAlign w:val="center"/>
          </w:tcPr>
          <w:p/>
        </w:tc>
        <w:tc>
          <w:tcPr>
            <w:tcW w:w="394" w:type="pct"/>
            <w:tcBorders>
              <w:tl2br w:val="nil"/>
              <w:tr2bl w:val="nil"/>
            </w:tcBorders>
            <w:vAlign w:val="center"/>
          </w:tcP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盐酸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0.0004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0.0001</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173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铜及其化合物</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0.0334</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0.25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0.1336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镀锡废液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硫酸(110ml/L)+硫酸亚锡(30g/L)</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硫酸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0.7359</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0.0736</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含硝酸废液</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硝酸（45%）</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硝酸</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9.18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7.5</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1.2240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vMerg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废导热油</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矿物油</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矿物油</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6.8</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2500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0.0027</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65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燃料</w:t>
            </w:r>
          </w:p>
        </w:tc>
        <w:tc>
          <w:tcPr>
            <w:tcW w:w="76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天然气</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甲烷</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甲烷</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0.1</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10</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eastAsia="宋体" w:hAnsi="Times New Roman" w:cs="Times New Roman" w:hint="default"/>
                <w:i w:val="0"/>
                <w:color w:val="auto"/>
                <w:kern w:val="0"/>
                <w:sz w:val="21"/>
                <w:szCs w:val="21"/>
                <w:u w:val="none"/>
                <w:lang w:val="en-US" w:eastAsia="zh-CN" w:bidi="ar"/>
              </w:rPr>
              <w:t>0.0100</w:t>
            </w:r>
          </w:p>
        </w:tc>
      </w:tr>
      <w:tr>
        <w:tblPrEx>
          <w:tblW w:w="4996" w:type="pct"/>
          <w:jc w:val="center"/>
          <w:tblInd w:w="6" w:type="dxa"/>
          <w:tblCellMar>
            <w:top w:w="0" w:type="dxa"/>
            <w:left w:w="108" w:type="dxa"/>
            <w:bottom w:w="0" w:type="dxa"/>
            <w:right w:w="108" w:type="dxa"/>
          </w:tblCellMar>
          <w:tblLook w:val="0000"/>
        </w:tblPrEx>
        <w:trPr>
          <w:trHeight w:val="340"/>
          <w:jc w:val="center"/>
        </w:trPr>
        <w:tc>
          <w:tcPr>
            <w:tcW w:w="1416" w:type="pct"/>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eastAsia="宋体" w:hAnsi="Times New Roman" w:cs="Times New Roman" w:hint="default"/>
                <w:color w:val="auto"/>
                <w:sz w:val="21"/>
                <w:szCs w:val="21"/>
              </w:rPr>
              <w:t>合计</w:t>
            </w:r>
          </w:p>
        </w:tc>
        <w:tc>
          <w:tcPr>
            <w:tcW w:w="173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w:t>
            </w:r>
          </w:p>
        </w:tc>
        <w:tc>
          <w:tcPr>
            <w:tcW w:w="57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w:t>
            </w:r>
          </w:p>
        </w:tc>
        <w:tc>
          <w:tcPr>
            <w:tcW w:w="4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w:t>
            </w:r>
          </w:p>
        </w:tc>
        <w:tc>
          <w:tcPr>
            <w:tcW w:w="40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lang w:val="en-US" w:eastAsia="zh-CN"/>
              </w:rPr>
              <w:t>/</w:t>
            </w:r>
          </w:p>
        </w:tc>
        <w:tc>
          <w:tcPr>
            <w:tcW w:w="394" w:type="pct"/>
            <w:tcBorders>
              <w:tl2br w:val="nil"/>
              <w:tr2bl w:val="nil"/>
            </w:tcBorders>
            <w:vAlign w:val="center"/>
          </w:tcPr>
          <w:p>
            <w:pPr>
              <w:keepNext w:val="0"/>
              <w:keepLines w:val="0"/>
              <w:widowControl/>
              <w:suppressLineNumbers w:val="0"/>
              <w:jc w:val="center"/>
              <w:textAlignment w:val="center"/>
              <w:rPr>
                <w:rFonts w:ascii="Times New Roman" w:hAnsi="Times New Roman" w:hint="default"/>
                <w:color w:val="auto"/>
                <w:szCs w:val="21"/>
              </w:rPr>
            </w:pPr>
            <w:r>
              <w:rPr>
                <w:rFonts w:ascii="Times New Roman" w:hAnsi="Times New Roman" w:cs="Times New Roman" w:hint="eastAsia"/>
                <w:i w:val="0"/>
                <w:color w:val="auto"/>
                <w:kern w:val="0"/>
                <w:sz w:val="21"/>
                <w:szCs w:val="21"/>
                <w:u w:val="none"/>
                <w:lang w:val="en-US" w:eastAsia="zh-CN" w:bidi="ar"/>
              </w:rPr>
              <w:t>623.6284</w:t>
            </w:r>
          </w:p>
        </w:tc>
      </w:tr>
    </w:tbl>
    <w:p>
      <w:pPr>
        <w:rPr>
          <w:rFonts w:ascii="Times New Roman" w:hAnsi="Times New Roman" w:hint="default"/>
          <w:color w:val="auto"/>
        </w:rPr>
        <w:sectPr>
          <w:footerReference w:type="default" r:id="rId11"/>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8"/>
          <w:cols w:space="708"/>
          <w:titlePg w:val="0"/>
          <w:docGrid w:type="lines" w:linePitch="312"/>
        </w:sectPr>
      </w:pP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rPr>
      </w:pPr>
      <w:bookmarkStart w:id="6" w:name="_Toc32207"/>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.2.2风险潜势初判</w:t>
      </w:r>
      <w:bookmarkEnd w:id="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根据《建设项目环境风险评价技术导则》（HJ169-2018），应根据建设项目涉及的物质和工艺系统的危险性（P）及其所在地的环境敏感程度（E），结合事故情形下环境影响途径，对建设项目潜在环境危害程度进行概化分析，确定环境风险潜势。</w:t>
      </w:r>
    </w:p>
    <w:p>
      <w:pPr>
        <w:pStyle w:val="Heading4"/>
        <w:keepNext/>
        <w:keepLines/>
        <w:pageBreakBefore w:val="0"/>
        <w:widowControl w:val="0"/>
        <w:kinsoku/>
        <w:wordWrap/>
        <w:overflowPunct/>
        <w:topLinePunct w:val="0"/>
        <w:autoSpaceDE/>
        <w:autoSpaceDN/>
        <w:bidi w:val="0"/>
        <w:adjustRightInd/>
        <w:snapToGrid/>
        <w:spacing w:before="0" w:after="0" w:line="360" w:lineRule="auto"/>
        <w:textAlignment w:val="auto"/>
        <w:rPr>
          <w:rFonts w:ascii="Times New Roman" w:eastAsia="宋体" w:hAnsi="Times New Roman" w:cs="Times New Roman" w:hint="default"/>
          <w:color w:val="auto"/>
          <w:sz w:val="24"/>
          <w:szCs w:val="22"/>
          <w:lang w:val="en-US" w:eastAsia="zh-CN"/>
        </w:rPr>
      </w:pPr>
      <w:r>
        <w:rPr>
          <w:rFonts w:ascii="Times New Roman" w:eastAsia="宋体" w:hAnsi="Times New Roman" w:cs="Times New Roman" w:hint="default"/>
          <w:color w:val="auto"/>
          <w:sz w:val="24"/>
          <w:szCs w:val="22"/>
          <w:lang w:val="en-US" w:eastAsia="zh-CN"/>
        </w:rPr>
        <w:t>1.2.2.1危险物质及工艺系统危险性P的分级确定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1.危险物质数量与临界量比值（Q）</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highlight w:val="none"/>
        </w:rPr>
      </w:pPr>
      <w:r>
        <w:rPr>
          <w:rFonts w:ascii="Times New Roman" w:hAnsi="Times New Roman" w:cs="Times New Roman" w:hint="default"/>
          <w:color w:val="auto"/>
          <w:sz w:val="24"/>
          <w:highlight w:val="none"/>
        </w:rPr>
        <w:t>根据《建设项目环境风险评价技术导则》（GB169－2018）附录C，当只涉及一种危险物质时，计算该物质的总量与临界量比值，即为Q；</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highlight w:val="none"/>
        </w:rPr>
      </w:pPr>
      <w:r>
        <w:rPr>
          <w:rFonts w:ascii="Times New Roman" w:hAnsi="Times New Roman" w:cs="Times New Roman" w:hint="default"/>
          <w:color w:val="auto"/>
          <w:sz w:val="24"/>
          <w:highlight w:val="none"/>
        </w:rPr>
        <w:t>当存在多种危险物质时，则按下式计算物质总量与其临界量比值（Q）</w:t>
      </w:r>
      <w:r>
        <w:rPr>
          <w:rFonts w:ascii="Times New Roman" w:hAnsi="Times New Roman" w:cs="Times New Roman" w:hint="default"/>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outlineLvl w:val="9"/>
        <w:rPr>
          <w:rFonts w:ascii="Times New Roman" w:hAnsi="Times New Roman" w:hint="default"/>
          <w:color w:val="auto"/>
          <w:sz w:val="24"/>
          <w:highlight w:val="none"/>
        </w:rPr>
      </w:pPr>
      <w:r>
        <w:rPr>
          <w:rFonts w:ascii="Times New Roman" w:hAnsi="Times New Roman" w:cs="Times New Roman" w:hint="default"/>
          <w:color w:va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135.75pt;height:40.49pt;mso-position-horizontal-relative:page;mso-position-vertical-relative:page;mso-wrap-style:square" o:preferrelative="t" filled="f" stroked="f">
            <v:stroke linestyle="single"/>
            <v:imagedata r:id="rId12" o:title=""/>
            <v:path o:extrusionok="f"/>
            <o:lock v:ext="edit" aspectratio="t"/>
          </v:shape>
        </w:pic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式中：</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vertAlign w:val="subscript"/>
        </w:rPr>
        <w:t>1</w:t>
      </w:r>
      <w:r>
        <w:rPr>
          <w:rFonts w:ascii="Times New Roman" w:hAnsi="Times New Roman" w:cs="Times New Roman" w:hint="default"/>
          <w:color w:val="auto"/>
          <w:sz w:val="24"/>
          <w:szCs w:val="24"/>
        </w:rPr>
        <w:t>，</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vertAlign w:val="subscript"/>
        </w:rPr>
        <w:t>2</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vertAlign w:val="subscript"/>
        </w:rPr>
        <w:t>n</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每种危险物质的最大存在总量，t；</w:t>
      </w:r>
    </w:p>
    <w:p>
      <w:pPr>
        <w:keepNext w:val="0"/>
        <w:keepLines w:val="0"/>
        <w:pageBreakBefore w:val="0"/>
        <w:widowControl w:val="0"/>
        <w:kinsoku/>
        <w:wordWrap/>
        <w:overflowPunct/>
        <w:topLinePunct w:val="0"/>
        <w:autoSpaceDE/>
        <w:autoSpaceDN/>
        <w:bidi w:val="0"/>
        <w:adjustRightInd/>
        <w:snapToGrid/>
        <w:spacing w:line="360" w:lineRule="auto"/>
        <w:ind w:firstLine="1140" w:firstLineChars="475"/>
        <w:textAlignment w:val="auto"/>
        <w:outlineLvl w:val="9"/>
        <w:rPr>
          <w:rFonts w:ascii="Times New Roman" w:hAnsi="Times New Roman" w:hint="default"/>
          <w:color w:val="auto"/>
          <w:sz w:val="24"/>
        </w:rPr>
      </w:pP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vertAlign w:val="subscript"/>
        </w:rPr>
        <w:t>1</w:t>
      </w:r>
      <w:r>
        <w:rPr>
          <w:rFonts w:ascii="Times New Roman" w:hAnsi="Times New Roman" w:cs="Times New Roman" w:hint="default"/>
          <w:color w:val="auto"/>
          <w:sz w:val="24"/>
          <w:szCs w:val="24"/>
        </w:rPr>
        <w:t>，</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vertAlign w:val="subscript"/>
        </w:rPr>
        <w:t>2</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vertAlign w:val="subscript"/>
        </w:rPr>
        <w:t>n</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每种危险物质等的临界量，t。</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当</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rPr>
        <w:t>＜1时，该项目的环境风险潜势为</w:t>
      </w:r>
      <w:r>
        <w:rPr>
          <w:rFonts w:ascii="Times New Roman" w:eastAsia="TimesNewRomanPSMT" w:hAnsi="Times New Roman" w:cs="Times New Roman" w:hint="default"/>
          <w:color w:val="auto"/>
          <w:sz w:val="24"/>
          <w:szCs w:val="24"/>
        </w:rPr>
        <w:t>Ⅰ</w:t>
      </w:r>
      <w:r>
        <w:rPr>
          <w:rFonts w:ascii="Times New Roman" w:hAnsi="Times New Roman" w:cs="Times New Roman" w:hint="default"/>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当</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1时，将Q值划分为：（1）1</w:t>
      </w:r>
      <w:r>
        <w:rPr>
          <w:rFonts w:ascii="Times New Roman" w:hAnsi="Times New Roman" w:cs="Times New Roman" w:hint="default"/>
          <w:color w:val="auto"/>
          <w:sz w:val="24"/>
          <w:szCs w:val="24"/>
        </w:rPr>
        <w:t>≤</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rPr>
        <w:t>＜10；（2）10</w:t>
      </w:r>
      <w:r>
        <w:rPr>
          <w:rFonts w:ascii="Times New Roman" w:hAnsi="Times New Roman" w:cs="Times New Roman" w:hint="default"/>
          <w:color w:val="auto"/>
          <w:sz w:val="24"/>
          <w:szCs w:val="24"/>
        </w:rPr>
        <w:t>≤</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rPr>
        <w:t>＜100；（3）</w:t>
      </w:r>
      <w:r>
        <w:rPr>
          <w:rFonts w:ascii="Times New Roman" w:hAnsi="Times New Roman" w:cs="Times New Roman" w:hint="default"/>
          <w:i/>
          <w:color w:val="auto"/>
          <w:sz w:val="24"/>
          <w:szCs w:val="24"/>
        </w:rPr>
        <w:t>Q</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100。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eastAsia="zh-CN"/>
        </w:rPr>
        <w:t>对照</w:t>
      </w:r>
      <w:r>
        <w:rPr>
          <w:rFonts w:ascii="Times New Roman" w:hAnsi="Times New Roman" w:cs="Times New Roman" w:hint="default"/>
          <w:color w:val="auto"/>
          <w:sz w:val="24"/>
          <w:highlight w:val="none"/>
        </w:rPr>
        <w:t>《建设项目环境风险评价技术导则》（</w:t>
      </w:r>
      <w:r>
        <w:rPr>
          <w:rFonts w:ascii="Times New Roman" w:hAnsi="Times New Roman" w:cs="Times New Roman" w:hint="default"/>
          <w:color w:val="auto"/>
          <w:sz w:val="24"/>
          <w:szCs w:val="24"/>
        </w:rPr>
        <w:t>HJ169-2018</w:t>
      </w:r>
      <w:r>
        <w:rPr>
          <w:rFonts w:ascii="Times New Roman" w:hAnsi="Times New Roman" w:cs="Times New Roman" w:hint="default"/>
          <w:color w:val="auto"/>
          <w:sz w:val="24"/>
          <w:highlight w:val="none"/>
        </w:rPr>
        <w:t>）附录</w:t>
      </w:r>
      <w:r>
        <w:rPr>
          <w:rFonts w:ascii="Times New Roman" w:hAnsi="Times New Roman" w:cs="Times New Roman" w:hint="default"/>
          <w:color w:val="auto"/>
          <w:sz w:val="24"/>
          <w:highlight w:val="none"/>
          <w:lang w:val="en-US" w:eastAsia="zh-CN"/>
        </w:rPr>
        <w:t>B</w:t>
      </w:r>
      <w:r>
        <w:rPr>
          <w:rFonts w:ascii="Times New Roman" w:hAnsi="Times New Roman" w:cs="Times New Roman" w:hint="default"/>
          <w:color w:val="auto"/>
          <w:sz w:val="24"/>
          <w:szCs w:val="24"/>
        </w:rPr>
        <w:t>本项目危险物质数量与临界量比值情况见表</w:t>
      </w:r>
      <w:r>
        <w:rPr>
          <w:rFonts w:ascii="Times New Roman" w:hAnsi="Times New Roman" w:cs="Times New Roman" w:hint="default"/>
          <w:color w:val="auto"/>
          <w:sz w:val="24"/>
          <w:szCs w:val="24"/>
          <w:lang w:val="en-US" w:eastAsia="zh-CN"/>
        </w:rPr>
        <w:t>1.2-1</w:t>
      </w:r>
      <w:r>
        <w:rPr>
          <w:rFonts w:ascii="Times New Roman" w:hAnsi="Times New Roman" w:cs="Times New Roman" w:hint="default"/>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经计算，本项目Q＝</w:t>
      </w:r>
      <w:r>
        <w:rPr>
          <w:rFonts w:ascii="Times New Roman" w:hAnsi="Times New Roman" w:cs="Times New Roman" w:hint="eastAsia"/>
          <w:i w:val="0"/>
          <w:color w:val="auto"/>
          <w:kern w:val="0"/>
          <w:sz w:val="24"/>
          <w:szCs w:val="24"/>
          <w:u w:val="none"/>
          <w:lang w:val="en-US" w:eastAsia="zh-CN" w:bidi="ar"/>
        </w:rPr>
        <w:t>623.6284</w:t>
      </w:r>
      <w:r>
        <w:rPr>
          <w:rFonts w:ascii="Times New Roman" w:hAnsi="Times New Roman" w:cs="Times New Roman" w:hint="default"/>
          <w:color w:val="auto"/>
          <w:sz w:val="24"/>
          <w:szCs w:val="24"/>
        </w:rPr>
        <w:t>。</w:t>
      </w:r>
    </w:p>
    <w:p>
      <w:pPr>
        <w:keepNext/>
        <w:keepLines/>
        <w:pageBreakBefore w:val="0"/>
        <w:widowControl w:val="0"/>
        <w:kinsoku/>
        <w:wordWrap/>
        <w:overflowPunct/>
        <w:topLinePunct w:val="0"/>
        <w:autoSpaceDE/>
        <w:autoSpaceDN/>
        <w:bidi w:val="0"/>
        <w:adjustRightInd/>
        <w:snapToGrid/>
        <w:spacing w:before="0" w:beforeLines="0" w:after="0" w:afterLines="0" w:line="360" w:lineRule="auto"/>
        <w:ind w:firstLine="480" w:firstLineChars="200"/>
        <w:textAlignment w:val="auto"/>
        <w:outlineLvl w:val="9"/>
        <w:rPr>
          <w:rFonts w:ascii="Times New Roman" w:hAnsi="Times New Roman" w:hint="default"/>
          <w:b/>
          <w:bCs/>
          <w:color w:val="auto"/>
          <w:sz w:val="24"/>
        </w:rPr>
      </w:pPr>
      <w:r>
        <w:rPr>
          <w:rFonts w:ascii="Times New Roman" w:hAnsi="Times New Roman" w:cs="Times New Roman" w:hint="default"/>
          <w:b/>
          <w:bCs/>
          <w:color w:val="auto"/>
          <w:kern w:val="2"/>
          <w:sz w:val="24"/>
          <w:szCs w:val="24"/>
          <w:lang w:val="en-US" w:eastAsia="zh-CN" w:bidi="ar-SA"/>
        </w:rPr>
        <w:t>2、</w:t>
      </w:r>
      <w:r>
        <w:rPr>
          <w:rFonts w:ascii="Times New Roman" w:eastAsia="宋体" w:hAnsi="Times New Roman" w:cs="Times New Roman" w:hint="default"/>
          <w:b/>
          <w:bCs/>
          <w:color w:val="auto"/>
          <w:kern w:val="2"/>
          <w:sz w:val="24"/>
          <w:szCs w:val="24"/>
          <w:lang w:val="en-US" w:eastAsia="zh-CN" w:bidi="ar-SA"/>
        </w:rPr>
        <w:t>行业及生产工艺M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hint="default"/>
          <w:color w:val="auto"/>
          <w:sz w:val="24"/>
        </w:rPr>
      </w:pPr>
      <w:r>
        <w:rPr>
          <w:rFonts w:ascii="Times New Roman" w:hAnsi="Times New Roman" w:cs="Times New Roman" w:hint="default"/>
          <w:color w:val="auto"/>
          <w:sz w:val="24"/>
          <w:szCs w:val="24"/>
        </w:rPr>
        <w:t>对企业生产工艺过程含有风险工艺和设备情况的评估按照工艺单元进行，具有多套工艺单元的企业，对每套工艺单元分别评分并求和。将M划分为（1）M&gt;20；（2）10&lt;M</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20；（3）5&lt;M</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10；（4）M=5，分别以M1、M2、M3、M4表示。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rPr>
        <w:t>表</w:t>
      </w:r>
      <w:r>
        <w:rPr>
          <w:rFonts w:ascii="Times New Roman" w:hAnsi="Times New Roman" w:cs="Times New Roman" w:hint="default"/>
          <w:b/>
          <w:bCs/>
          <w:color w:val="auto"/>
          <w:lang w:val="en-US" w:eastAsia="zh-CN"/>
        </w:rPr>
        <w:t>1.2-2</w:t>
      </w:r>
      <w:r>
        <w:rPr>
          <w:rFonts w:ascii="Times New Roman" w:hAnsi="Times New Roman" w:cs="Times New Roman" w:hint="default"/>
          <w:b/>
          <w:bCs/>
          <w:color w:val="auto"/>
        </w:rPr>
        <w:t xml:space="preserve"> </w:t>
      </w:r>
      <w:r>
        <w:rPr>
          <w:rFonts w:ascii="Times New Roman" w:hAnsi="Times New Roman" w:cs="Times New Roman" w:hint="default"/>
          <w:b/>
          <w:bCs/>
          <w:color w:val="auto"/>
          <w:lang w:val="en-US" w:eastAsia="zh-CN"/>
        </w:rPr>
        <w:t xml:space="preserve"> </w:t>
      </w:r>
      <w:r>
        <w:rPr>
          <w:rFonts w:ascii="Times New Roman" w:hAnsi="Times New Roman" w:cs="Times New Roman" w:hint="default"/>
          <w:b/>
          <w:bCs/>
          <w:color w:val="auto"/>
          <w:lang w:eastAsia="zh-CN"/>
        </w:rPr>
        <w:t>行业及</w:t>
      </w:r>
      <w:r>
        <w:rPr>
          <w:rFonts w:ascii="Times New Roman" w:hAnsi="Times New Roman" w:cs="Times New Roman" w:hint="default"/>
          <w:b/>
          <w:bCs/>
          <w:color w:val="auto"/>
        </w:rPr>
        <w:t>生产工艺</w:t>
      </w:r>
      <w:r>
        <w:rPr>
          <w:rFonts w:ascii="Times New Roman" w:hAnsi="Times New Roman" w:cs="Times New Roman" w:hint="default"/>
          <w:b/>
          <w:bCs/>
          <w:color w:val="auto"/>
          <w:lang w:eastAsia="zh-CN"/>
        </w:rPr>
        <w:t>（</w:t>
      </w:r>
      <w:r>
        <w:rPr>
          <w:rFonts w:ascii="Times New Roman" w:hAnsi="Times New Roman" w:cs="Times New Roman" w:hint="default"/>
          <w:b/>
          <w:bCs/>
          <w:color w:val="auto"/>
          <w:lang w:val="en-US" w:eastAsia="zh-CN"/>
        </w:rPr>
        <w:t>M</w:t>
      </w:r>
      <w:r>
        <w:rPr>
          <w:rFonts w:ascii="Times New Roman" w:hAnsi="Times New Roman" w:cs="Times New Roman" w:hint="default"/>
          <w:b/>
          <w:bCs/>
          <w:color w:val="auto"/>
          <w:lang w:eastAsia="zh-CN"/>
        </w:rPr>
        <w:t>）评估表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68"/>
        <w:gridCol w:w="6485"/>
        <w:gridCol w:w="125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368" w:type="dxa"/>
            <w:vAlign w:val="center"/>
          </w:tcPr>
          <w:p>
            <w:pPr>
              <w:jc w:val="center"/>
              <w:rPr>
                <w:rFonts w:ascii="Times New Roman" w:hAnsi="Times New Roman" w:hint="default"/>
                <w:color w:val="auto"/>
                <w:szCs w:val="21"/>
              </w:rPr>
            </w:pPr>
            <w:r>
              <w:rPr>
                <w:rFonts w:ascii="Times New Roman" w:hAnsi="Times New Roman" w:cs="Times New Roman" w:hint="default"/>
                <w:b/>
                <w:bCs/>
                <w:color w:val="auto"/>
                <w:sz w:val="21"/>
                <w:szCs w:val="21"/>
              </w:rPr>
              <w:t>行业</w:t>
            </w:r>
          </w:p>
        </w:tc>
        <w:tc>
          <w:tcPr>
            <w:tcW w:w="6485" w:type="dxa"/>
            <w:vAlign w:val="center"/>
          </w:tcPr>
          <w:p>
            <w:pPr>
              <w:jc w:val="center"/>
              <w:rPr>
                <w:rFonts w:ascii="Times New Roman" w:hAnsi="Times New Roman" w:hint="default"/>
                <w:color w:val="auto"/>
                <w:szCs w:val="21"/>
              </w:rPr>
            </w:pPr>
            <w:r>
              <w:rPr>
                <w:rFonts w:ascii="Times New Roman" w:hAnsi="Times New Roman" w:cs="Times New Roman" w:hint="default"/>
                <w:b/>
                <w:bCs/>
                <w:color w:val="auto"/>
                <w:sz w:val="21"/>
                <w:szCs w:val="21"/>
              </w:rPr>
              <w:t>评估依据</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b/>
                <w:bCs/>
                <w:color w:val="auto"/>
                <w:sz w:val="21"/>
                <w:szCs w:val="21"/>
              </w:rPr>
              <w:t>分值</w:t>
            </w:r>
          </w:p>
        </w:tc>
      </w:tr>
      <w:tr>
        <w:tblPrEx>
          <w:jc w:val="center"/>
          <w:tblLayout w:type="fixed"/>
          <w:tblCellMar>
            <w:top w:w="0" w:type="dxa"/>
            <w:left w:w="108" w:type="dxa"/>
            <w:bottom w:w="0" w:type="dxa"/>
            <w:right w:w="108" w:type="dxa"/>
          </w:tblCellMar>
          <w:tblLook w:val="0000"/>
        </w:tblPrEx>
        <w:trPr>
          <w:trHeight w:val="340"/>
          <w:jc w:val="center"/>
        </w:trPr>
        <w:tc>
          <w:tcPr>
            <w:tcW w:w="1368" w:type="dxa"/>
            <w:vMerge w:val="restar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石化、化工、医药、轻工、化纤、有色冶炼等</w:t>
            </w:r>
          </w:p>
        </w:tc>
        <w:tc>
          <w:tcPr>
            <w:tcW w:w="6485"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涉及光气及光气化工艺、电解工艺（氯碱）、氯化工艺、硝化工艺、合成氨工艺、裂解（裂化）工艺、氟化工艺、加氢工艺、重氮化工艺、氧化工艺、过氧化工艺、胺基化工艺、磺化工艺、聚合工艺、烷基化工艺、新型煤化工工艺、电石生产工艺、偶氮化工艺</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10/套</w:t>
            </w:r>
          </w:p>
        </w:tc>
      </w:tr>
      <w:tr>
        <w:tblPrEx>
          <w:jc w:val="center"/>
          <w:tblLayout w:type="fixed"/>
          <w:tblCellMar>
            <w:top w:w="0" w:type="dxa"/>
            <w:left w:w="108" w:type="dxa"/>
            <w:bottom w:w="0" w:type="dxa"/>
            <w:right w:w="108" w:type="dxa"/>
          </w:tblCellMar>
          <w:tblLook w:val="0000"/>
        </w:tblPrEx>
        <w:trPr>
          <w:trHeight w:val="340"/>
          <w:jc w:val="center"/>
        </w:trPr>
        <w:tc>
          <w:tcPr>
            <w:tcW w:w="1368" w:type="dxa"/>
            <w:vMerge/>
            <w:vAlign w:val="center"/>
          </w:tcPr>
          <w:p>
            <w:pPr>
              <w:jc w:val="left"/>
              <w:rPr>
                <w:rFonts w:ascii="Times New Roman" w:hAnsi="Times New Roman" w:hint="default"/>
                <w:color w:val="auto"/>
                <w:szCs w:val="21"/>
              </w:rPr>
            </w:pPr>
          </w:p>
        </w:tc>
        <w:tc>
          <w:tcPr>
            <w:tcW w:w="648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无机酸制酸工艺、焦化工艺</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5/套</w:t>
            </w:r>
          </w:p>
        </w:tc>
      </w:tr>
      <w:tr>
        <w:tblPrEx>
          <w:jc w:val="center"/>
          <w:tblLayout w:type="fixed"/>
          <w:tblCellMar>
            <w:top w:w="0" w:type="dxa"/>
            <w:left w:w="108" w:type="dxa"/>
            <w:bottom w:w="0" w:type="dxa"/>
            <w:right w:w="108" w:type="dxa"/>
          </w:tblCellMar>
          <w:tblLook w:val="0000"/>
        </w:tblPrEx>
        <w:trPr>
          <w:trHeight w:val="340"/>
          <w:jc w:val="center"/>
        </w:trPr>
        <w:tc>
          <w:tcPr>
            <w:tcW w:w="1368" w:type="dxa"/>
            <w:vMerge/>
            <w:vAlign w:val="center"/>
          </w:tcPr>
          <w:p>
            <w:pPr>
              <w:jc w:val="left"/>
              <w:rPr>
                <w:rFonts w:ascii="Times New Roman" w:hAnsi="Times New Roman" w:hint="default"/>
                <w:color w:val="auto"/>
                <w:szCs w:val="21"/>
              </w:rPr>
            </w:pPr>
          </w:p>
        </w:tc>
        <w:tc>
          <w:tcPr>
            <w:tcW w:w="648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eastAsia="zh-CN"/>
              </w:rPr>
              <w:t>其它</w:t>
            </w:r>
            <w:r>
              <w:rPr>
                <w:rFonts w:ascii="Times New Roman" w:hAnsi="Times New Roman" w:cs="Times New Roman" w:hint="default"/>
                <w:color w:val="auto"/>
                <w:sz w:val="21"/>
                <w:szCs w:val="21"/>
              </w:rPr>
              <w:t>高温或高压，且涉及危险物质的工艺过程a、危险物质贮存罐区</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5/套(罐区)</w:t>
            </w:r>
          </w:p>
        </w:tc>
      </w:tr>
      <w:tr>
        <w:tblPrEx>
          <w:jc w:val="center"/>
          <w:tblLayout w:type="fixed"/>
          <w:tblCellMar>
            <w:top w:w="0" w:type="dxa"/>
            <w:left w:w="108" w:type="dxa"/>
            <w:bottom w:w="0" w:type="dxa"/>
            <w:right w:w="108" w:type="dxa"/>
          </w:tblCellMar>
          <w:tblLook w:val="0000"/>
        </w:tblPrEx>
        <w:trPr>
          <w:trHeight w:val="340"/>
          <w:jc w:val="center"/>
        </w:trPr>
        <w:tc>
          <w:tcPr>
            <w:tcW w:w="1368"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管道、港口/码头等</w:t>
            </w:r>
          </w:p>
        </w:tc>
        <w:tc>
          <w:tcPr>
            <w:tcW w:w="648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涉及危险物质管道运输项目、港口/码头等</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10</w:t>
            </w:r>
          </w:p>
        </w:tc>
      </w:tr>
    </w:tbl>
    <w:p>
      <w:pPr>
        <w:sectPr>
          <w:footerReference w:type="default" r:id="rId13"/>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9"/>
          <w:cols w:space="708"/>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68"/>
        <w:gridCol w:w="6485"/>
        <w:gridCol w:w="125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368"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石油天然气</w:t>
            </w:r>
          </w:p>
        </w:tc>
        <w:tc>
          <w:tcPr>
            <w:tcW w:w="6485"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石油、天然气、页岩气开采（含净化），气库（不含加气站的气库），油库（不含加气站的油库）、油气管线表b（不含城镇燃气管线）</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10</w:t>
            </w:r>
          </w:p>
        </w:tc>
      </w:tr>
      <w:tr>
        <w:tblPrEx>
          <w:jc w:val="center"/>
          <w:tblLayout w:type="fixed"/>
          <w:tblCellMar>
            <w:top w:w="0" w:type="dxa"/>
            <w:left w:w="108" w:type="dxa"/>
            <w:bottom w:w="0" w:type="dxa"/>
            <w:right w:w="108" w:type="dxa"/>
          </w:tblCellMar>
          <w:tblLook w:val="0000"/>
        </w:tblPrEx>
        <w:trPr>
          <w:trHeight w:val="340"/>
          <w:jc w:val="center"/>
        </w:trPr>
        <w:tc>
          <w:tcPr>
            <w:tcW w:w="1368"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eastAsia="zh-CN"/>
              </w:rPr>
              <w:t>其它</w:t>
            </w:r>
          </w:p>
        </w:tc>
        <w:tc>
          <w:tcPr>
            <w:tcW w:w="648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涉及危险物质使用、贮存的项目</w:t>
            </w:r>
          </w:p>
        </w:tc>
        <w:tc>
          <w:tcPr>
            <w:tcW w:w="125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5</w:t>
            </w:r>
          </w:p>
        </w:tc>
      </w:tr>
      <w:tr>
        <w:tblPrEx>
          <w:jc w:val="center"/>
          <w:tblLayout w:type="fixed"/>
          <w:tblCellMar>
            <w:top w:w="0" w:type="dxa"/>
            <w:left w:w="108" w:type="dxa"/>
            <w:bottom w:w="0" w:type="dxa"/>
            <w:right w:w="108" w:type="dxa"/>
          </w:tblCellMar>
          <w:tblLook w:val="0000"/>
        </w:tblPrEx>
        <w:trPr>
          <w:trHeight w:val="340"/>
          <w:jc w:val="center"/>
        </w:trPr>
        <w:tc>
          <w:tcPr>
            <w:tcW w:w="9105" w:type="dxa"/>
            <w:gridSpan w:val="3"/>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lang w:val="en-US" w:eastAsia="zh-CN"/>
              </w:rPr>
              <w:t>a.</w:t>
            </w:r>
            <w:r>
              <w:rPr>
                <w:rFonts w:ascii="Times New Roman" w:hAnsi="Times New Roman" w:cs="Times New Roman" w:hint="default"/>
                <w:color w:val="auto"/>
                <w:sz w:val="21"/>
                <w:szCs w:val="21"/>
              </w:rPr>
              <w:t>高温指工艺温度</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300</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，高压指压力容器的设计压力（P）</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10.0MPa</w:t>
            </w:r>
            <w:r>
              <w:rPr>
                <w:rFonts w:ascii="Times New Roman" w:hAnsi="Times New Roman" w:cs="Times New Roman" w:hint="default"/>
                <w:color w:val="auto"/>
                <w:sz w:val="21"/>
                <w:szCs w:val="21"/>
                <w:lang w:eastAsia="zh-CN"/>
              </w:rPr>
              <w:t>。</w:t>
            </w:r>
          </w:p>
          <w:p>
            <w:pPr>
              <w:jc w:val="both"/>
              <w:rPr>
                <w:rFonts w:ascii="Times New Roman" w:hAnsi="Times New Roman" w:hint="default"/>
                <w:color w:val="auto"/>
                <w:szCs w:val="21"/>
              </w:rPr>
            </w:pPr>
            <w:r>
              <w:rPr>
                <w:rFonts w:ascii="Times New Roman" w:hAnsi="Times New Roman" w:cs="Times New Roman" w:hint="default"/>
                <w:color w:val="auto"/>
                <w:sz w:val="21"/>
                <w:szCs w:val="21"/>
                <w:lang w:val="en-US" w:eastAsia="zh-CN"/>
              </w:rPr>
              <w:t>b.</w:t>
            </w:r>
            <w:r>
              <w:rPr>
                <w:rFonts w:ascii="Times New Roman" w:hAnsi="Times New Roman" w:cs="Times New Roman" w:hint="default"/>
                <w:color w:val="auto"/>
                <w:sz w:val="21"/>
                <w:szCs w:val="21"/>
              </w:rPr>
              <w:t>长输管道运输项目应按站场、管线分段进行评价。</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本项目为线路板生产企业，生产过程中涉及危险物质使用、贮存，根据《建设项目环境风险评价技术导则》（HJ 169-2018）的附录 C，行业及生产工艺 M＝5，以 M4 表示，属于M4类。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hint="default"/>
          <w:b/>
          <w:bCs/>
          <w:color w:val="auto"/>
          <w:sz w:val="24"/>
        </w:rPr>
      </w:pPr>
      <w:r>
        <w:rPr>
          <w:rFonts w:ascii="Times New Roman" w:eastAsia="宋体" w:hAnsi="Times New Roman" w:cs="Times New Roman" w:hint="default"/>
          <w:b/>
          <w:bCs/>
          <w:color w:val="auto"/>
          <w:sz w:val="24"/>
          <w:szCs w:val="24"/>
          <w:lang w:eastAsia="zh-CN"/>
        </w:rPr>
        <w:t>3.危险物质及工艺系统危险性（P）分级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hint="default"/>
          <w:color w:val="auto"/>
          <w:sz w:val="24"/>
        </w:rPr>
      </w:pPr>
      <w:r>
        <w:rPr>
          <w:rFonts w:ascii="Times New Roman" w:eastAsia="宋体" w:hAnsi="Times New Roman" w:cs="Times New Roman" w:hint="default"/>
          <w:color w:val="auto"/>
          <w:sz w:val="24"/>
          <w:szCs w:val="24"/>
          <w:lang w:eastAsia="zh-CN"/>
        </w:rPr>
        <w:t>根据危险物质数量与临界量比值（</w:t>
      </w:r>
      <w:r>
        <w:rPr>
          <w:rFonts w:ascii="Times New Roman" w:eastAsia="宋体" w:hAnsi="Times New Roman" w:cs="Times New Roman" w:hint="default"/>
          <w:i/>
          <w:iCs/>
          <w:color w:val="auto"/>
          <w:sz w:val="24"/>
          <w:szCs w:val="24"/>
          <w:lang w:eastAsia="zh-CN"/>
        </w:rPr>
        <w:t>Q</w:t>
      </w:r>
      <w:r>
        <w:rPr>
          <w:rFonts w:ascii="Times New Roman" w:eastAsia="宋体" w:hAnsi="Times New Roman" w:cs="Times New Roman" w:hint="default"/>
          <w:color w:val="auto"/>
          <w:sz w:val="24"/>
          <w:szCs w:val="24"/>
          <w:lang w:eastAsia="zh-CN"/>
        </w:rPr>
        <w:t>）和行业及生产工艺（M），按照《建设项目环境风险评价技术导则》（HJ</w:t>
      </w:r>
      <w:r>
        <w:rPr>
          <w:rFonts w:ascii="Times New Roman" w:hAnsi="Times New Roman" w:cs="Times New Roman" w:hint="default"/>
          <w:color w:val="auto"/>
          <w:sz w:val="24"/>
          <w:szCs w:val="24"/>
          <w:lang w:val="en-US" w:eastAsia="zh-CN"/>
        </w:rPr>
        <w:t xml:space="preserve"> </w:t>
      </w:r>
      <w:r>
        <w:rPr>
          <w:rFonts w:ascii="Times New Roman" w:eastAsia="宋体" w:hAnsi="Times New Roman" w:cs="Times New Roman" w:hint="default"/>
          <w:color w:val="auto"/>
          <w:sz w:val="24"/>
          <w:szCs w:val="24"/>
          <w:lang w:eastAsia="zh-CN"/>
        </w:rPr>
        <w:t>169-2018）附录C表C.2确定危险物质及工艺系统危险性等级（P），分别以P1、P2、P3、P4表示。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rPr>
        <w:t>表</w:t>
      </w:r>
      <w:r>
        <w:rPr>
          <w:rFonts w:ascii="Times New Roman" w:hAnsi="Times New Roman" w:cs="Times New Roman" w:hint="default"/>
          <w:b/>
          <w:bCs/>
          <w:color w:val="auto"/>
          <w:lang w:val="en-US" w:eastAsia="zh-CN"/>
        </w:rPr>
        <w:t>1.2-3</w:t>
      </w:r>
      <w:r>
        <w:rPr>
          <w:rFonts w:ascii="Times New Roman" w:hAnsi="Times New Roman" w:cs="Times New Roman" w:hint="default"/>
          <w:b/>
          <w:bCs/>
          <w:color w:val="auto"/>
        </w:rPr>
        <w:t xml:space="preserve"> </w:t>
      </w:r>
      <w:r>
        <w:rPr>
          <w:rFonts w:ascii="Times New Roman" w:hAnsi="Times New Roman" w:cs="Times New Roman" w:hint="default"/>
          <w:b/>
          <w:bCs/>
          <w:color w:val="auto"/>
          <w:lang w:val="en-US" w:eastAsia="zh-CN"/>
        </w:rPr>
        <w:t xml:space="preserve"> </w:t>
      </w:r>
      <w:r>
        <w:rPr>
          <w:rFonts w:ascii="Times New Roman" w:hAnsi="Times New Roman" w:cs="Times New Roman" w:hint="default"/>
          <w:b/>
          <w:bCs/>
          <w:color w:val="auto"/>
        </w:rPr>
        <w:t>危险物质及工艺系统危险性等级判断（P）</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04"/>
        <w:gridCol w:w="1415"/>
        <w:gridCol w:w="1175"/>
        <w:gridCol w:w="1893"/>
        <w:gridCol w:w="1218"/>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3404" w:type="dxa"/>
            <w:vMerge w:val="restart"/>
            <w:vAlign w:val="center"/>
          </w:tcPr>
          <w:p>
            <w:pPr>
              <w:jc w:val="center"/>
              <w:rPr>
                <w:rFonts w:ascii="Times New Roman" w:hAnsi="Times New Roman" w:hint="default"/>
                <w:b/>
                <w:bCs/>
                <w:color w:val="auto"/>
              </w:rPr>
            </w:pPr>
            <w:r>
              <w:rPr>
                <w:rFonts w:ascii="Times New Roman" w:hAnsi="Times New Roman" w:cs="Times New Roman" w:hint="default"/>
                <w:b/>
                <w:bCs/>
                <w:color w:val="auto"/>
              </w:rPr>
              <w:t>危险物质数量与临界量比值（Q）</w:t>
            </w:r>
          </w:p>
        </w:tc>
        <w:tc>
          <w:tcPr>
            <w:tcW w:w="5701" w:type="dxa"/>
            <w:gridSpan w:val="4"/>
            <w:vAlign w:val="center"/>
          </w:tcPr>
          <w:p>
            <w:pPr>
              <w:jc w:val="center"/>
              <w:rPr>
                <w:rFonts w:ascii="Times New Roman" w:hAnsi="Times New Roman" w:hint="default"/>
                <w:b/>
                <w:bCs/>
                <w:color w:val="auto"/>
              </w:rPr>
            </w:pPr>
            <w:r>
              <w:rPr>
                <w:rFonts w:ascii="Times New Roman" w:hAnsi="Times New Roman" w:cs="Times New Roman" w:hint="default"/>
                <w:b/>
                <w:bCs/>
                <w:color w:val="auto"/>
              </w:rPr>
              <w:t>行业及生产工艺（M）</w:t>
            </w:r>
          </w:p>
        </w:tc>
      </w:tr>
      <w:tr>
        <w:tblPrEx>
          <w:jc w:val="center"/>
          <w:tblLayout w:type="fixed"/>
          <w:tblCellMar>
            <w:top w:w="0" w:type="dxa"/>
            <w:left w:w="108" w:type="dxa"/>
            <w:bottom w:w="0" w:type="dxa"/>
            <w:right w:w="108" w:type="dxa"/>
          </w:tblCellMar>
          <w:tblLook w:val="0000"/>
        </w:tblPrEx>
        <w:trPr>
          <w:trHeight w:val="340"/>
          <w:jc w:val="center"/>
        </w:trPr>
        <w:tc>
          <w:tcPr>
            <w:tcW w:w="3404" w:type="dxa"/>
            <w:vMerge/>
            <w:vAlign w:val="center"/>
          </w:tcPr>
          <w:p>
            <w:pPr>
              <w:jc w:val="center"/>
              <w:rPr>
                <w:rFonts w:ascii="Times New Roman" w:hAnsi="Times New Roman" w:hint="default"/>
                <w:b/>
                <w:bCs/>
                <w:color w:val="auto"/>
              </w:rPr>
            </w:pPr>
          </w:p>
        </w:tc>
        <w:tc>
          <w:tcPr>
            <w:tcW w:w="1415" w:type="dxa"/>
            <w:vAlign w:val="center"/>
          </w:tcPr>
          <w:p>
            <w:pPr>
              <w:jc w:val="center"/>
              <w:rPr>
                <w:rFonts w:ascii="Times New Roman" w:hAnsi="Times New Roman" w:hint="default"/>
                <w:b/>
                <w:bCs/>
                <w:color w:val="auto"/>
              </w:rPr>
            </w:pPr>
            <w:r>
              <w:rPr>
                <w:rFonts w:ascii="Times New Roman" w:hAnsi="Times New Roman" w:cs="Times New Roman" w:hint="default"/>
                <w:b/>
                <w:bCs/>
                <w:color w:val="auto"/>
              </w:rPr>
              <w:t>M1</w:t>
            </w:r>
          </w:p>
        </w:tc>
        <w:tc>
          <w:tcPr>
            <w:tcW w:w="1175" w:type="dxa"/>
            <w:vAlign w:val="center"/>
          </w:tcPr>
          <w:p>
            <w:pPr>
              <w:jc w:val="center"/>
              <w:rPr>
                <w:rFonts w:ascii="Times New Roman" w:hAnsi="Times New Roman" w:hint="default"/>
                <w:b/>
                <w:bCs/>
                <w:color w:val="auto"/>
              </w:rPr>
            </w:pPr>
            <w:r>
              <w:rPr>
                <w:rFonts w:ascii="Times New Roman" w:hAnsi="Times New Roman" w:cs="Times New Roman" w:hint="default"/>
                <w:b/>
                <w:bCs/>
                <w:color w:val="auto"/>
              </w:rPr>
              <w:t>M2</w:t>
            </w:r>
          </w:p>
        </w:tc>
        <w:tc>
          <w:tcPr>
            <w:tcW w:w="1893" w:type="dxa"/>
            <w:vAlign w:val="center"/>
          </w:tcPr>
          <w:p>
            <w:pPr>
              <w:jc w:val="center"/>
              <w:rPr>
                <w:rFonts w:ascii="Times New Roman" w:hAnsi="Times New Roman" w:hint="default"/>
                <w:b/>
                <w:bCs/>
                <w:color w:val="auto"/>
              </w:rPr>
            </w:pPr>
            <w:r>
              <w:rPr>
                <w:rFonts w:ascii="Times New Roman" w:hAnsi="Times New Roman" w:cs="Times New Roman" w:hint="default"/>
                <w:b/>
                <w:bCs/>
                <w:color w:val="auto"/>
              </w:rPr>
              <w:t>M3</w:t>
            </w:r>
          </w:p>
        </w:tc>
        <w:tc>
          <w:tcPr>
            <w:tcW w:w="1218" w:type="dxa"/>
            <w:vAlign w:val="center"/>
          </w:tcPr>
          <w:p>
            <w:pPr>
              <w:jc w:val="center"/>
              <w:rPr>
                <w:rFonts w:ascii="Times New Roman" w:hAnsi="Times New Roman" w:hint="default"/>
                <w:b/>
                <w:bCs/>
                <w:color w:val="auto"/>
              </w:rPr>
            </w:pPr>
            <w:r>
              <w:rPr>
                <w:rFonts w:ascii="Times New Roman" w:hAnsi="Times New Roman" w:cs="Times New Roman" w:hint="default"/>
                <w:b/>
                <w:bCs/>
                <w:color w:val="auto"/>
              </w:rPr>
              <w:t>M4</w:t>
            </w:r>
          </w:p>
        </w:tc>
      </w:tr>
      <w:tr>
        <w:tblPrEx>
          <w:jc w:val="center"/>
          <w:tblLayout w:type="fixed"/>
          <w:tblCellMar>
            <w:top w:w="0" w:type="dxa"/>
            <w:left w:w="108" w:type="dxa"/>
            <w:bottom w:w="0" w:type="dxa"/>
            <w:right w:w="108" w:type="dxa"/>
          </w:tblCellMar>
          <w:tblLook w:val="0000"/>
        </w:tblPrEx>
        <w:trPr>
          <w:trHeight w:val="340"/>
          <w:jc w:val="center"/>
        </w:trPr>
        <w:tc>
          <w:tcPr>
            <w:tcW w:w="3404" w:type="dxa"/>
            <w:vAlign w:val="center"/>
          </w:tcPr>
          <w:p>
            <w:pPr>
              <w:jc w:val="center"/>
              <w:rPr>
                <w:rFonts w:ascii="Times New Roman" w:hAnsi="Times New Roman" w:hint="default"/>
                <w:color w:val="auto"/>
              </w:rPr>
            </w:pPr>
            <w:r>
              <w:rPr>
                <w:rFonts w:ascii="Times New Roman" w:hAnsi="Times New Roman" w:cs="Times New Roman" w:hint="default"/>
                <w:i/>
                <w:iCs/>
                <w:color w:val="auto"/>
              </w:rPr>
              <w:t>Q</w:t>
            </w:r>
            <w:r>
              <w:rPr>
                <w:rFonts w:ascii="Times New Roman" w:hAnsi="Times New Roman" w:cs="Times New Roman" w:hint="default"/>
                <w:color w:val="auto"/>
              </w:rPr>
              <w:t>≥</w:t>
            </w:r>
            <w:r>
              <w:rPr>
                <w:rFonts w:ascii="Times New Roman" w:hAnsi="Times New Roman" w:cs="Times New Roman" w:hint="default"/>
                <w:color w:val="auto"/>
              </w:rPr>
              <w:t>100</w:t>
            </w:r>
          </w:p>
        </w:tc>
        <w:tc>
          <w:tcPr>
            <w:tcW w:w="1415" w:type="dxa"/>
            <w:vAlign w:val="center"/>
          </w:tcPr>
          <w:p>
            <w:pPr>
              <w:jc w:val="center"/>
              <w:rPr>
                <w:rFonts w:ascii="Times New Roman" w:hAnsi="Times New Roman" w:hint="default"/>
                <w:color w:val="auto"/>
              </w:rPr>
            </w:pPr>
            <w:r>
              <w:rPr>
                <w:rFonts w:ascii="Times New Roman" w:hAnsi="Times New Roman" w:cs="Times New Roman" w:hint="default"/>
                <w:color w:val="auto"/>
              </w:rPr>
              <w:t>P1</w:t>
            </w:r>
          </w:p>
        </w:tc>
        <w:tc>
          <w:tcPr>
            <w:tcW w:w="1175" w:type="dxa"/>
            <w:vAlign w:val="center"/>
          </w:tcPr>
          <w:p>
            <w:pPr>
              <w:jc w:val="center"/>
              <w:rPr>
                <w:rFonts w:ascii="Times New Roman" w:hAnsi="Times New Roman" w:hint="default"/>
                <w:color w:val="auto"/>
              </w:rPr>
            </w:pPr>
            <w:r>
              <w:rPr>
                <w:rFonts w:ascii="Times New Roman" w:hAnsi="Times New Roman" w:cs="Times New Roman" w:hint="default"/>
                <w:color w:val="auto"/>
              </w:rPr>
              <w:t>P1</w:t>
            </w:r>
          </w:p>
        </w:tc>
        <w:tc>
          <w:tcPr>
            <w:tcW w:w="1893" w:type="dxa"/>
            <w:vAlign w:val="center"/>
          </w:tcPr>
          <w:p>
            <w:pPr>
              <w:jc w:val="center"/>
              <w:rPr>
                <w:rFonts w:ascii="Times New Roman" w:hAnsi="Times New Roman" w:hint="default"/>
                <w:color w:val="auto"/>
              </w:rPr>
            </w:pPr>
            <w:r>
              <w:rPr>
                <w:rFonts w:ascii="Times New Roman" w:hAnsi="Times New Roman" w:cs="Times New Roman" w:hint="default"/>
                <w:color w:val="auto"/>
              </w:rPr>
              <w:t>P2</w:t>
            </w:r>
          </w:p>
        </w:tc>
        <w:tc>
          <w:tcPr>
            <w:tcW w:w="1218" w:type="dxa"/>
            <w:vAlign w:val="center"/>
          </w:tcPr>
          <w:p>
            <w:pPr>
              <w:jc w:val="center"/>
              <w:rPr>
                <w:rFonts w:ascii="Times New Roman" w:hAnsi="Times New Roman" w:hint="default"/>
                <w:color w:val="auto"/>
              </w:rPr>
            </w:pPr>
            <w:r>
              <w:rPr>
                <w:rFonts w:ascii="Times New Roman" w:hAnsi="Times New Roman" w:cs="Times New Roman" w:hint="default"/>
                <w:color w:val="auto"/>
              </w:rPr>
              <w:t>P3</w:t>
            </w:r>
          </w:p>
        </w:tc>
      </w:tr>
      <w:tr>
        <w:tblPrEx>
          <w:jc w:val="center"/>
          <w:tblLayout w:type="fixed"/>
          <w:tblCellMar>
            <w:top w:w="0" w:type="dxa"/>
            <w:left w:w="108" w:type="dxa"/>
            <w:bottom w:w="0" w:type="dxa"/>
            <w:right w:w="108" w:type="dxa"/>
          </w:tblCellMar>
          <w:tblLook w:val="0000"/>
        </w:tblPrEx>
        <w:trPr>
          <w:trHeight w:val="340"/>
          <w:jc w:val="center"/>
        </w:trPr>
        <w:tc>
          <w:tcPr>
            <w:tcW w:w="3404" w:type="dxa"/>
            <w:vAlign w:val="center"/>
          </w:tcPr>
          <w:p>
            <w:pPr>
              <w:jc w:val="center"/>
              <w:rPr>
                <w:rFonts w:ascii="Times New Roman" w:hAnsi="Times New Roman" w:hint="default"/>
                <w:color w:val="auto"/>
              </w:rPr>
            </w:pPr>
            <w:r>
              <w:rPr>
                <w:rFonts w:ascii="Times New Roman" w:hAnsi="Times New Roman" w:cs="Times New Roman" w:hint="default"/>
                <w:color w:val="auto"/>
              </w:rPr>
              <w:t>10</w:t>
            </w:r>
            <w:r>
              <w:rPr>
                <w:rFonts w:ascii="Times New Roman" w:hAnsi="Times New Roman" w:cs="Times New Roman" w:hint="default"/>
                <w:color w:val="auto"/>
              </w:rPr>
              <w:t>≤</w:t>
            </w:r>
            <w:r>
              <w:rPr>
                <w:rFonts w:ascii="Times New Roman" w:hAnsi="Times New Roman" w:cs="Times New Roman" w:hint="default"/>
                <w:i/>
                <w:iCs/>
                <w:color w:val="auto"/>
              </w:rPr>
              <w:t>Q</w:t>
            </w:r>
            <w:r>
              <w:rPr>
                <w:rFonts w:ascii="Times New Roman" w:hAnsi="Times New Roman" w:cs="Times New Roman" w:hint="default"/>
                <w:color w:val="auto"/>
              </w:rPr>
              <w:t>＜100</w:t>
            </w:r>
          </w:p>
        </w:tc>
        <w:tc>
          <w:tcPr>
            <w:tcW w:w="1415" w:type="dxa"/>
            <w:vAlign w:val="center"/>
          </w:tcPr>
          <w:p>
            <w:pPr>
              <w:jc w:val="center"/>
              <w:rPr>
                <w:rFonts w:ascii="Times New Roman" w:hAnsi="Times New Roman" w:hint="default"/>
                <w:color w:val="auto"/>
              </w:rPr>
            </w:pPr>
            <w:r>
              <w:rPr>
                <w:rFonts w:ascii="Times New Roman" w:hAnsi="Times New Roman" w:cs="Times New Roman" w:hint="default"/>
                <w:color w:val="auto"/>
              </w:rPr>
              <w:t>P1</w:t>
            </w:r>
          </w:p>
        </w:tc>
        <w:tc>
          <w:tcPr>
            <w:tcW w:w="1175" w:type="dxa"/>
            <w:vAlign w:val="center"/>
          </w:tcPr>
          <w:p>
            <w:pPr>
              <w:jc w:val="center"/>
              <w:rPr>
                <w:rFonts w:ascii="Times New Roman" w:hAnsi="Times New Roman" w:hint="default"/>
                <w:color w:val="auto"/>
              </w:rPr>
            </w:pPr>
            <w:r>
              <w:rPr>
                <w:rFonts w:ascii="Times New Roman" w:hAnsi="Times New Roman" w:cs="Times New Roman" w:hint="default"/>
                <w:color w:val="auto"/>
              </w:rPr>
              <w:t>P2</w:t>
            </w:r>
          </w:p>
        </w:tc>
        <w:tc>
          <w:tcPr>
            <w:tcW w:w="1893" w:type="dxa"/>
            <w:vAlign w:val="center"/>
          </w:tcPr>
          <w:p>
            <w:pPr>
              <w:jc w:val="center"/>
              <w:rPr>
                <w:rFonts w:ascii="Times New Roman" w:hAnsi="Times New Roman" w:hint="default"/>
                <w:color w:val="auto"/>
              </w:rPr>
            </w:pPr>
            <w:r>
              <w:rPr>
                <w:rFonts w:ascii="Times New Roman" w:hAnsi="Times New Roman" w:cs="Times New Roman" w:hint="default"/>
                <w:color w:val="auto"/>
              </w:rPr>
              <w:t>P3</w:t>
            </w:r>
          </w:p>
        </w:tc>
        <w:tc>
          <w:tcPr>
            <w:tcW w:w="1218" w:type="dxa"/>
            <w:vAlign w:val="center"/>
          </w:tcPr>
          <w:p>
            <w:pPr>
              <w:jc w:val="center"/>
              <w:rPr>
                <w:rFonts w:ascii="Times New Roman" w:hAnsi="Times New Roman" w:hint="default"/>
                <w:color w:val="auto"/>
              </w:rPr>
            </w:pPr>
            <w:r>
              <w:rPr>
                <w:rFonts w:ascii="Times New Roman" w:hAnsi="Times New Roman" w:cs="Times New Roman" w:hint="default"/>
                <w:color w:val="auto"/>
              </w:rPr>
              <w:t>P4</w:t>
            </w:r>
          </w:p>
        </w:tc>
      </w:tr>
      <w:tr>
        <w:tblPrEx>
          <w:jc w:val="center"/>
          <w:tblLayout w:type="fixed"/>
          <w:tblCellMar>
            <w:top w:w="0" w:type="dxa"/>
            <w:left w:w="108" w:type="dxa"/>
            <w:bottom w:w="0" w:type="dxa"/>
            <w:right w:w="108" w:type="dxa"/>
          </w:tblCellMar>
          <w:tblLook w:val="0000"/>
        </w:tblPrEx>
        <w:trPr>
          <w:trHeight w:val="340"/>
          <w:jc w:val="center"/>
        </w:trPr>
        <w:tc>
          <w:tcPr>
            <w:tcW w:w="3404" w:type="dxa"/>
            <w:vAlign w:val="center"/>
          </w:tcPr>
          <w:p>
            <w:pPr>
              <w:jc w:val="center"/>
              <w:rPr>
                <w:rFonts w:ascii="Times New Roman" w:hAnsi="Times New Roman" w:hint="default"/>
                <w:color w:val="auto"/>
              </w:rPr>
            </w:pPr>
            <w:r>
              <w:rPr>
                <w:rFonts w:ascii="Times New Roman" w:hAnsi="Times New Roman" w:cs="Times New Roman" w:hint="default"/>
                <w:color w:val="auto"/>
              </w:rPr>
              <w:t>1</w:t>
            </w:r>
            <w:r>
              <w:rPr>
                <w:rFonts w:ascii="Times New Roman" w:hAnsi="Times New Roman" w:cs="Times New Roman" w:hint="default"/>
                <w:color w:val="auto"/>
              </w:rPr>
              <w:t>≤</w:t>
            </w:r>
            <w:r>
              <w:rPr>
                <w:rFonts w:ascii="Times New Roman" w:hAnsi="Times New Roman" w:cs="Times New Roman" w:hint="default"/>
                <w:i/>
                <w:iCs/>
                <w:color w:val="auto"/>
              </w:rPr>
              <w:t>Q</w:t>
            </w:r>
            <w:r>
              <w:rPr>
                <w:rFonts w:ascii="Times New Roman" w:hAnsi="Times New Roman" w:cs="Times New Roman" w:hint="default"/>
                <w:color w:val="auto"/>
              </w:rPr>
              <w:t>＜10</w:t>
            </w:r>
          </w:p>
        </w:tc>
        <w:tc>
          <w:tcPr>
            <w:tcW w:w="1415" w:type="dxa"/>
            <w:vAlign w:val="center"/>
          </w:tcPr>
          <w:p>
            <w:pPr>
              <w:jc w:val="center"/>
              <w:rPr>
                <w:rFonts w:ascii="Times New Roman" w:hAnsi="Times New Roman" w:hint="default"/>
                <w:color w:val="auto"/>
              </w:rPr>
            </w:pPr>
            <w:r>
              <w:rPr>
                <w:rFonts w:ascii="Times New Roman" w:hAnsi="Times New Roman" w:cs="Times New Roman" w:hint="default"/>
                <w:color w:val="auto"/>
              </w:rPr>
              <w:t>P2</w:t>
            </w:r>
          </w:p>
        </w:tc>
        <w:tc>
          <w:tcPr>
            <w:tcW w:w="1175" w:type="dxa"/>
            <w:vAlign w:val="center"/>
          </w:tcPr>
          <w:p>
            <w:pPr>
              <w:jc w:val="center"/>
              <w:rPr>
                <w:rFonts w:ascii="Times New Roman" w:hAnsi="Times New Roman" w:hint="default"/>
                <w:color w:val="auto"/>
              </w:rPr>
            </w:pPr>
            <w:r>
              <w:rPr>
                <w:rFonts w:ascii="Times New Roman" w:hAnsi="Times New Roman" w:cs="Times New Roman" w:hint="default"/>
                <w:color w:val="auto"/>
              </w:rPr>
              <w:t>P3</w:t>
            </w:r>
          </w:p>
        </w:tc>
        <w:tc>
          <w:tcPr>
            <w:tcW w:w="1893" w:type="dxa"/>
            <w:vAlign w:val="center"/>
          </w:tcPr>
          <w:p>
            <w:pPr>
              <w:jc w:val="center"/>
              <w:rPr>
                <w:rFonts w:ascii="Times New Roman" w:hAnsi="Times New Roman" w:hint="default"/>
                <w:color w:val="auto"/>
                <w:highlight w:val="none"/>
              </w:rPr>
            </w:pPr>
            <w:r>
              <w:rPr>
                <w:rFonts w:ascii="Times New Roman" w:hAnsi="Times New Roman" w:cs="Times New Roman" w:hint="default"/>
                <w:color w:val="auto"/>
                <w:highlight w:val="none"/>
              </w:rPr>
              <w:t>P4</w:t>
            </w:r>
          </w:p>
        </w:tc>
        <w:tc>
          <w:tcPr>
            <w:tcW w:w="1218" w:type="dxa"/>
            <w:vAlign w:val="center"/>
          </w:tcPr>
          <w:p>
            <w:pPr>
              <w:jc w:val="center"/>
              <w:rPr>
                <w:rFonts w:ascii="Times New Roman" w:hAnsi="Times New Roman" w:hint="default"/>
                <w:color w:val="auto"/>
                <w:highlight w:val="none"/>
              </w:rPr>
            </w:pPr>
            <w:r>
              <w:rPr>
                <w:rFonts w:ascii="Times New Roman" w:hAnsi="Times New Roman" w:cs="Times New Roman" w:hint="default"/>
                <w:color w:val="auto"/>
                <w:highlight w:val="none"/>
              </w:rPr>
              <w:t>P4</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hint="default"/>
          <w:b w:val="0"/>
          <w:bCs w:val="0"/>
          <w:color w:val="auto"/>
          <w:sz w:val="24"/>
        </w:rPr>
      </w:pPr>
      <w:r>
        <w:rPr>
          <w:rFonts w:ascii="Times New Roman" w:eastAsia="宋体" w:hAnsi="Times New Roman" w:cs="Times New Roman" w:hint="default"/>
          <w:b w:val="0"/>
          <w:bCs w:val="0"/>
          <w:color w:val="auto"/>
          <w:kern w:val="2"/>
          <w:sz w:val="24"/>
          <w:szCs w:val="24"/>
        </w:rPr>
        <w:t>根据危险物质数量与临界量比值（Q）和行业及生产工艺（M）分值确定，项目危险物质及工艺系统危险性（P）分级为P</w:t>
      </w:r>
      <w:r>
        <w:rPr>
          <w:rFonts w:ascii="Times New Roman" w:hAnsi="Times New Roman" w:cs="Times New Roman" w:hint="default"/>
          <w:b w:val="0"/>
          <w:bCs w:val="0"/>
          <w:color w:val="auto"/>
          <w:kern w:val="2"/>
          <w:sz w:val="24"/>
          <w:szCs w:val="24"/>
          <w:lang w:val="en-US" w:eastAsia="zh-CN"/>
        </w:rPr>
        <w:t>3</w:t>
      </w:r>
      <w:r>
        <w:rPr>
          <w:rFonts w:ascii="Times New Roman" w:eastAsia="宋体" w:hAnsi="Times New Roman" w:cs="Times New Roman" w:hint="default"/>
          <w:b w:val="0"/>
          <w:bCs w:val="0"/>
          <w:color w:val="auto"/>
          <w:kern w:val="2"/>
          <w:sz w:val="24"/>
          <w:szCs w:val="24"/>
        </w:rPr>
        <w:t>。</w:t>
      </w:r>
    </w:p>
    <w:p>
      <w:pPr>
        <w:pStyle w:val="Heading4"/>
        <w:keepNext/>
        <w:keepLines/>
        <w:pageBreakBefore w:val="0"/>
        <w:widowControl w:val="0"/>
        <w:kinsoku/>
        <w:wordWrap/>
        <w:overflowPunct/>
        <w:topLinePunct w:val="0"/>
        <w:autoSpaceDE/>
        <w:autoSpaceDN/>
        <w:bidi w:val="0"/>
        <w:adjustRightInd/>
        <w:snapToGrid/>
        <w:spacing w:before="0" w:after="0" w:line="360" w:lineRule="auto"/>
        <w:textAlignment w:val="auto"/>
        <w:rPr>
          <w:rFonts w:ascii="Times New Roman" w:eastAsia="宋体" w:hAnsi="Times New Roman" w:cs="Times New Roman" w:hint="default"/>
          <w:color w:val="auto"/>
          <w:sz w:val="24"/>
          <w:szCs w:val="22"/>
          <w:lang w:val="en-US" w:eastAsia="zh-CN"/>
        </w:rPr>
      </w:pPr>
      <w:r>
        <w:rPr>
          <w:rFonts w:ascii="Times New Roman" w:eastAsia="宋体" w:hAnsi="Times New Roman" w:cs="Times New Roman" w:hint="default"/>
          <w:color w:val="auto"/>
          <w:sz w:val="24"/>
          <w:szCs w:val="22"/>
          <w:lang w:val="en-US" w:eastAsia="zh-CN"/>
        </w:rPr>
        <w:t>1.2.2.2 环境敏感程度E等级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按照《建设项目环境风险评价技术导则》（HJ</w:t>
      </w:r>
      <w:r>
        <w:rPr>
          <w:rFonts w:ascii="Times New Roman" w:hAnsi="Times New Roman" w:cs="Times New Roman" w:hint="default"/>
          <w:color w:val="auto"/>
          <w:sz w:val="24"/>
          <w:szCs w:val="24"/>
          <w:lang w:val="en-US" w:eastAsia="zh-CN"/>
        </w:rPr>
        <w:t xml:space="preserve"> </w:t>
      </w:r>
      <w:r>
        <w:rPr>
          <w:rFonts w:ascii="Times New Roman" w:hAnsi="Times New Roman" w:cs="Times New Roman" w:hint="default"/>
          <w:color w:val="auto"/>
          <w:sz w:val="24"/>
          <w:szCs w:val="24"/>
        </w:rPr>
        <w:t>169-2018）附录D分别确定本项目的大气、地表水、地下水各要素的环境敏感程度。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eastAsia="zh-CN"/>
        </w:rPr>
        <w:t>（</w:t>
      </w:r>
      <w:r>
        <w:rPr>
          <w:rFonts w:ascii="Times New Roman" w:hAnsi="Times New Roman" w:cs="Times New Roman" w:hint="default"/>
          <w:color w:val="auto"/>
          <w:sz w:val="24"/>
          <w:szCs w:val="24"/>
          <w:lang w:val="en-US" w:eastAsia="zh-CN"/>
        </w:rPr>
        <w:t>1</w:t>
      </w:r>
      <w:r>
        <w:rPr>
          <w:rFonts w:ascii="Times New Roman" w:hAnsi="Times New Roman" w:cs="Times New Roman" w:hint="default"/>
          <w:color w:val="auto"/>
          <w:sz w:val="24"/>
          <w:szCs w:val="24"/>
          <w:lang w:eastAsia="zh-CN"/>
        </w:rPr>
        <w:t>）</w:t>
      </w:r>
      <w:r>
        <w:rPr>
          <w:rFonts w:ascii="Times New Roman" w:hAnsi="Times New Roman" w:cs="Times New Roman" w:hint="default"/>
          <w:color w:val="auto"/>
          <w:sz w:val="24"/>
          <w:szCs w:val="24"/>
        </w:rPr>
        <w:t>大气环境敏感程度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依据环境敏感目标环境敏感性及人口密度划分环境风险受体的敏感性，共分为三种类型，E1为环境高度敏感区，E2为环境中度敏感区，E3为环境低度敏感区，分级原则见表1.2-4。</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表1.2-4  大气环境敏感程度分级原则表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9"/>
        <w:gridCol w:w="813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96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rPr>
              <w:t>类型</w:t>
            </w:r>
          </w:p>
        </w:tc>
        <w:tc>
          <w:tcPr>
            <w:tcW w:w="8136"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rPr>
              <w:t>环境风险受体情况</w:t>
            </w:r>
          </w:p>
        </w:tc>
      </w:tr>
      <w:tr>
        <w:tblPrEx>
          <w:jc w:val="center"/>
          <w:tblLayout w:type="fixed"/>
          <w:tblCellMar>
            <w:top w:w="0" w:type="dxa"/>
            <w:left w:w="108" w:type="dxa"/>
            <w:bottom w:w="0" w:type="dxa"/>
            <w:right w:w="108" w:type="dxa"/>
          </w:tblCellMar>
          <w:tblLook w:val="0000"/>
        </w:tblPrEx>
        <w:trPr>
          <w:trHeight w:val="340"/>
          <w:jc w:val="center"/>
        </w:trPr>
        <w:tc>
          <w:tcPr>
            <w:tcW w:w="96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hint="default"/>
                <w:color w:val="auto"/>
              </w:rPr>
            </w:pPr>
            <w:r>
              <w:rPr>
                <w:rFonts w:ascii="Times New Roman" w:hAnsi="Times New Roman" w:cs="Times New Roman" w:hint="default"/>
                <w:color w:val="auto"/>
              </w:rPr>
              <w:t>E1</w:t>
            </w:r>
          </w:p>
        </w:tc>
        <w:tc>
          <w:tcPr>
            <w:tcW w:w="813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jc w:val="left"/>
              <w:rPr>
                <w:rFonts w:ascii="Times New Roman" w:hAnsi="Times New Roman" w:hint="default"/>
                <w:color w:val="auto"/>
                <w:kern w:val="0"/>
                <w:szCs w:val="21"/>
              </w:rPr>
            </w:pPr>
            <w:r>
              <w:rPr>
                <w:rFonts w:ascii="Times New Roman" w:hAnsi="Times New Roman" w:cs="Times New Roman" w:hint="default"/>
                <w:color w:val="auto"/>
                <w:kern w:val="0"/>
                <w:szCs w:val="21"/>
              </w:rPr>
              <w:t>周边5公里范围内居住区、医疗卫生、文化教育、科研、行政办公等机构人口总数大于5万人，或</w:t>
            </w:r>
            <w:r>
              <w:rPr>
                <w:rFonts w:ascii="Times New Roman" w:hAnsi="Times New Roman" w:cs="Times New Roman" w:hint="default"/>
                <w:color w:val="auto"/>
                <w:kern w:val="0"/>
                <w:szCs w:val="21"/>
                <w:lang w:eastAsia="zh-CN"/>
              </w:rPr>
              <w:t>其它</w:t>
            </w:r>
            <w:r>
              <w:rPr>
                <w:rFonts w:ascii="Times New Roman" w:hAnsi="Times New Roman" w:cs="Times New Roman" w:hint="default"/>
                <w:color w:val="auto"/>
                <w:kern w:val="0"/>
                <w:szCs w:val="21"/>
              </w:rPr>
              <w:t>需要特别保护区域；或周边500m范围内人口总数大于1000人</w:t>
            </w:r>
            <w:r>
              <w:rPr>
                <w:rFonts w:ascii="Times New Roman" w:hAnsi="Times New Roman" w:cs="Times New Roman" w:hint="default"/>
                <w:color w:val="auto"/>
                <w:kern w:val="0"/>
                <w:szCs w:val="21"/>
                <w:lang w:eastAsia="zh-CN"/>
              </w:rPr>
              <w:t>。</w:t>
            </w:r>
            <w:r>
              <w:rPr>
                <w:rFonts w:ascii="Times New Roman" w:hAnsi="Times New Roman" w:cs="Times New Roman" w:hint="default"/>
                <w:color w:val="auto"/>
                <w:kern w:val="0"/>
                <w:szCs w:val="21"/>
              </w:rPr>
              <w:t xml:space="preserve"> </w:t>
            </w:r>
          </w:p>
        </w:tc>
      </w:tr>
      <w:tr>
        <w:tblPrEx>
          <w:jc w:val="center"/>
          <w:tblLayout w:type="fixed"/>
          <w:tblCellMar>
            <w:top w:w="0" w:type="dxa"/>
            <w:left w:w="108" w:type="dxa"/>
            <w:bottom w:w="0" w:type="dxa"/>
            <w:right w:w="108" w:type="dxa"/>
          </w:tblCellMar>
          <w:tblLook w:val="0000"/>
        </w:tblPrEx>
        <w:trPr>
          <w:trHeight w:val="340"/>
          <w:jc w:val="center"/>
        </w:trPr>
        <w:tc>
          <w:tcPr>
            <w:tcW w:w="96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hint="default"/>
                <w:color w:val="auto"/>
              </w:rPr>
            </w:pPr>
            <w:r>
              <w:rPr>
                <w:rFonts w:ascii="Times New Roman" w:hAnsi="Times New Roman" w:cs="Times New Roman" w:hint="default"/>
                <w:color w:val="auto"/>
              </w:rPr>
              <w:t>E2</w:t>
            </w:r>
          </w:p>
        </w:tc>
        <w:tc>
          <w:tcPr>
            <w:tcW w:w="8136" w:type="dxa"/>
            <w:tcBorders>
              <w:top w:val="single" w:sz="4" w:space="0" w:color="auto"/>
              <w:left w:val="single" w:sz="4" w:space="0" w:color="auto"/>
              <w:bottom w:val="single" w:sz="4" w:space="0" w:color="auto"/>
              <w:right w:val="single" w:sz="4" w:space="0" w:color="auto"/>
            </w:tcBorders>
          </w:tcPr>
          <w:p>
            <w:pPr>
              <w:rPr>
                <w:rFonts w:ascii="Times New Roman" w:hAnsi="Times New Roman" w:hint="default"/>
                <w:color w:val="auto"/>
                <w:kern w:val="0"/>
                <w:szCs w:val="21"/>
              </w:rPr>
            </w:pPr>
            <w:r>
              <w:rPr>
                <w:rFonts w:ascii="Times New Roman" w:hAnsi="Times New Roman" w:cs="Times New Roman" w:hint="default"/>
                <w:color w:val="auto"/>
                <w:kern w:val="0"/>
                <w:szCs w:val="21"/>
              </w:rPr>
              <w:t>周边5公里范围内居住区、医疗卫生、文化教育、科研、行政办公等机构人口总数大于1万人，小于5万人；或周边500m范围内人口总数大于500人，小于1000人；或</w:t>
            </w:r>
            <w:r>
              <w:rPr>
                <w:rFonts w:ascii="Times New Roman" w:hAnsi="Times New Roman" w:cs="Times New Roman" w:hint="default"/>
                <w:color w:val="auto"/>
                <w:kern w:val="0"/>
                <w:szCs w:val="21"/>
                <w:lang w:eastAsia="zh-CN"/>
              </w:rPr>
              <w:t>其它</w:t>
            </w:r>
            <w:r>
              <w:rPr>
                <w:rFonts w:ascii="Times New Roman" w:hAnsi="Times New Roman" w:cs="Times New Roman" w:hint="default"/>
                <w:color w:val="auto"/>
                <w:kern w:val="0"/>
                <w:szCs w:val="21"/>
              </w:rPr>
              <w:t>需要特别保护区域；或周边500m范围内人口总数大于1000人</w:t>
            </w:r>
            <w:r>
              <w:rPr>
                <w:rFonts w:ascii="Times New Roman" w:hAnsi="Times New Roman" w:cs="Times New Roman" w:hint="default"/>
                <w:color w:val="auto"/>
                <w:kern w:val="0"/>
                <w:szCs w:val="21"/>
                <w:lang w:eastAsia="zh-CN"/>
              </w:rPr>
              <w:t>。</w:t>
            </w:r>
          </w:p>
        </w:tc>
      </w:tr>
    </w:tbl>
    <w:p>
      <w:pPr>
        <w:sectPr>
          <w:footerReference w:type="default" r:id="rId14"/>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0"/>
          <w:cols w:space="708"/>
          <w:titlePg w:val="0"/>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69"/>
        <w:gridCol w:w="813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969" w:type="dxa"/>
            <w:tcBorders>
              <w:top w:val="single" w:sz="4" w:space="0" w:color="auto"/>
              <w:left w:val="single" w:sz="4" w:space="0" w:color="auto"/>
              <w:bottom w:val="single" w:sz="4" w:space="0" w:color="auto"/>
              <w:right w:val="single" w:sz="4" w:space="0" w:color="auto"/>
            </w:tcBorders>
            <w:vAlign w:val="center"/>
          </w:tcPr>
          <w:p>
            <w:pPr>
              <w:jc w:val="center"/>
              <w:rPr>
                <w:rFonts w:ascii="Times New Roman" w:hAnsi="Times New Roman" w:hint="default"/>
                <w:color w:val="auto"/>
              </w:rPr>
            </w:pPr>
            <w:r>
              <w:rPr>
                <w:rFonts w:ascii="Times New Roman" w:hAnsi="Times New Roman" w:cs="Times New Roman" w:hint="default"/>
                <w:color w:val="auto"/>
              </w:rPr>
              <w:t>E3</w:t>
            </w:r>
          </w:p>
        </w:tc>
        <w:tc>
          <w:tcPr>
            <w:tcW w:w="8136" w:type="dxa"/>
            <w:tcBorders>
              <w:top w:val="single" w:sz="4" w:space="0" w:color="auto"/>
              <w:left w:val="single" w:sz="4" w:space="0" w:color="auto"/>
              <w:bottom w:val="single" w:sz="4" w:space="0" w:color="auto"/>
              <w:right w:val="single" w:sz="4" w:space="0" w:color="auto"/>
            </w:tcBorders>
          </w:tcPr>
          <w:p>
            <w:pPr>
              <w:rPr>
                <w:rFonts w:ascii="Times New Roman" w:hAnsi="Times New Roman" w:hint="default"/>
                <w:color w:val="auto"/>
                <w:kern w:val="0"/>
                <w:szCs w:val="21"/>
              </w:rPr>
            </w:pPr>
            <w:r>
              <w:rPr>
                <w:rFonts w:ascii="Times New Roman" w:hAnsi="Times New Roman" w:cs="Times New Roman" w:hint="default"/>
                <w:color w:val="auto"/>
                <w:kern w:val="0"/>
                <w:szCs w:val="21"/>
              </w:rPr>
              <w:t>周边5公里范围内居住区、医疗卫生、文化教育、科研、行政办公等机构人口总数小于1万人；或周边500m范围内人口总数小于500人</w:t>
            </w:r>
            <w:r>
              <w:rPr>
                <w:rFonts w:ascii="Times New Roman" w:hAnsi="Times New Roman" w:cs="Times New Roman" w:hint="default"/>
                <w:color w:val="auto"/>
                <w:kern w:val="0"/>
                <w:szCs w:val="21"/>
                <w:lang w:eastAsia="zh-CN"/>
              </w:rPr>
              <w:t>。</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企业周围500m范围内主要企业情况及敏感点见表1.2-5，建设项目周边500m范围内人口约为0人（不含企业员工），周边5km范围内人口为27776人，由表1.2-4可知属于E2，为环境中度敏感区。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（2）地表水环境敏感程度的分级确定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依据事故情况下危险物质泄漏到水体的排放点受纳地表水体功能敏感性，与下游环境敏感目标情况，共分为三种类型，E1为环境高度敏感区，E2为环境中度敏感区，E3为环境低度敏感区，分级原则见表1.2-5，其中地表水功能敏感性分区和环境敏感目标分级分别见表1.2-6、表1.2-7。</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表1.2-5  地表水环境敏感程度分级确定表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76"/>
        <w:gridCol w:w="2276"/>
        <w:gridCol w:w="2277"/>
        <w:gridCol w:w="227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276" w:type="dxa"/>
            <w:vMerge w:val="restart"/>
            <w:vAlign w:val="center"/>
          </w:tcPr>
          <w:p>
            <w:pPr>
              <w:pStyle w:val="NormalWeb"/>
              <w:adjustRightInd w:val="0"/>
              <w:snapToGrid w:val="0"/>
              <w:jc w:val="center"/>
              <w:rPr>
                <w:rFonts w:ascii="Times New Roman" w:hAnsi="Times New Roman" w:cs="Times New Roman" w:hint="default"/>
                <w:b/>
                <w:bCs/>
                <w:color w:val="auto"/>
                <w:kern w:val="2"/>
                <w:sz w:val="21"/>
                <w:szCs w:val="21"/>
              </w:rPr>
            </w:pPr>
            <w:r>
              <w:rPr>
                <w:rFonts w:ascii="Times New Roman" w:hAnsi="Times New Roman" w:cs="Times New Roman" w:hint="default"/>
                <w:b/>
                <w:bCs/>
                <w:color w:val="auto"/>
                <w:kern w:val="2"/>
                <w:sz w:val="21"/>
                <w:szCs w:val="21"/>
              </w:rPr>
              <w:t>环境敏感目标</w:t>
            </w:r>
          </w:p>
        </w:tc>
        <w:tc>
          <w:tcPr>
            <w:tcW w:w="6829" w:type="dxa"/>
            <w:gridSpan w:val="3"/>
            <w:vAlign w:val="center"/>
          </w:tcPr>
          <w:p>
            <w:pPr>
              <w:pStyle w:val="NormalWeb"/>
              <w:adjustRightInd w:val="0"/>
              <w:snapToGrid w:val="0"/>
              <w:jc w:val="center"/>
              <w:rPr>
                <w:rFonts w:ascii="Times New Roman" w:hAnsi="Times New Roman" w:cs="Times New Roman" w:hint="default"/>
                <w:b/>
                <w:bCs/>
                <w:color w:val="auto"/>
                <w:kern w:val="2"/>
                <w:sz w:val="21"/>
                <w:szCs w:val="21"/>
              </w:rPr>
            </w:pPr>
            <w:r>
              <w:rPr>
                <w:rFonts w:ascii="Times New Roman" w:hAnsi="Times New Roman" w:cs="Times New Roman" w:hint="default"/>
                <w:b/>
                <w:bCs/>
                <w:color w:val="auto"/>
                <w:kern w:val="2"/>
                <w:sz w:val="21"/>
                <w:szCs w:val="21"/>
              </w:rPr>
              <w:t>地表水功能敏感性</w:t>
            </w:r>
          </w:p>
        </w:tc>
      </w:tr>
      <w:tr>
        <w:tblPrEx>
          <w:jc w:val="center"/>
          <w:tblLayout w:type="fixed"/>
          <w:tblCellMar>
            <w:top w:w="0" w:type="dxa"/>
            <w:left w:w="108" w:type="dxa"/>
            <w:bottom w:w="0" w:type="dxa"/>
            <w:right w:w="108" w:type="dxa"/>
          </w:tblCellMar>
          <w:tblLook w:val="0000"/>
        </w:tblPrEx>
        <w:trPr>
          <w:trHeight w:val="340"/>
          <w:jc w:val="center"/>
        </w:trPr>
        <w:tc>
          <w:tcPr>
            <w:tcW w:w="2276" w:type="dxa"/>
            <w:vMerge/>
            <w:vAlign w:val="center"/>
          </w:tcPr>
          <w:p>
            <w:pPr>
              <w:pStyle w:val="NormalWeb"/>
              <w:adjustRightInd w:val="0"/>
              <w:snapToGrid w:val="0"/>
              <w:jc w:val="center"/>
              <w:rPr>
                <w:rFonts w:ascii="Times New Roman" w:hAnsi="Times New Roman" w:cs="Times New Roman" w:hint="default"/>
                <w:b/>
                <w:bCs/>
                <w:color w:val="auto"/>
                <w:kern w:val="2"/>
                <w:sz w:val="21"/>
                <w:szCs w:val="21"/>
              </w:rPr>
            </w:pPr>
          </w:p>
        </w:tc>
        <w:tc>
          <w:tcPr>
            <w:tcW w:w="2276" w:type="dxa"/>
            <w:vAlign w:val="center"/>
          </w:tcPr>
          <w:p>
            <w:pPr>
              <w:pStyle w:val="NormalWeb"/>
              <w:adjustRightInd w:val="0"/>
              <w:snapToGrid w:val="0"/>
              <w:jc w:val="center"/>
              <w:rPr>
                <w:rFonts w:ascii="Times New Roman" w:hAnsi="Times New Roman" w:cs="Times New Roman" w:hint="default"/>
                <w:b/>
                <w:bCs/>
                <w:color w:val="auto"/>
                <w:kern w:val="2"/>
                <w:sz w:val="21"/>
                <w:szCs w:val="21"/>
              </w:rPr>
            </w:pPr>
            <w:r>
              <w:rPr>
                <w:rFonts w:ascii="Times New Roman" w:hAnsi="Times New Roman" w:cs="Times New Roman" w:hint="default"/>
                <w:b/>
                <w:bCs/>
                <w:color w:val="auto"/>
                <w:kern w:val="2"/>
                <w:sz w:val="21"/>
                <w:szCs w:val="21"/>
              </w:rPr>
              <w:t>F1</w:t>
            </w:r>
          </w:p>
        </w:tc>
        <w:tc>
          <w:tcPr>
            <w:tcW w:w="2277" w:type="dxa"/>
            <w:vAlign w:val="center"/>
          </w:tcPr>
          <w:p>
            <w:pPr>
              <w:pStyle w:val="NormalWeb"/>
              <w:adjustRightInd w:val="0"/>
              <w:snapToGrid w:val="0"/>
              <w:jc w:val="center"/>
              <w:rPr>
                <w:rFonts w:ascii="Times New Roman" w:hAnsi="Times New Roman" w:cs="Times New Roman" w:hint="default"/>
                <w:b/>
                <w:bCs/>
                <w:color w:val="auto"/>
                <w:kern w:val="2"/>
                <w:sz w:val="21"/>
                <w:szCs w:val="21"/>
              </w:rPr>
            </w:pPr>
            <w:r>
              <w:rPr>
                <w:rFonts w:ascii="Times New Roman" w:hAnsi="Times New Roman" w:cs="Times New Roman" w:hint="default"/>
                <w:b/>
                <w:bCs/>
                <w:color w:val="auto"/>
                <w:kern w:val="2"/>
                <w:sz w:val="21"/>
                <w:szCs w:val="21"/>
              </w:rPr>
              <w:t>F2</w:t>
            </w:r>
          </w:p>
        </w:tc>
        <w:tc>
          <w:tcPr>
            <w:tcW w:w="2276" w:type="dxa"/>
            <w:vAlign w:val="center"/>
          </w:tcPr>
          <w:p>
            <w:pPr>
              <w:pStyle w:val="NormalWeb"/>
              <w:adjustRightInd w:val="0"/>
              <w:snapToGrid w:val="0"/>
              <w:jc w:val="center"/>
              <w:rPr>
                <w:rFonts w:ascii="Times New Roman" w:hAnsi="Times New Roman" w:cs="Times New Roman" w:hint="default"/>
                <w:b/>
                <w:bCs/>
                <w:color w:val="auto"/>
                <w:kern w:val="2"/>
                <w:sz w:val="21"/>
                <w:szCs w:val="21"/>
              </w:rPr>
            </w:pPr>
            <w:r>
              <w:rPr>
                <w:rFonts w:ascii="Times New Roman" w:hAnsi="Times New Roman" w:cs="Times New Roman" w:hint="default"/>
                <w:b/>
                <w:bCs/>
                <w:color w:val="auto"/>
                <w:kern w:val="2"/>
                <w:sz w:val="21"/>
                <w:szCs w:val="21"/>
              </w:rPr>
              <w:t>F3</w:t>
            </w:r>
          </w:p>
        </w:tc>
      </w:tr>
      <w:tr>
        <w:tblPrEx>
          <w:jc w:val="center"/>
          <w:tblLayout w:type="fixed"/>
          <w:tblCellMar>
            <w:top w:w="0" w:type="dxa"/>
            <w:left w:w="108" w:type="dxa"/>
            <w:bottom w:w="0" w:type="dxa"/>
            <w:right w:w="108" w:type="dxa"/>
          </w:tblCellMar>
          <w:tblLook w:val="0000"/>
        </w:tblPrEx>
        <w:trPr>
          <w:trHeight w:val="340"/>
          <w:jc w:val="center"/>
        </w:trPr>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S1</w:t>
            </w:r>
          </w:p>
        </w:tc>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E1</w:t>
            </w:r>
          </w:p>
        </w:tc>
        <w:tc>
          <w:tcPr>
            <w:tcW w:w="2277"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E1</w:t>
            </w:r>
          </w:p>
        </w:tc>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E2</w:t>
            </w:r>
          </w:p>
        </w:tc>
      </w:tr>
      <w:tr>
        <w:tblPrEx>
          <w:jc w:val="center"/>
          <w:tblLayout w:type="fixed"/>
          <w:tblCellMar>
            <w:top w:w="0" w:type="dxa"/>
            <w:left w:w="108" w:type="dxa"/>
            <w:bottom w:w="0" w:type="dxa"/>
            <w:right w:w="108" w:type="dxa"/>
          </w:tblCellMar>
          <w:tblLook w:val="0000"/>
        </w:tblPrEx>
        <w:trPr>
          <w:trHeight w:val="340"/>
          <w:jc w:val="center"/>
        </w:trPr>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S2</w:t>
            </w:r>
          </w:p>
        </w:tc>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E1</w:t>
            </w:r>
          </w:p>
        </w:tc>
        <w:tc>
          <w:tcPr>
            <w:tcW w:w="2277"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E2</w:t>
            </w:r>
          </w:p>
        </w:tc>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E3</w:t>
            </w:r>
          </w:p>
        </w:tc>
      </w:tr>
      <w:tr>
        <w:tblPrEx>
          <w:jc w:val="center"/>
          <w:tblLayout w:type="fixed"/>
          <w:tblCellMar>
            <w:top w:w="0" w:type="dxa"/>
            <w:left w:w="108" w:type="dxa"/>
            <w:bottom w:w="0" w:type="dxa"/>
            <w:right w:w="108" w:type="dxa"/>
          </w:tblCellMar>
          <w:tblLook w:val="0000"/>
        </w:tblPrEx>
        <w:trPr>
          <w:trHeight w:val="340"/>
          <w:jc w:val="center"/>
        </w:trPr>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S3</w:t>
            </w:r>
          </w:p>
        </w:tc>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E1</w:t>
            </w:r>
          </w:p>
        </w:tc>
        <w:tc>
          <w:tcPr>
            <w:tcW w:w="2277"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E2</w:t>
            </w:r>
          </w:p>
        </w:tc>
        <w:tc>
          <w:tcPr>
            <w:tcW w:w="2276" w:type="dxa"/>
            <w:vAlign w:val="center"/>
          </w:tcPr>
          <w:p>
            <w:pPr>
              <w:pStyle w:val="NormalWeb"/>
              <w:adjustRightInd w:val="0"/>
              <w:snapToGrid w:val="0"/>
              <w:jc w:val="center"/>
              <w:rPr>
                <w:rFonts w:ascii="Times New Roman" w:hAnsi="Times New Roman" w:cs="Times New Roman" w:hint="default"/>
                <w:color w:val="auto"/>
                <w:kern w:val="2"/>
                <w:sz w:val="21"/>
                <w:szCs w:val="21"/>
              </w:rPr>
            </w:pPr>
            <w:r>
              <w:rPr>
                <w:rFonts w:ascii="Times New Roman" w:hAnsi="Times New Roman" w:cs="Times New Roman" w:hint="default"/>
                <w:color w:val="auto"/>
                <w:kern w:val="2"/>
                <w:sz w:val="21"/>
                <w:szCs w:val="21"/>
              </w:rPr>
              <w:t>E3</w:t>
            </w:r>
          </w:p>
        </w:tc>
      </w:tr>
    </w:tbl>
    <w:p>
      <w:pPr>
        <w:keepNext w:val="0"/>
        <w:keepLines w:val="0"/>
        <w:pageBreakBefore w:val="0"/>
        <w:widowControl w:val="0"/>
        <w:kinsoku/>
        <w:wordWrap/>
        <w:overflowPunct/>
        <w:topLinePunct w:val="0"/>
        <w:autoSpaceDE/>
        <w:autoSpaceDN/>
        <w:bidi w:val="0"/>
        <w:adjustRightInd/>
        <w:snapToGrid/>
        <w:spacing w:before="156" w:beforeLines="50"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表1.2-6  地表水功能敏感性分区表</w:t>
      </w:r>
    </w:p>
    <w:tbl>
      <w:tblPr>
        <w:tblStyle w:val="0"/>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6"/>
        <w:gridCol w:w="7869"/>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236"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敏感性</w:t>
            </w:r>
          </w:p>
        </w:tc>
        <w:tc>
          <w:tcPr>
            <w:tcW w:w="7869"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地表水环境敏感性特征</w:t>
            </w:r>
          </w:p>
        </w:tc>
      </w:tr>
      <w:tr>
        <w:tblPrEx>
          <w:jc w:val="center"/>
          <w:tblLayout w:type="fixed"/>
          <w:tblCellMar>
            <w:top w:w="0" w:type="dxa"/>
            <w:left w:w="108" w:type="dxa"/>
            <w:bottom w:w="0" w:type="dxa"/>
            <w:right w:w="108" w:type="dxa"/>
          </w:tblCellMar>
          <w:tblLook w:val="0000"/>
        </w:tblPrEx>
        <w:trPr>
          <w:trHeight w:val="340"/>
          <w:jc w:val="center"/>
        </w:trPr>
        <w:tc>
          <w:tcPr>
            <w:tcW w:w="1236"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敏感F1</w:t>
            </w:r>
          </w:p>
        </w:tc>
        <w:tc>
          <w:tcPr>
            <w:tcW w:w="7869" w:type="dxa"/>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排放点进入地表水水域环境功能为II类及以上，或海水水质分类第一类；或以发生事故时，危险物质泄漏到水体的排放点算起，排放进入受纳河流最大流速时，24h流经范围内涉跨国界的</w:t>
            </w:r>
            <w:r>
              <w:rPr>
                <w:rFonts w:ascii="Times New Roman" w:hAnsi="Times New Roman" w:cs="Times New Roman" w:hint="default"/>
                <w:color w:val="auto"/>
                <w:sz w:val="21"/>
                <w:szCs w:val="21"/>
                <w:lang w:eastAsia="zh-CN"/>
              </w:rPr>
              <w:t>。</w:t>
            </w:r>
          </w:p>
        </w:tc>
      </w:tr>
      <w:tr>
        <w:tblPrEx>
          <w:jc w:val="center"/>
          <w:tblLayout w:type="fixed"/>
          <w:tblCellMar>
            <w:top w:w="0" w:type="dxa"/>
            <w:left w:w="108" w:type="dxa"/>
            <w:bottom w:w="0" w:type="dxa"/>
            <w:right w:w="108" w:type="dxa"/>
          </w:tblCellMar>
          <w:tblLook w:val="0000"/>
        </w:tblPrEx>
        <w:trPr>
          <w:trHeight w:val="340"/>
          <w:jc w:val="center"/>
        </w:trPr>
        <w:tc>
          <w:tcPr>
            <w:tcW w:w="1236"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较敏感F2</w:t>
            </w:r>
          </w:p>
        </w:tc>
        <w:tc>
          <w:tcPr>
            <w:tcW w:w="7869" w:type="dxa"/>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排放点进入地表水水域环境功能为III类及以上，或海水水质分类第二类；</w:t>
            </w:r>
          </w:p>
          <w:p>
            <w:pPr>
              <w:jc w:val="both"/>
              <w:rPr>
                <w:rFonts w:ascii="Times New Roman" w:hAnsi="Times New Roman" w:hint="default"/>
                <w:color w:val="auto"/>
                <w:szCs w:val="21"/>
              </w:rPr>
            </w:pPr>
            <w:r>
              <w:rPr>
                <w:rFonts w:ascii="Times New Roman" w:hAnsi="Times New Roman" w:cs="Times New Roman" w:hint="default"/>
                <w:color w:val="auto"/>
                <w:sz w:val="21"/>
                <w:szCs w:val="21"/>
              </w:rPr>
              <w:t>或以发生事故时，危险物质泄漏到水体的排放点算起，排放进入受纳河流最大流速时，24h流经范围内涉跨省界的</w:t>
            </w:r>
            <w:r>
              <w:rPr>
                <w:rFonts w:ascii="Times New Roman" w:hAnsi="Times New Roman" w:cs="Times New Roman" w:hint="default"/>
                <w:color w:val="auto"/>
                <w:sz w:val="21"/>
                <w:szCs w:val="21"/>
                <w:lang w:eastAsia="zh-CN"/>
              </w:rPr>
              <w:t>。</w:t>
            </w:r>
          </w:p>
        </w:tc>
      </w:tr>
      <w:tr>
        <w:tblPrEx>
          <w:jc w:val="center"/>
          <w:tblLayout w:type="fixed"/>
          <w:tblCellMar>
            <w:top w:w="0" w:type="dxa"/>
            <w:left w:w="108" w:type="dxa"/>
            <w:bottom w:w="0" w:type="dxa"/>
            <w:right w:w="108" w:type="dxa"/>
          </w:tblCellMar>
          <w:tblLook w:val="0000"/>
        </w:tblPrEx>
        <w:trPr>
          <w:trHeight w:val="340"/>
          <w:jc w:val="center"/>
        </w:trPr>
        <w:tc>
          <w:tcPr>
            <w:tcW w:w="1236"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低敏感F3</w:t>
            </w:r>
          </w:p>
        </w:tc>
        <w:tc>
          <w:tcPr>
            <w:tcW w:w="7869" w:type="dxa"/>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上述地区之外的</w:t>
            </w:r>
            <w:r>
              <w:rPr>
                <w:rFonts w:ascii="Times New Roman" w:hAnsi="Times New Roman" w:cs="Times New Roman" w:hint="default"/>
                <w:color w:val="auto"/>
                <w:sz w:val="21"/>
                <w:szCs w:val="21"/>
                <w:lang w:eastAsia="zh-CN"/>
              </w:rPr>
              <w:t>其它</w:t>
            </w:r>
            <w:r>
              <w:rPr>
                <w:rFonts w:ascii="Times New Roman" w:hAnsi="Times New Roman" w:cs="Times New Roman" w:hint="default"/>
                <w:color w:val="auto"/>
                <w:sz w:val="21"/>
                <w:szCs w:val="21"/>
              </w:rPr>
              <w:t>地区</w:t>
            </w:r>
          </w:p>
        </w:tc>
      </w:tr>
    </w:tbl>
    <w:p>
      <w:pPr>
        <w:keepNext w:val="0"/>
        <w:keepLines w:val="0"/>
        <w:pageBreakBefore w:val="0"/>
        <w:widowControl w:val="0"/>
        <w:kinsoku/>
        <w:wordWrap/>
        <w:overflowPunct/>
        <w:topLinePunct w:val="0"/>
        <w:autoSpaceDE/>
        <w:autoSpaceDN/>
        <w:bidi w:val="0"/>
        <w:adjustRightInd/>
        <w:snapToGrid/>
        <w:spacing w:before="156" w:beforeLines="50"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表1.2-7  环境敏感目标分级表</w:t>
      </w:r>
    </w:p>
    <w:tbl>
      <w:tblPr>
        <w:tblStyle w:val="0"/>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1"/>
        <w:gridCol w:w="7864"/>
      </w:tblGrid>
      <w:tr>
        <w:tblPrEx>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241" w:type="dxa"/>
            <w:tcBorders>
              <w:tl2br w:val="nil"/>
              <w:tr2bl w:val="nil"/>
            </w:tcBorders>
            <w:vAlign w:val="center"/>
          </w:tcPr>
          <w:p>
            <w:pPr>
              <w:pStyle w:val="a"/>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ascii="Times New Roman" w:hAnsi="Times New Roman" w:cs="Times New Roman" w:hint="default"/>
                <w:b/>
                <w:bCs/>
                <w:color w:val="auto"/>
                <w:szCs w:val="21"/>
              </w:rPr>
            </w:pPr>
            <w:r>
              <w:rPr>
                <w:rFonts w:ascii="Times New Roman" w:hAnsi="Times New Roman" w:cs="Times New Roman" w:hint="default"/>
                <w:b/>
                <w:bCs/>
                <w:color w:val="auto"/>
                <w:sz w:val="21"/>
                <w:szCs w:val="21"/>
              </w:rPr>
              <w:t>分级</w:t>
            </w:r>
          </w:p>
        </w:tc>
        <w:tc>
          <w:tcPr>
            <w:tcW w:w="7864" w:type="dxa"/>
            <w:tcBorders>
              <w:tl2br w:val="nil"/>
              <w:tr2bl w:val="nil"/>
            </w:tcBorders>
            <w:vAlign w:val="center"/>
          </w:tcPr>
          <w:p>
            <w:pPr>
              <w:pStyle w:val="a"/>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ascii="Times New Roman" w:hAnsi="Times New Roman" w:cs="Times New Roman" w:hint="default"/>
                <w:b/>
                <w:bCs/>
                <w:color w:val="auto"/>
                <w:szCs w:val="21"/>
              </w:rPr>
            </w:pPr>
            <w:r>
              <w:rPr>
                <w:rFonts w:ascii="Times New Roman" w:hAnsi="Times New Roman" w:cs="Times New Roman" w:hint="default"/>
                <w:b/>
                <w:bCs/>
                <w:color w:val="auto"/>
                <w:sz w:val="21"/>
                <w:szCs w:val="21"/>
              </w:rPr>
              <w:t>环境敏感目标</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241" w:type="dxa"/>
            <w:tcBorders>
              <w:tl2br w:val="nil"/>
              <w:tr2bl w:val="nil"/>
            </w:tcBorders>
            <w:vAlign w:val="center"/>
          </w:tcPr>
          <w:p>
            <w:pPr>
              <w:pStyle w:val="a"/>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ascii="Times New Roman" w:hAnsi="Times New Roman" w:cs="Times New Roman" w:hint="default"/>
                <w:color w:val="auto"/>
                <w:szCs w:val="21"/>
              </w:rPr>
            </w:pPr>
            <w:r>
              <w:rPr>
                <w:rFonts w:ascii="Times New Roman" w:hAnsi="Times New Roman" w:cs="Times New Roman" w:hint="default"/>
                <w:color w:val="auto"/>
                <w:sz w:val="21"/>
                <w:szCs w:val="21"/>
              </w:rPr>
              <w:t>S1</w:t>
            </w:r>
          </w:p>
        </w:tc>
        <w:tc>
          <w:tcPr>
            <w:tcW w:w="78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rPr>
              <w:t>发生事故时，危险物质泄漏到内陆水体的排放点下游（顺水流向）10km范围内、近岸海域一个潮周期水质点可能达到的最大水平距离的两倍范围内，有如下一类或多类环境风险受体：集中式地表水饮用水水源保护区（包括一级保护区、二级保护区及准保护区）；农村及分散式饮用水水源保护区；自然保护区：重要湿地：珍稀濒危野生动植物天然集中分布区；重要水生生物的自然产卵场及素饵场、越冬场和洄游通道；世界文化和自然遗产地；红树林、珊瑚礁等滨海湿地生态系统；珍稀、危海洋生物的天然集中分布区；海洋特别保护区：海上自然保护区：盐场保护区：海水溶场；海洋自然历史遗迹；风景名胜区；或</w:t>
            </w:r>
            <w:r>
              <w:rPr>
                <w:rFonts w:ascii="Times New Roman" w:hAnsi="Times New Roman" w:cs="Times New Roman" w:hint="default"/>
                <w:color w:val="auto"/>
                <w:sz w:val="21"/>
                <w:szCs w:val="21"/>
                <w:lang w:eastAsia="zh-CN"/>
              </w:rPr>
              <w:t>其它</w:t>
            </w:r>
            <w:r>
              <w:rPr>
                <w:rFonts w:ascii="Times New Roman" w:hAnsi="Times New Roman" w:cs="Times New Roman" w:hint="default"/>
                <w:color w:val="auto"/>
                <w:sz w:val="21"/>
                <w:szCs w:val="21"/>
              </w:rPr>
              <w:t>特殊重要保护区域。</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241" w:type="dxa"/>
            <w:tcBorders>
              <w:tl2br w:val="nil"/>
              <w:tr2bl w:val="nil"/>
            </w:tcBorders>
            <w:vAlign w:val="center"/>
          </w:tcPr>
          <w:p>
            <w:pPr>
              <w:pStyle w:val="a"/>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ascii="Times New Roman" w:hAnsi="Times New Roman" w:cs="Times New Roman" w:hint="default"/>
                <w:color w:val="auto"/>
                <w:szCs w:val="21"/>
              </w:rPr>
            </w:pPr>
            <w:r>
              <w:rPr>
                <w:rFonts w:ascii="Times New Roman" w:hAnsi="Times New Roman" w:cs="Times New Roman" w:hint="default"/>
                <w:color w:val="auto"/>
                <w:sz w:val="21"/>
                <w:szCs w:val="21"/>
              </w:rPr>
              <w:t>S2</w:t>
            </w:r>
          </w:p>
        </w:tc>
        <w:tc>
          <w:tcPr>
            <w:tcW w:w="78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outlineLvl w:val="9"/>
              <w:rPr>
                <w:rFonts w:ascii="Times New Roman" w:hAnsi="Times New Roman" w:hint="default"/>
                <w:color w:val="auto"/>
                <w:szCs w:val="21"/>
              </w:rPr>
            </w:pPr>
          </w:p>
        </w:tc>
      </w:tr>
    </w:tbl>
    <w:p>
      <w:pPr>
        <w:sectPr>
          <w:footerReference w:type="default" r:id="rId15"/>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1"/>
          <w:cols w:space="708"/>
          <w:titlePg w:val="0"/>
          <w:docGrid w:type="lines" w:linePitch="312"/>
        </w:sectPr>
      </w:pPr>
    </w:p>
    <w:tbl>
      <w:tblPr>
        <w:tblStyle w:val="1"/>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1"/>
        <w:gridCol w:w="7864"/>
      </w:tblGrid>
      <w:tr>
        <w:tblPrEx>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241" w:type="dxa"/>
            <w:tcBorders>
              <w:tl2br w:val="nil"/>
              <w:tr2bl w:val="nil"/>
            </w:tcBorders>
            <w:vAlign w:val="center"/>
          </w:tcPr>
          <w:p/>
        </w:tc>
        <w:tc>
          <w:tcPr>
            <w:tcW w:w="78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before="0" w:line="240" w:lineRule="auto"/>
              <w:jc w:val="both"/>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rPr>
              <w:t>发生事故时，危险物质泄漏到内陆水体的排放点下游（顺水流向）10km范围内、近岸海域一个潮周期水质点可能达到的最大水平距离的两倍范围内，有如下一类或多类环境风险受体的：水产养殖区：天然渔场；森林公园；地质公园：海滨风景游览区：具有重要经济价值的海洋生物生存区域</w:t>
            </w:r>
            <w:r>
              <w:rPr>
                <w:rFonts w:ascii="Times New Roman" w:hAnsi="Times New Roman" w:cs="Times New Roman" w:hint="default"/>
                <w:color w:val="auto"/>
                <w:sz w:val="21"/>
                <w:szCs w:val="21"/>
                <w:lang w:eastAsia="zh-CN"/>
              </w:rPr>
              <w:t>。</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241" w:type="dxa"/>
            <w:tcBorders>
              <w:tl2br w:val="nil"/>
              <w:tr2bl w:val="nil"/>
            </w:tcBorders>
            <w:vAlign w:val="center"/>
          </w:tcPr>
          <w:p>
            <w:pPr>
              <w:pStyle w:val="a"/>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ascii="Times New Roman" w:hAnsi="Times New Roman" w:cs="Times New Roman" w:hint="default"/>
                <w:color w:val="auto"/>
                <w:szCs w:val="21"/>
              </w:rPr>
            </w:pPr>
            <w:r>
              <w:rPr>
                <w:rFonts w:ascii="Times New Roman" w:hAnsi="Times New Roman" w:cs="Times New Roman" w:hint="default"/>
                <w:color w:val="auto"/>
                <w:sz w:val="21"/>
                <w:szCs w:val="21"/>
              </w:rPr>
              <w:t>S3</w:t>
            </w:r>
          </w:p>
        </w:tc>
        <w:tc>
          <w:tcPr>
            <w:tcW w:w="786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ascii="Times New Roman" w:hAnsi="Times New Roman" w:hint="default"/>
                <w:color w:val="auto"/>
                <w:szCs w:val="21"/>
              </w:rPr>
            </w:pPr>
            <w:r>
              <w:rPr>
                <w:rFonts w:ascii="Times New Roman" w:hAnsi="Times New Roman" w:cs="Times New Roman" w:hint="default"/>
                <w:color w:val="auto"/>
                <w:sz w:val="21"/>
                <w:szCs w:val="21"/>
              </w:rPr>
              <w:t>排放点下游（顺水流向）10km范围、近岸海域一个潮周期水质点可能达到的最大水平距离的两倍范围内无上述类型1和类型2包括的敏感保护目标</w:t>
            </w:r>
            <w:r>
              <w:rPr>
                <w:rFonts w:ascii="Times New Roman" w:hAnsi="Times New Roman" w:cs="Times New Roman" w:hint="default"/>
                <w:color w:val="auto"/>
                <w:sz w:val="21"/>
                <w:szCs w:val="21"/>
                <w:lang w:eastAsia="zh-CN"/>
              </w:rPr>
              <w:t>。</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由表1.2-6可知，项目厂区各项废水分类收集预处理后经综合污水处理系统处理达标后直排赣江，赣江吉水县段</w:t>
      </w:r>
      <w:r>
        <w:rPr>
          <w:rFonts w:ascii="Times New Roman" w:hAnsi="Times New Roman" w:cs="Times New Roman" w:hint="default"/>
          <w:color w:val="auto"/>
          <w:sz w:val="24"/>
          <w:szCs w:val="24"/>
        </w:rPr>
        <w:t>地表水水域环境功能为III类</w:t>
      </w:r>
      <w:r>
        <w:rPr>
          <w:rFonts w:ascii="Times New Roman" w:hAnsi="Times New Roman" w:cs="Times New Roman" w:hint="default"/>
          <w:color w:val="auto"/>
          <w:sz w:val="24"/>
          <w:szCs w:val="24"/>
          <w:lang w:val="en-US" w:eastAsia="zh-CN"/>
        </w:rPr>
        <w:t>，项目地表水环境敏感特征属于低敏感F2；由表1.2-7可知，项目污水经厂区污水处理站处理达标后直排赣江，一般不会造成事故排放，排污口下游最近取水口为距排口30.71km的</w:t>
      </w:r>
      <w:r>
        <w:rPr>
          <w:rFonts w:ascii="Times New Roman" w:hAnsi="Times New Roman" w:cs="Times New Roman" w:hint="default"/>
          <w:color w:val="auto"/>
          <w:sz w:val="24"/>
          <w:szCs w:val="24"/>
          <w:highlight w:val="none"/>
          <w:lang w:eastAsia="zh-CN"/>
        </w:rPr>
        <w:t>峡江县巴邱镇巴邱取水口</w:t>
      </w:r>
      <w:r>
        <w:rPr>
          <w:rFonts w:ascii="Times New Roman" w:hAnsi="Times New Roman" w:cs="Times New Roman" w:hint="default"/>
          <w:color w:val="auto"/>
          <w:sz w:val="24"/>
          <w:szCs w:val="24"/>
          <w:lang w:val="en-US" w:eastAsia="zh-CN"/>
        </w:rPr>
        <w:t>，项目环境敏感目标分级敏感程度为S3；由表1.2-5可知，项目地表水环境敏感程度分级为E2，环境中度敏感区。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（3）地下水环境敏感程度的分级确定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依据地下水功能敏感性与包气带防污性能，共分为三种类型，E1为环境高度敏感区，E2为环境中度敏感区，E3为环境低度敏感区，分级原则见表1.2-8。其中地下水功能敏感性分区和包气带防污性能分级分别见表1.2-9、表1.2-10。</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表1.2-8  地下水环境敏感程度分级确定表</w:t>
      </w:r>
    </w:p>
    <w:tbl>
      <w:tblPr>
        <w:tblStyle w:val="1"/>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76"/>
        <w:gridCol w:w="2276"/>
        <w:gridCol w:w="2278"/>
        <w:gridCol w:w="2275"/>
      </w:tblGrid>
      <w:tr>
        <w:tblPrEx>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2276" w:type="dxa"/>
            <w:vMerge w:val="restart"/>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包气带防污性能</w:t>
            </w:r>
          </w:p>
        </w:tc>
        <w:tc>
          <w:tcPr>
            <w:tcW w:w="6829" w:type="dxa"/>
            <w:gridSpan w:val="3"/>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地下水功能敏感性</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6" w:type="dxa"/>
            <w:vMerge/>
            <w:tcBorders>
              <w:tl2br w:val="nil"/>
              <w:tr2bl w:val="nil"/>
            </w:tcBorders>
            <w:vAlign w:val="center"/>
          </w:tcPr>
          <w:p>
            <w:pPr>
              <w:jc w:val="center"/>
              <w:rPr>
                <w:rFonts w:ascii="Times New Roman" w:hAnsi="Times New Roman" w:hint="default"/>
                <w:b/>
                <w:bCs/>
                <w:color w:val="auto"/>
                <w:szCs w:val="21"/>
              </w:rPr>
            </w:pPr>
          </w:p>
        </w:tc>
        <w:tc>
          <w:tcPr>
            <w:tcW w:w="2276" w:type="dxa"/>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G1</w:t>
            </w:r>
          </w:p>
        </w:tc>
        <w:tc>
          <w:tcPr>
            <w:tcW w:w="2278" w:type="dxa"/>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G2</w:t>
            </w:r>
          </w:p>
        </w:tc>
        <w:tc>
          <w:tcPr>
            <w:tcW w:w="2275" w:type="dxa"/>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G3</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6"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D1</w:t>
            </w:r>
          </w:p>
        </w:tc>
        <w:tc>
          <w:tcPr>
            <w:tcW w:w="2276"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E1</w:t>
            </w:r>
          </w:p>
        </w:tc>
        <w:tc>
          <w:tcPr>
            <w:tcW w:w="2278"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E1</w:t>
            </w:r>
          </w:p>
        </w:tc>
        <w:tc>
          <w:tcPr>
            <w:tcW w:w="2275"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E2</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6"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D2</w:t>
            </w:r>
          </w:p>
        </w:tc>
        <w:tc>
          <w:tcPr>
            <w:tcW w:w="2276"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E1</w:t>
            </w:r>
          </w:p>
        </w:tc>
        <w:tc>
          <w:tcPr>
            <w:tcW w:w="2278"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E2</w:t>
            </w:r>
          </w:p>
        </w:tc>
        <w:tc>
          <w:tcPr>
            <w:tcW w:w="2275"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E3</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6"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D3</w:t>
            </w:r>
          </w:p>
        </w:tc>
        <w:tc>
          <w:tcPr>
            <w:tcW w:w="2276"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E2</w:t>
            </w:r>
          </w:p>
        </w:tc>
        <w:tc>
          <w:tcPr>
            <w:tcW w:w="2278"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E3</w:t>
            </w:r>
          </w:p>
        </w:tc>
        <w:tc>
          <w:tcPr>
            <w:tcW w:w="2275"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E3</w:t>
            </w:r>
          </w:p>
        </w:tc>
      </w:tr>
    </w:tbl>
    <w:p>
      <w:pPr>
        <w:keepNext w:val="0"/>
        <w:keepLines w:val="0"/>
        <w:pageBreakBefore w:val="0"/>
        <w:widowControl w:val="0"/>
        <w:kinsoku/>
        <w:wordWrap/>
        <w:overflowPunct/>
        <w:topLinePunct w:val="0"/>
        <w:autoSpaceDE/>
        <w:autoSpaceDN/>
        <w:bidi w:val="0"/>
        <w:adjustRightInd/>
        <w:snapToGrid/>
        <w:spacing w:before="156" w:beforeLines="50"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表1.2-9  地下水功能敏感性分区表</w:t>
      </w:r>
    </w:p>
    <w:tbl>
      <w:tblPr>
        <w:tblStyle w:val="1"/>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16"/>
        <w:gridCol w:w="7789"/>
      </w:tblGrid>
      <w:tr>
        <w:tblPrEx>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316"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敏感性</w:t>
            </w:r>
          </w:p>
        </w:tc>
        <w:tc>
          <w:tcPr>
            <w:tcW w:w="7789"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地下水环境敏感性特征</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316"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敏感G1</w:t>
            </w:r>
          </w:p>
        </w:tc>
        <w:tc>
          <w:tcPr>
            <w:tcW w:w="7789" w:type="dxa"/>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集中式饮用水水源（包括已建成的在用、备用、应急水源，在建和规划的饮用水源）准保护区；除集中式饮用水水源外的国家或地方政府设定的与地下水环境相关的</w:t>
            </w:r>
            <w:r>
              <w:rPr>
                <w:rFonts w:ascii="Times New Roman" w:hAnsi="Times New Roman" w:cs="Times New Roman" w:hint="default"/>
                <w:color w:val="auto"/>
                <w:sz w:val="21"/>
                <w:szCs w:val="21"/>
                <w:lang w:eastAsia="zh-CN"/>
              </w:rPr>
              <w:t>其它</w:t>
            </w:r>
            <w:r>
              <w:rPr>
                <w:rFonts w:ascii="Times New Roman" w:hAnsi="Times New Roman" w:cs="Times New Roman" w:hint="default"/>
                <w:color w:val="auto"/>
                <w:sz w:val="21"/>
                <w:szCs w:val="21"/>
              </w:rPr>
              <w:t>保护区，如热水、矿泉水、温泉等特殊地下水资源保护区</w:t>
            </w:r>
            <w:r>
              <w:rPr>
                <w:rFonts w:ascii="Times New Roman" w:hAnsi="Times New Roman" w:cs="Times New Roman" w:hint="default"/>
                <w:color w:val="auto"/>
                <w:sz w:val="21"/>
                <w:szCs w:val="21"/>
                <w:lang w:eastAsia="zh-CN"/>
              </w:rPr>
              <w:t>。</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316"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较敏感G2</w:t>
            </w:r>
          </w:p>
        </w:tc>
        <w:tc>
          <w:tcPr>
            <w:tcW w:w="7789" w:type="dxa"/>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集中式饮用水水源（包括已建成的在用、备用、应急水源，在建和规划的饮用水源）准保护区以外的补给径流区；未划定准保护区的集中式饮用水水源，其保护区以外的补给径流区；分散式饮用水水源地；特殊地下水资源（如热水、矿泉水、温泉等）保护区以外的分布区等</w:t>
            </w:r>
            <w:r>
              <w:rPr>
                <w:rFonts w:ascii="Times New Roman" w:hAnsi="Times New Roman" w:cs="Times New Roman" w:hint="default"/>
                <w:color w:val="auto"/>
                <w:sz w:val="21"/>
                <w:szCs w:val="21"/>
                <w:lang w:eastAsia="zh-CN"/>
              </w:rPr>
              <w:t>其它</w:t>
            </w:r>
            <w:r>
              <w:rPr>
                <w:rFonts w:ascii="Times New Roman" w:hAnsi="Times New Roman" w:cs="Times New Roman" w:hint="default"/>
                <w:color w:val="auto"/>
                <w:sz w:val="21"/>
                <w:szCs w:val="21"/>
              </w:rPr>
              <w:t>未列入上述敏感分级的环境敏感区</w:t>
            </w:r>
            <w:r>
              <w:rPr>
                <w:rFonts w:ascii="Times New Roman" w:hAnsi="Times New Roman" w:cs="Times New Roman" w:hint="default"/>
                <w:color w:val="auto"/>
                <w:sz w:val="21"/>
                <w:szCs w:val="21"/>
                <w:vertAlign w:val="superscript"/>
              </w:rPr>
              <w:t>a</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316"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低敏感G3</w:t>
            </w:r>
          </w:p>
        </w:tc>
        <w:tc>
          <w:tcPr>
            <w:tcW w:w="7789" w:type="dxa"/>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上述地区之外的</w:t>
            </w:r>
            <w:r>
              <w:rPr>
                <w:rFonts w:ascii="Times New Roman" w:hAnsi="Times New Roman" w:cs="Times New Roman" w:hint="default"/>
                <w:color w:val="auto"/>
                <w:sz w:val="21"/>
                <w:szCs w:val="21"/>
                <w:lang w:eastAsia="zh-CN"/>
              </w:rPr>
              <w:t>其它</w:t>
            </w:r>
            <w:r>
              <w:rPr>
                <w:rFonts w:ascii="Times New Roman" w:hAnsi="Times New Roman" w:cs="Times New Roman" w:hint="default"/>
                <w:color w:val="auto"/>
                <w:sz w:val="21"/>
                <w:szCs w:val="21"/>
              </w:rPr>
              <w:t>地区</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9105" w:type="dxa"/>
            <w:gridSpan w:val="2"/>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vertAlign w:val="superscript"/>
              </w:rPr>
              <w:t>a</w:t>
            </w:r>
            <w:r>
              <w:rPr>
                <w:rFonts w:ascii="Times New Roman" w:hAnsi="Times New Roman" w:cs="Times New Roman" w:hint="default"/>
                <w:color w:val="auto"/>
                <w:sz w:val="21"/>
                <w:szCs w:val="21"/>
              </w:rPr>
              <w:t xml:space="preserve"> </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环境敏感区</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是指《建设项目环境影响评价分类管理名录》中所界定的涉及地下水的环境敏感区</w:t>
            </w:r>
          </w:p>
        </w:tc>
      </w:tr>
    </w:tbl>
    <w:p>
      <w:pPr>
        <w:keepNext w:val="0"/>
        <w:keepLines w:val="0"/>
        <w:pageBreakBefore w:val="0"/>
        <w:widowControl w:val="0"/>
        <w:kinsoku/>
        <w:wordWrap/>
        <w:overflowPunct/>
        <w:topLinePunct w:val="0"/>
        <w:autoSpaceDE/>
        <w:autoSpaceDN/>
        <w:bidi w:val="0"/>
        <w:adjustRightInd/>
        <w:snapToGrid/>
        <w:spacing w:before="156" w:beforeLines="50"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表1.2-10  包气带防污性能分级表</w:t>
      </w:r>
    </w:p>
    <w:tbl>
      <w:tblPr>
        <w:tblStyle w:val="1"/>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50"/>
        <w:gridCol w:w="7555"/>
      </w:tblGrid>
      <w:tr>
        <w:tblPrEx>
          <w:jc w:val="center"/>
          <w:tblInd w:w="1" w:type="dxa"/>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550" w:type="dxa"/>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分级</w:t>
            </w:r>
          </w:p>
        </w:tc>
        <w:tc>
          <w:tcPr>
            <w:tcW w:w="7555" w:type="dxa"/>
            <w:tcBorders>
              <w:tl2br w:val="nil"/>
              <w:tr2bl w:val="nil"/>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包气带岩土的渗透性能</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550"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D3</w:t>
            </w:r>
          </w:p>
        </w:tc>
        <w:tc>
          <w:tcPr>
            <w:tcW w:w="7555" w:type="dxa"/>
            <w:tcBorders>
              <w:tl2br w:val="nil"/>
              <w:tr2bl w:val="nil"/>
            </w:tcBorders>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Mb</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 m，K</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vertAlign w:val="superscript"/>
              </w:rPr>
              <w:t xml:space="preserve">-6 </w:t>
            </w:r>
            <w:r>
              <w:rPr>
                <w:rFonts w:ascii="Times New Roman" w:hAnsi="Times New Roman" w:cs="Times New Roman" w:hint="default"/>
                <w:color w:val="auto"/>
                <w:sz w:val="21"/>
                <w:szCs w:val="21"/>
              </w:rPr>
              <w:t>cm/s，且分布连续、稳定</w:t>
            </w:r>
            <w:r>
              <w:rPr>
                <w:rFonts w:ascii="Times New Roman" w:hAnsi="Times New Roman" w:cs="Times New Roman" w:hint="default"/>
                <w:color w:val="auto"/>
                <w:sz w:val="21"/>
                <w:szCs w:val="21"/>
                <w:lang w:eastAsia="zh-CN"/>
              </w:rPr>
              <w:t>。</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550"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D2</w:t>
            </w:r>
          </w:p>
        </w:tc>
        <w:tc>
          <w:tcPr>
            <w:tcW w:w="7555" w:type="dxa"/>
            <w:tcBorders>
              <w:tl2br w:val="nil"/>
              <w:tr2bl w:val="nil"/>
            </w:tcBorders>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0.5</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Mb＜1.0 m，K</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vertAlign w:val="superscript"/>
              </w:rPr>
              <w:t xml:space="preserve">-6 </w:t>
            </w:r>
            <w:r>
              <w:rPr>
                <w:rFonts w:ascii="Times New Roman" w:hAnsi="Times New Roman" w:cs="Times New Roman" w:hint="default"/>
                <w:color w:val="auto"/>
                <w:sz w:val="21"/>
                <w:szCs w:val="21"/>
              </w:rPr>
              <w:t>cm/s，且分布连续、稳定</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Mb</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 m，1.0</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vertAlign w:val="superscript"/>
              </w:rPr>
              <w:t xml:space="preserve">-6 </w:t>
            </w:r>
            <w:r>
              <w:rPr>
                <w:rFonts w:ascii="Times New Roman" w:hAnsi="Times New Roman" w:cs="Times New Roman" w:hint="default"/>
                <w:color w:val="auto"/>
                <w:sz w:val="21"/>
                <w:szCs w:val="21"/>
              </w:rPr>
              <w:t>cm/s＜K</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rPr>
              <w:t>×</w:t>
            </w:r>
            <w:r>
              <w:rPr>
                <w:rFonts w:ascii="Times New Roman" w:hAnsi="Times New Roman" w:cs="Times New Roman" w:hint="default"/>
                <w:color w:val="auto"/>
                <w:sz w:val="21"/>
                <w:szCs w:val="21"/>
              </w:rPr>
              <w:t>10</w:t>
            </w:r>
            <w:r>
              <w:rPr>
                <w:rFonts w:ascii="Times New Roman" w:hAnsi="Times New Roman" w:cs="Times New Roman" w:hint="default"/>
                <w:color w:val="auto"/>
                <w:sz w:val="21"/>
                <w:szCs w:val="21"/>
                <w:vertAlign w:val="superscript"/>
              </w:rPr>
              <w:t xml:space="preserve">-4 </w:t>
            </w:r>
            <w:r>
              <w:rPr>
                <w:rFonts w:ascii="Times New Roman" w:hAnsi="Times New Roman" w:cs="Times New Roman" w:hint="default"/>
                <w:color w:val="auto"/>
                <w:sz w:val="21"/>
                <w:szCs w:val="21"/>
              </w:rPr>
              <w:t>cm/s，且分布连续、稳定</w:t>
            </w:r>
            <w:r>
              <w:rPr>
                <w:rFonts w:ascii="Times New Roman" w:hAnsi="Times New Roman" w:cs="Times New Roman" w:hint="default"/>
                <w:color w:val="auto"/>
                <w:sz w:val="21"/>
                <w:szCs w:val="21"/>
                <w:lang w:eastAsia="zh-CN"/>
              </w:rPr>
              <w:t>。</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1550" w:type="dxa"/>
            <w:tcBorders>
              <w:tl2br w:val="nil"/>
              <w:tr2bl w:val="nil"/>
            </w:tcBorders>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D1</w:t>
            </w:r>
          </w:p>
        </w:tc>
        <w:tc>
          <w:tcPr>
            <w:tcW w:w="7555" w:type="dxa"/>
            <w:tcBorders>
              <w:tl2br w:val="nil"/>
              <w:tr2bl w:val="nil"/>
            </w:tcBorders>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岩（土）层不满足上述</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D2</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和</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D3</w:t>
            </w:r>
            <w:r>
              <w:rPr>
                <w:rFonts w:ascii="Times New Roman" w:hAnsi="Times New Roman" w:cs="Times New Roman" w:hint="default"/>
                <w:color w:val="auto"/>
                <w:sz w:val="21"/>
                <w:szCs w:val="21"/>
                <w:lang w:eastAsia="zh-CN"/>
              </w:rPr>
              <w:t>”</w:t>
            </w:r>
            <w:r>
              <w:rPr>
                <w:rFonts w:ascii="Times New Roman" w:hAnsi="Times New Roman" w:cs="Times New Roman" w:hint="default"/>
                <w:color w:val="auto"/>
                <w:sz w:val="21"/>
                <w:szCs w:val="21"/>
              </w:rPr>
              <w:t>条件</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9105" w:type="dxa"/>
            <w:gridSpan w:val="2"/>
            <w:tcBorders>
              <w:tl2br w:val="nil"/>
              <w:tr2bl w:val="nil"/>
            </w:tcBorders>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Mb：岩土层单层厚度。K：渗透系数</w:t>
            </w:r>
          </w:p>
        </w:tc>
      </w:tr>
    </w:tbl>
    <w:p>
      <w:pPr>
        <w:sectPr>
          <w:footerReference w:type="default" r:id="rId16"/>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2"/>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本项目周边无地下水</w:t>
      </w:r>
      <w:r>
        <w:rPr>
          <w:rFonts w:ascii="Times New Roman" w:hAnsi="Times New Roman" w:cs="Times New Roman" w:hint="default"/>
          <w:color w:val="auto"/>
          <w:sz w:val="24"/>
          <w:szCs w:val="24"/>
        </w:rPr>
        <w:t>集中式饮用水水源</w:t>
      </w:r>
      <w:r>
        <w:rPr>
          <w:rFonts w:ascii="Times New Roman" w:hAnsi="Times New Roman" w:cs="Times New Roman" w:hint="default"/>
          <w:color w:val="auto"/>
          <w:sz w:val="24"/>
          <w:szCs w:val="24"/>
          <w:lang w:val="en-US" w:eastAsia="zh-CN"/>
        </w:rPr>
        <w:t>，建设项目地下水功能敏感区为G3；根据现有工程情况调查，本项目场地包气带厚度为1</w:t>
      </w:r>
      <w:r>
        <w:rPr>
          <w:rFonts w:ascii="Times New Roman" w:hAnsi="Times New Roman" w:cs="Times New Roman" w:hint="default"/>
          <w:color w:val="auto"/>
          <w:sz w:val="24"/>
          <w:szCs w:val="24"/>
        </w:rPr>
        <w:t>.40m，大于1.0m；包气带岩性为粉质黏土（素填土）、黏土，渗透系数在9.38</w:t>
      </w:r>
      <w:r>
        <w:rPr>
          <w:rFonts w:ascii="Times New Roman" w:hAnsi="Times New Roman" w:cs="Times New Roman" w:hint="default"/>
          <w:color w:val="auto"/>
          <w:sz w:val="24"/>
          <w:szCs w:val="24"/>
        </w:rPr>
        <w:t>×</w:t>
      </w:r>
      <w:r>
        <w:rPr>
          <w:rFonts w:ascii="Times New Roman" w:hAnsi="Times New Roman" w:cs="Times New Roman" w:hint="default"/>
          <w:color w:val="auto"/>
          <w:sz w:val="24"/>
          <w:szCs w:val="24"/>
        </w:rPr>
        <w:t>10</w:t>
      </w:r>
      <w:r>
        <w:rPr>
          <w:rFonts w:ascii="Times New Roman" w:hAnsi="Times New Roman" w:cs="Times New Roman" w:hint="default"/>
          <w:color w:val="auto"/>
          <w:sz w:val="24"/>
          <w:szCs w:val="24"/>
          <w:vertAlign w:val="superscript"/>
        </w:rPr>
        <w:t>-6</w:t>
      </w:r>
      <w:r>
        <w:rPr>
          <w:rFonts w:ascii="Times New Roman" w:hAnsi="Times New Roman" w:cs="Times New Roman" w:hint="default"/>
          <w:color w:val="auto"/>
          <w:sz w:val="24"/>
          <w:szCs w:val="24"/>
        </w:rPr>
        <w:t>cm/s，由此可知本项目包气带防污性能为D2。</w:t>
      </w:r>
      <w:r>
        <w:rPr>
          <w:rFonts w:ascii="Times New Roman" w:hAnsi="Times New Roman" w:cs="Times New Roman" w:hint="default"/>
          <w:color w:val="auto"/>
          <w:sz w:val="24"/>
          <w:szCs w:val="24"/>
          <w:lang w:val="en-US" w:eastAsia="zh-CN"/>
        </w:rPr>
        <w:t>由表1.2-9确定地下水环境敏感分级为E3，环境低度敏感区。</w:t>
      </w:r>
    </w:p>
    <w:p>
      <w:pPr>
        <w:pStyle w:val="Heading4"/>
        <w:keepNext/>
        <w:keepLines/>
        <w:pageBreakBefore w:val="0"/>
        <w:widowControl w:val="0"/>
        <w:kinsoku/>
        <w:wordWrap/>
        <w:overflowPunct/>
        <w:topLinePunct w:val="0"/>
        <w:autoSpaceDE/>
        <w:autoSpaceDN/>
        <w:bidi w:val="0"/>
        <w:adjustRightInd/>
        <w:snapToGrid/>
        <w:spacing w:before="0" w:after="0" w:line="360" w:lineRule="auto"/>
        <w:textAlignment w:val="auto"/>
        <w:rPr>
          <w:rFonts w:ascii="Times New Roman" w:eastAsia="宋体" w:hAnsi="Times New Roman" w:cs="Times New Roman" w:hint="default"/>
          <w:color w:val="auto"/>
          <w:sz w:val="24"/>
          <w:szCs w:val="22"/>
          <w:lang w:val="en-US" w:eastAsia="zh-CN"/>
        </w:rPr>
      </w:pPr>
      <w:r>
        <w:rPr>
          <w:rFonts w:ascii="Times New Roman" w:eastAsia="宋体" w:hAnsi="Times New Roman" w:cs="Times New Roman" w:hint="default"/>
          <w:color w:val="auto"/>
          <w:sz w:val="24"/>
          <w:szCs w:val="22"/>
          <w:lang w:val="en-US" w:eastAsia="zh-CN"/>
        </w:rPr>
        <w:t>1.2.2.3 环境风险潜势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根据《建设项目环境风险评价技术导则》（HJ169-2018），建设项目环境风险潜势划分为I、II、III、IV/IV</w:t>
      </w:r>
      <w:r>
        <w:rPr>
          <w:rFonts w:ascii="Times New Roman" w:hAnsi="Times New Roman" w:cs="Times New Roman" w:hint="default"/>
          <w:color w:val="auto"/>
          <w:sz w:val="24"/>
          <w:szCs w:val="24"/>
          <w:vertAlign w:val="superscript"/>
        </w:rPr>
        <w:t>+</w:t>
      </w:r>
      <w:r>
        <w:rPr>
          <w:rFonts w:ascii="Times New Roman" w:hAnsi="Times New Roman" w:cs="Times New Roman" w:hint="default"/>
          <w:color w:val="auto"/>
          <w:sz w:val="24"/>
          <w:szCs w:val="24"/>
        </w:rPr>
        <w:t>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rPr>
        <w:t>根据建设项目涉及的物质和工艺系统的危险性及其所在地的环境敏感程度，结合事故情形下环境影响途径，对建设项目潜在环境危害程度进行概化分析，按照表</w:t>
      </w:r>
      <w:r>
        <w:rPr>
          <w:rFonts w:ascii="Times New Roman" w:hAnsi="Times New Roman" w:cs="Times New Roman" w:hint="default"/>
          <w:color w:val="auto"/>
          <w:sz w:val="24"/>
          <w:szCs w:val="24"/>
          <w:lang w:val="en-US" w:eastAsia="zh-CN"/>
        </w:rPr>
        <w:t>1.2-11</w:t>
      </w:r>
      <w:r>
        <w:rPr>
          <w:rFonts w:ascii="Times New Roman" w:hAnsi="Times New Roman" w:cs="Times New Roman" w:hint="default"/>
          <w:color w:val="auto"/>
          <w:sz w:val="24"/>
          <w:szCs w:val="24"/>
        </w:rPr>
        <w:t>确定环境风险潜势。</w:t>
      </w:r>
    </w:p>
    <w:p>
      <w:pPr>
        <w:jc w:val="center"/>
        <w:rPr>
          <w:rFonts w:ascii="Times New Roman" w:hAnsi="Times New Roman" w:hint="default"/>
          <w:b/>
          <w:bCs/>
          <w:color w:val="auto"/>
        </w:rPr>
      </w:pPr>
      <w:r>
        <w:rPr>
          <w:rFonts w:ascii="Times New Roman" w:hAnsi="Times New Roman" w:cs="Times New Roman" w:hint="default"/>
          <w:b/>
          <w:bCs/>
          <w:color w:val="auto"/>
        </w:rPr>
        <w:t>表</w:t>
      </w:r>
      <w:r>
        <w:rPr>
          <w:rFonts w:ascii="Times New Roman" w:hAnsi="Times New Roman" w:cs="Times New Roman" w:hint="default"/>
          <w:b/>
          <w:bCs/>
          <w:color w:val="auto"/>
          <w:lang w:val="en-US" w:eastAsia="zh-CN"/>
        </w:rPr>
        <w:t xml:space="preserve">1.2-11  </w:t>
      </w:r>
      <w:r>
        <w:rPr>
          <w:rFonts w:ascii="Times New Roman" w:hAnsi="Times New Roman" w:cs="Times New Roman" w:hint="default"/>
          <w:b/>
          <w:bCs/>
          <w:color w:val="auto"/>
        </w:rPr>
        <w:t>建设项目环境风险潜势划分</w:t>
      </w:r>
    </w:p>
    <w:tbl>
      <w:tblPr>
        <w:tblStyle w:val="TableNormal"/>
        <w:jc w:val="center"/>
        <w:tblInd w:w="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2279"/>
        <w:gridCol w:w="1865"/>
        <w:gridCol w:w="1643"/>
        <w:gridCol w:w="1631"/>
        <w:gridCol w:w="1687"/>
      </w:tblGrid>
      <w:tr>
        <w:tblPrEx>
          <w:jc w:val="center"/>
          <w:tblInd w:w="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40"/>
          <w:jc w:val="center"/>
        </w:trPr>
        <w:tc>
          <w:tcPr>
            <w:tcW w:w="2279" w:type="dxa"/>
            <w:vMerge w:val="restart"/>
            <w:tcBorders>
              <w:right w:val="single" w:sz="4" w:space="0" w:color="auto"/>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环境敏感程度E</w:t>
            </w:r>
          </w:p>
        </w:tc>
        <w:tc>
          <w:tcPr>
            <w:tcW w:w="6826" w:type="dxa"/>
            <w:gridSpan w:val="4"/>
            <w:tcBorders>
              <w:left w:val="single" w:sz="4" w:space="0" w:color="auto"/>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危险物质及工艺系统危险性等级P</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9" w:type="dxa"/>
            <w:vMerge/>
            <w:tcBorders>
              <w:right w:val="single" w:sz="4" w:space="0" w:color="auto"/>
            </w:tcBorders>
            <w:vAlign w:val="center"/>
          </w:tcPr>
          <w:p>
            <w:pPr>
              <w:jc w:val="center"/>
              <w:rPr>
                <w:rFonts w:ascii="Times New Roman" w:hAnsi="Times New Roman" w:hint="default"/>
                <w:b/>
                <w:bCs/>
                <w:color w:val="auto"/>
                <w:szCs w:val="21"/>
              </w:rPr>
            </w:pPr>
          </w:p>
        </w:tc>
        <w:tc>
          <w:tcPr>
            <w:tcW w:w="1865" w:type="dxa"/>
            <w:tcBorders>
              <w:left w:val="single" w:sz="4" w:space="0" w:color="auto"/>
            </w:tcBorders>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极高危害（P1）</w:t>
            </w:r>
          </w:p>
        </w:tc>
        <w:tc>
          <w:tcPr>
            <w:tcW w:w="1643"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高度危害（P2）</w:t>
            </w:r>
          </w:p>
        </w:tc>
        <w:tc>
          <w:tcPr>
            <w:tcW w:w="1631"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中度危害（P3）</w:t>
            </w:r>
          </w:p>
        </w:tc>
        <w:tc>
          <w:tcPr>
            <w:tcW w:w="1687"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轻度危害（P4）</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环境高度敏感区E1</w:t>
            </w:r>
          </w:p>
        </w:tc>
        <w:tc>
          <w:tcPr>
            <w:tcW w:w="186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IV</w:t>
            </w:r>
            <w:r>
              <w:rPr>
                <w:rFonts w:ascii="Times New Roman" w:hAnsi="Times New Roman" w:cs="Times New Roman" w:hint="default"/>
                <w:color w:val="auto"/>
                <w:sz w:val="21"/>
                <w:szCs w:val="21"/>
                <w:vertAlign w:val="superscript"/>
              </w:rPr>
              <w:t>+</w:t>
            </w:r>
          </w:p>
        </w:tc>
        <w:tc>
          <w:tcPr>
            <w:tcW w:w="164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IV</w:t>
            </w:r>
          </w:p>
        </w:tc>
        <w:tc>
          <w:tcPr>
            <w:tcW w:w="1631"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III</w:t>
            </w:r>
          </w:p>
        </w:tc>
        <w:tc>
          <w:tcPr>
            <w:tcW w:w="1687"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III</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环境中度敏感区E2</w:t>
            </w:r>
          </w:p>
        </w:tc>
        <w:tc>
          <w:tcPr>
            <w:tcW w:w="186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IV</w:t>
            </w:r>
          </w:p>
        </w:tc>
        <w:tc>
          <w:tcPr>
            <w:tcW w:w="164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III</w:t>
            </w:r>
          </w:p>
        </w:tc>
        <w:tc>
          <w:tcPr>
            <w:tcW w:w="1631"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III</w:t>
            </w:r>
          </w:p>
        </w:tc>
        <w:tc>
          <w:tcPr>
            <w:tcW w:w="1687"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2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环境低度敏感区E3</w:t>
            </w:r>
          </w:p>
        </w:tc>
        <w:tc>
          <w:tcPr>
            <w:tcW w:w="1865"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III</w:t>
            </w:r>
          </w:p>
        </w:tc>
        <w:tc>
          <w:tcPr>
            <w:tcW w:w="164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III</w:t>
            </w:r>
          </w:p>
        </w:tc>
        <w:tc>
          <w:tcPr>
            <w:tcW w:w="1631"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II</w:t>
            </w:r>
          </w:p>
        </w:tc>
        <w:tc>
          <w:tcPr>
            <w:tcW w:w="1687"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I</w:t>
            </w:r>
          </w:p>
        </w:tc>
      </w:tr>
      <w:tr>
        <w:tblPrEx>
          <w:jc w:val="center"/>
          <w:tblInd w:w="1" w:type="dxa"/>
          <w:tblLayout w:type="fixed"/>
          <w:tblCellMar>
            <w:top w:w="0" w:type="dxa"/>
            <w:left w:w="108" w:type="dxa"/>
            <w:bottom w:w="0" w:type="dxa"/>
            <w:right w:w="108" w:type="dxa"/>
          </w:tblCellMar>
          <w:tblLook w:val="0000"/>
        </w:tblPrEx>
        <w:trPr>
          <w:trHeight w:val="340"/>
          <w:jc w:val="center"/>
        </w:trPr>
        <w:tc>
          <w:tcPr>
            <w:tcW w:w="9105" w:type="dxa"/>
            <w:gridSpan w:val="5"/>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注：IV+为极高环境风险</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本项目危险物质及工艺系统危险性分级为P3，环境敏感程度为：大气E2级、地表水E2级、地下水环境E3级，因此本项目各要素环境风险潜势为：大气</w:t>
      </w:r>
      <w:r>
        <w:rPr>
          <w:rFonts w:ascii="Times New Roman" w:hAnsi="Times New Roman" w:cs="Times New Roman" w:hint="default"/>
          <w:color w:val="auto"/>
          <w:sz w:val="24"/>
          <w:szCs w:val="24"/>
          <w:lang w:val="en-US" w:eastAsia="zh-CN"/>
        </w:rPr>
        <w:t>Ⅲ</w:t>
      </w:r>
      <w:r>
        <w:rPr>
          <w:rFonts w:ascii="Times New Roman" w:hAnsi="Times New Roman" w:cs="Times New Roman" w:hint="default"/>
          <w:color w:val="auto"/>
          <w:sz w:val="24"/>
          <w:szCs w:val="24"/>
          <w:lang w:val="en-US" w:eastAsia="zh-CN"/>
        </w:rPr>
        <w:t>级、地表水</w:t>
      </w:r>
      <w:r>
        <w:rPr>
          <w:rFonts w:ascii="Times New Roman" w:hAnsi="Times New Roman" w:cs="Times New Roman" w:hint="default"/>
          <w:color w:val="auto"/>
          <w:sz w:val="24"/>
          <w:szCs w:val="24"/>
          <w:lang w:val="en-US" w:eastAsia="zh-CN"/>
        </w:rPr>
        <w:t>Ⅱ</w:t>
      </w:r>
      <w:r>
        <w:rPr>
          <w:rFonts w:ascii="Times New Roman" w:hAnsi="Times New Roman" w:cs="Times New Roman" w:hint="default"/>
          <w:color w:val="auto"/>
          <w:sz w:val="24"/>
          <w:szCs w:val="24"/>
          <w:lang w:val="en-US" w:eastAsia="zh-CN"/>
        </w:rPr>
        <w:t>级、地下水环境</w:t>
      </w:r>
      <w:r>
        <w:rPr>
          <w:rFonts w:ascii="Times New Roman" w:hAnsi="Times New Roman" w:cs="Times New Roman" w:hint="default"/>
          <w:color w:val="auto"/>
          <w:sz w:val="24"/>
          <w:szCs w:val="24"/>
        </w:rPr>
        <w:t>II</w:t>
      </w:r>
      <w:r>
        <w:rPr>
          <w:rFonts w:ascii="Times New Roman" w:hAnsi="Times New Roman" w:cs="Times New Roman" w:hint="default"/>
          <w:color w:val="auto"/>
          <w:sz w:val="24"/>
          <w:szCs w:val="24"/>
          <w:lang w:val="en-US" w:eastAsia="zh-CN"/>
        </w:rPr>
        <w:t>级，即本项目环境风险潜势综合等级为</w:t>
      </w:r>
      <w:r>
        <w:rPr>
          <w:rFonts w:ascii="Times New Roman" w:hAnsi="Times New Roman" w:cs="Times New Roman" w:hint="default"/>
          <w:color w:val="auto"/>
          <w:sz w:val="24"/>
          <w:szCs w:val="24"/>
          <w:lang w:val="en-US" w:eastAsia="zh-CN"/>
        </w:rPr>
        <w:t>Ⅲ</w:t>
      </w:r>
      <w:r>
        <w:rPr>
          <w:rFonts w:ascii="Times New Roman" w:hAnsi="Times New Roman" w:cs="Times New Roman" w:hint="default"/>
          <w:color w:val="auto"/>
          <w:sz w:val="24"/>
          <w:szCs w:val="24"/>
          <w:lang w:val="en-US" w:eastAsia="zh-CN"/>
        </w:rPr>
        <w:t>级。</w:t>
      </w: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7" w:name="_Toc27779"/>
      <w:r>
        <w:rPr>
          <w:rFonts w:ascii="Times New Roman" w:hAnsi="Times New Roman" w:cs="Times New Roman" w:hint="default"/>
          <w:color w:val="auto"/>
          <w:sz w:val="28"/>
          <w:szCs w:val="28"/>
          <w:lang w:val="en-US" w:eastAsia="zh-CN"/>
        </w:rPr>
        <w:t>1.2.3 建设项目环境风险评价等级判定</w:t>
      </w:r>
      <w:bookmarkEnd w:id="7"/>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环境风险评价工作等级划分为一级、二级、三级。根据环境风险潜势进行等级划分，环境风险评价工作等级划分见表1.2-12。</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表1.2-12  评价工作等级划分</w:t>
      </w:r>
    </w:p>
    <w:tbl>
      <w:tblPr>
        <w:tblStyle w:val="2"/>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19"/>
        <w:gridCol w:w="1819"/>
        <w:gridCol w:w="1821"/>
        <w:gridCol w:w="1819"/>
        <w:gridCol w:w="1827"/>
      </w:tblGrid>
      <w:tr>
        <w:tblPrEx>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1819"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环境风险潜势</w:t>
            </w:r>
          </w:p>
        </w:tc>
        <w:tc>
          <w:tcPr>
            <w:tcW w:w="1819"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Ⅳ</w:t>
            </w:r>
            <w:r>
              <w:rPr>
                <w:rFonts w:ascii="Times New Roman" w:hAnsi="Times New Roman" w:cs="Times New Roman" w:hint="default"/>
                <w:b/>
                <w:bCs/>
                <w:color w:val="auto"/>
                <w:sz w:val="21"/>
                <w:szCs w:val="21"/>
              </w:rPr>
              <w:t>、</w:t>
            </w:r>
            <w:r>
              <w:rPr>
                <w:rFonts w:ascii="Times New Roman" w:hAnsi="Times New Roman" w:cs="Times New Roman" w:hint="default"/>
                <w:b/>
                <w:bCs/>
                <w:color w:val="auto"/>
                <w:sz w:val="21"/>
                <w:szCs w:val="21"/>
              </w:rPr>
              <w:t>Ⅳ</w:t>
            </w:r>
            <w:r>
              <w:rPr>
                <w:rFonts w:ascii="Times New Roman" w:hAnsi="Times New Roman" w:cs="Times New Roman" w:hint="default"/>
                <w:b/>
                <w:bCs/>
                <w:color w:val="auto"/>
                <w:sz w:val="21"/>
                <w:szCs w:val="21"/>
                <w:vertAlign w:val="superscript"/>
              </w:rPr>
              <w:t>+</w:t>
            </w:r>
          </w:p>
        </w:tc>
        <w:tc>
          <w:tcPr>
            <w:tcW w:w="1821"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Ⅲ</w:t>
            </w:r>
          </w:p>
        </w:tc>
        <w:tc>
          <w:tcPr>
            <w:tcW w:w="1819" w:type="dxa"/>
            <w:vAlign w:val="center"/>
          </w:tcPr>
          <w:p>
            <w:pPr>
              <w:jc w:val="center"/>
              <w:rPr>
                <w:rFonts w:ascii="Times New Roman" w:hAnsi="Times New Roman" w:hint="default"/>
                <w:b/>
                <w:bCs/>
                <w:color w:val="auto"/>
                <w:szCs w:val="21"/>
                <w:highlight w:val="none"/>
              </w:rPr>
            </w:pPr>
            <w:r>
              <w:rPr>
                <w:rFonts w:ascii="Times New Roman" w:hAnsi="Times New Roman" w:cs="Times New Roman" w:hint="default"/>
                <w:b/>
                <w:bCs/>
                <w:color w:val="auto"/>
                <w:sz w:val="21"/>
                <w:szCs w:val="21"/>
                <w:highlight w:val="none"/>
              </w:rPr>
              <w:t>Ⅱ</w:t>
            </w:r>
          </w:p>
        </w:tc>
        <w:tc>
          <w:tcPr>
            <w:tcW w:w="1827"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rPr>
              <w:t>Ⅰ</w:t>
            </w:r>
          </w:p>
        </w:tc>
      </w:tr>
      <w:tr>
        <w:tblPrEx>
          <w:jc w:val="center"/>
          <w:tblInd w:w="2" w:type="dxa"/>
          <w:tblLayout w:type="fixed"/>
          <w:tblCellMar>
            <w:top w:w="0" w:type="dxa"/>
            <w:left w:w="108" w:type="dxa"/>
            <w:bottom w:w="0" w:type="dxa"/>
            <w:right w:w="108" w:type="dxa"/>
          </w:tblCellMar>
          <w:tblLook w:val="0000"/>
        </w:tblPrEx>
        <w:trPr>
          <w:trHeight w:val="340"/>
          <w:jc w:val="center"/>
        </w:trPr>
        <w:tc>
          <w:tcPr>
            <w:tcW w:w="1819" w:type="dxa"/>
            <w:shd w:val="clear" w:color="auto" w:fill="auto"/>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评价工作等级</w:t>
            </w:r>
          </w:p>
        </w:tc>
        <w:tc>
          <w:tcPr>
            <w:tcW w:w="1819" w:type="dxa"/>
            <w:shd w:val="clear" w:color="auto" w:fill="auto"/>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一</w:t>
            </w:r>
          </w:p>
        </w:tc>
        <w:tc>
          <w:tcPr>
            <w:tcW w:w="1821" w:type="dxa"/>
            <w:shd w:val="clear" w:color="auto" w:fill="7E7E7E"/>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二</w:t>
            </w:r>
          </w:p>
        </w:tc>
        <w:tc>
          <w:tcPr>
            <w:tcW w:w="1819" w:type="dxa"/>
            <w:vAlign w:val="center"/>
          </w:tcPr>
          <w:p>
            <w:pPr>
              <w:jc w:val="center"/>
              <w:rPr>
                <w:rFonts w:ascii="Times New Roman" w:hAnsi="Times New Roman" w:hint="default"/>
                <w:color w:val="auto"/>
                <w:szCs w:val="21"/>
                <w:highlight w:val="none"/>
              </w:rPr>
            </w:pPr>
            <w:r>
              <w:rPr>
                <w:rFonts w:ascii="Times New Roman" w:hAnsi="Times New Roman" w:cs="Times New Roman" w:hint="default"/>
                <w:color w:val="auto"/>
                <w:sz w:val="21"/>
                <w:szCs w:val="21"/>
                <w:highlight w:val="none"/>
              </w:rPr>
              <w:t>三</w:t>
            </w:r>
          </w:p>
        </w:tc>
        <w:tc>
          <w:tcPr>
            <w:tcW w:w="1827"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简单分析a</w:t>
            </w:r>
          </w:p>
        </w:tc>
      </w:tr>
      <w:tr>
        <w:tblPrEx>
          <w:jc w:val="center"/>
          <w:tblInd w:w="2" w:type="dxa"/>
          <w:tblLayout w:type="fixed"/>
          <w:tblCellMar>
            <w:top w:w="0" w:type="dxa"/>
            <w:left w:w="108" w:type="dxa"/>
            <w:bottom w:w="0" w:type="dxa"/>
            <w:right w:w="108" w:type="dxa"/>
          </w:tblCellMar>
          <w:tblLook w:val="0000"/>
        </w:tblPrEx>
        <w:trPr>
          <w:trHeight w:val="340"/>
          <w:jc w:val="center"/>
        </w:trPr>
        <w:tc>
          <w:tcPr>
            <w:tcW w:w="9105" w:type="dxa"/>
            <w:gridSpan w:val="5"/>
            <w:vAlign w:val="center"/>
          </w:tcPr>
          <w:p>
            <w:pPr>
              <w:jc w:val="both"/>
              <w:rPr>
                <w:rFonts w:ascii="Times New Roman" w:hAnsi="Times New Roman" w:hint="default"/>
                <w:color w:val="auto"/>
                <w:szCs w:val="21"/>
              </w:rPr>
            </w:pPr>
            <w:r>
              <w:rPr>
                <w:rFonts w:ascii="Times New Roman" w:hAnsi="Times New Roman" w:cs="Times New Roman" w:hint="default"/>
                <w:color w:val="auto"/>
                <w:sz w:val="21"/>
                <w:szCs w:val="21"/>
              </w:rPr>
              <w:t>a是相对于详细评价工作而言，在描述危险物质、环境影响途径、环境危害后果、风险防范措施等方面给出定性说明。见附录A。</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由表1.2-12可知，确定项目环境风险评价最高等级的环境要素为大气、地表水、地下水环境，评价等级为二级。</w:t>
      </w: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8" w:name="_Toc16388"/>
      <w:r>
        <w:rPr>
          <w:rFonts w:ascii="Times New Roman" w:hAnsi="Times New Roman" w:cs="Times New Roman" w:hint="default"/>
          <w:color w:val="auto"/>
          <w:sz w:val="28"/>
          <w:szCs w:val="28"/>
          <w:lang w:val="en-US" w:eastAsia="zh-CN"/>
        </w:rPr>
        <w:t>1.2.4 评价范围</w:t>
      </w:r>
      <w:bookmarkEnd w:id="8"/>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17"/>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3"/>
          <w:cols w:space="708"/>
          <w:titlePg w:val="0"/>
          <w:docGrid w:type="lines" w:linePitch="312"/>
        </w:sect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本项目地表水、地下水环境风险评价范围与地表水、地下水环境影响评价范围相同；大气环境风险范围为</w:t>
      </w:r>
      <w:r>
        <w:rPr>
          <w:rFonts w:ascii="Times New Roman" w:hAnsi="Times New Roman" w:cs="Times New Roman" w:hint="default"/>
          <w:color w:val="auto"/>
          <w:sz w:val="24"/>
          <w:szCs w:val="24"/>
        </w:rPr>
        <w:t>厂界外3km区域</w:t>
      </w:r>
      <w:r>
        <w:rPr>
          <w:rFonts w:ascii="Times New Roman" w:hAnsi="Times New Roman" w:cs="Times New Roman" w:hint="default"/>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大气环境风险评价范围见附图2，地表水风险评价范围见附图3。</w:t>
      </w: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9" w:name="_Toc12183"/>
      <w:r>
        <w:rPr>
          <w:rFonts w:ascii="Times New Roman" w:hAnsi="Times New Roman" w:cs="Times New Roman" w:hint="default"/>
          <w:color w:val="auto"/>
          <w:sz w:val="28"/>
          <w:szCs w:val="28"/>
          <w:lang w:val="en-US" w:eastAsia="zh-CN"/>
        </w:rPr>
        <w:t>1.2.5 环境敏感目标概况</w:t>
      </w:r>
      <w:bookmarkEnd w:id="9"/>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根据调查，项目周边环境敏感目标见表1.2-13。</w:t>
      </w:r>
    </w:p>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表1.2-13  建设项目敏感特征表</w:t>
      </w:r>
    </w:p>
    <w:tbl>
      <w:tblPr>
        <w:tblStyle w:val="3"/>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51" w:type="dxa"/>
          <w:bottom w:w="0" w:type="dxa"/>
          <w:right w:w="51" w:type="dxa"/>
        </w:tblCellMar>
        <w:tblLook w:val="0000"/>
      </w:tblPr>
      <w:tblGrid>
        <w:gridCol w:w="1310"/>
        <w:gridCol w:w="794"/>
        <w:gridCol w:w="1827"/>
        <w:gridCol w:w="1133"/>
        <w:gridCol w:w="1136"/>
        <w:gridCol w:w="1221"/>
        <w:gridCol w:w="1753"/>
      </w:tblGrid>
      <w:tr>
        <w:tblPrEx>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51" w:type="dxa"/>
            <w:bottom w:w="0" w:type="dxa"/>
            <w:right w:w="51" w:type="dxa"/>
          </w:tblCellMar>
          <w:tblLook w:val="0000"/>
        </w:tblPrEx>
        <w:trPr>
          <w:trHeight w:val="340"/>
          <w:jc w:val="center"/>
        </w:trPr>
        <w:tc>
          <w:tcPr>
            <w:tcW w:w="1310"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类别</w:t>
            </w:r>
          </w:p>
        </w:tc>
        <w:tc>
          <w:tcPr>
            <w:tcW w:w="7864" w:type="dxa"/>
            <w:gridSpan w:val="6"/>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环境敏感特征</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val="restart"/>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环境空气</w:t>
            </w:r>
          </w:p>
        </w:tc>
        <w:tc>
          <w:tcPr>
            <w:tcW w:w="7864" w:type="dxa"/>
            <w:gridSpan w:val="6"/>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厂址周边5km范围内</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序号</w:t>
            </w: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敏感目标名称</w:t>
            </w: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相对方位</w:t>
            </w:r>
          </w:p>
        </w:tc>
        <w:tc>
          <w:tcPr>
            <w:tcW w:w="1136"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距离/m</w:t>
            </w:r>
          </w:p>
        </w:tc>
        <w:tc>
          <w:tcPr>
            <w:tcW w:w="1221"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属性</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人口数</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周家边</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528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24户122人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color w:val="auto"/>
                <w:szCs w:val="21"/>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曾家岭背</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676</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68户342人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罗家岭下</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w:t>
            </w:r>
            <w:r>
              <w:rPr>
                <w:rFonts w:ascii="Times New Roman" w:hAnsi="Times New Roman" w:cs="Times New Roman" w:hint="default"/>
                <w:color w:val="auto"/>
                <w:sz w:val="21"/>
                <w:szCs w:val="21"/>
                <w:lang w:val="en-US" w:eastAsia="zh-CN"/>
              </w:rPr>
              <w:t>235</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32户152人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王家岭背</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731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12户62人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金滩社区</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1628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295户1475人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6</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金滩中心小学</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1836</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师生约200人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7</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双元村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w:t>
            </w:r>
            <w:r>
              <w:rPr>
                <w:rFonts w:ascii="Times New Roman" w:hAnsi="Times New Roman" w:cs="Times New Roman" w:hint="default"/>
                <w:color w:val="auto"/>
                <w:sz w:val="21"/>
                <w:szCs w:val="21"/>
                <w:lang w:val="en-US" w:eastAsia="zh-CN"/>
              </w:rPr>
              <w:t>22</w:t>
            </w:r>
            <w:r>
              <w:rPr>
                <w:rFonts w:ascii="Times New Roman" w:hAnsi="Times New Roman" w:cs="Times New Roman" w:hint="default"/>
                <w:color w:val="auto"/>
                <w:sz w:val="21"/>
                <w:szCs w:val="21"/>
              </w:rPr>
              <w:t>3</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234户1029人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8</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新村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北面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1718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58户242人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9</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1847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65户315人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10</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田北</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1497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37户165人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坳上</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1208</w:t>
            </w:r>
          </w:p>
        </w:tc>
        <w:tc>
          <w:tcPr>
            <w:tcW w:w="1221" w:type="dxa"/>
            <w:tcBorders>
              <w:tl2br w:val="nil"/>
              <w:tr2bl w:val="nil"/>
            </w:tcBorders>
            <w:vAlign w:val="center"/>
          </w:tcPr>
          <w:p>
            <w:pPr>
              <w:adjustRightInd w:val="0"/>
              <w:snapToGrid w:val="0"/>
              <w:ind w:right="-105"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33户165人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12</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古塘村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819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96户325人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13</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午冈村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w:t>
            </w:r>
            <w:r>
              <w:rPr>
                <w:rFonts w:ascii="Times New Roman" w:hAnsi="Times New Roman" w:cs="Times New Roman" w:hint="default"/>
                <w:color w:val="auto"/>
                <w:sz w:val="21"/>
                <w:szCs w:val="21"/>
                <w:lang w:val="en-US" w:eastAsia="zh-CN"/>
              </w:rPr>
              <w:t>9</w:t>
            </w:r>
            <w:r>
              <w:rPr>
                <w:rFonts w:ascii="Times New Roman" w:hAnsi="Times New Roman" w:cs="Times New Roman" w:hint="default"/>
                <w:color w:val="auto"/>
                <w:sz w:val="21"/>
                <w:szCs w:val="21"/>
              </w:rPr>
              <w:t>08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300户1563人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14</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午冈小学</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w:t>
            </w:r>
            <w:r>
              <w:rPr>
                <w:rFonts w:ascii="Times New Roman" w:hAnsi="Times New Roman" w:cs="Times New Roman" w:hint="default"/>
                <w:color w:val="auto"/>
                <w:sz w:val="21"/>
                <w:szCs w:val="21"/>
                <w:lang w:val="en-US" w:eastAsia="zh-CN"/>
              </w:rPr>
              <w:t>9</w:t>
            </w:r>
            <w:r>
              <w:rPr>
                <w:rFonts w:ascii="Times New Roman" w:hAnsi="Times New Roman" w:cs="Times New Roman" w:hint="default"/>
                <w:color w:val="auto"/>
                <w:sz w:val="21"/>
                <w:szCs w:val="21"/>
              </w:rPr>
              <w:t>95</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师生约170人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15</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店下</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32</w:t>
            </w:r>
            <w:r>
              <w:rPr>
                <w:rFonts w:ascii="Times New Roman" w:hAnsi="Times New Roman" w:cs="Times New Roman" w:hint="default"/>
                <w:color w:val="auto"/>
                <w:sz w:val="21"/>
                <w:szCs w:val="21"/>
              </w:rPr>
              <w:t>62</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20户80人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color w:val="auto"/>
                <w:szCs w:val="21"/>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16</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塘下村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w:t>
            </w:r>
            <w:r>
              <w:rPr>
                <w:rFonts w:ascii="Times New Roman" w:hAnsi="Times New Roman" w:cs="Times New Roman" w:hint="default"/>
                <w:color w:val="auto"/>
                <w:sz w:val="21"/>
                <w:szCs w:val="21"/>
                <w:lang w:val="en-US" w:eastAsia="zh-CN"/>
              </w:rPr>
              <w:t>9</w:t>
            </w:r>
            <w:r>
              <w:rPr>
                <w:rFonts w:ascii="Times New Roman" w:hAnsi="Times New Roman" w:cs="Times New Roman" w:hint="default"/>
                <w:color w:val="auto"/>
                <w:sz w:val="21"/>
                <w:szCs w:val="21"/>
              </w:rPr>
              <w:t>9</w:t>
            </w:r>
            <w:r>
              <w:rPr>
                <w:rFonts w:ascii="Times New Roman" w:hAnsi="Times New Roman" w:cs="Times New Roman" w:hint="default"/>
                <w:color w:val="auto"/>
                <w:sz w:val="21"/>
                <w:szCs w:val="21"/>
                <w:lang w:val="en-US" w:eastAsia="zh-CN"/>
              </w:rPr>
              <w:t>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159户809人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17</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南下村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w:t>
            </w:r>
            <w:r>
              <w:rPr>
                <w:rFonts w:ascii="Times New Roman" w:hAnsi="Times New Roman" w:cs="Times New Roman" w:hint="default"/>
                <w:color w:val="auto"/>
                <w:sz w:val="21"/>
                <w:szCs w:val="21"/>
                <w:lang w:val="en-US" w:eastAsia="zh-CN"/>
              </w:rPr>
              <w:t>648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123户518人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18</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五团村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2109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163户776人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19</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金星社区</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南面</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1824</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98户478人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20</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南岸村</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1899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143户715人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水岸鑫城</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1657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580户2320人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22</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工业园管委会</w:t>
            </w:r>
          </w:p>
        </w:tc>
        <w:tc>
          <w:tcPr>
            <w:tcW w:w="1133"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1481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机构</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约75人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23</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井冈山经贸学校</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lang w:val="en-US" w:eastAsia="zh-CN"/>
              </w:rPr>
              <w:t>1776</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师生约3000人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24</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垾坪</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2880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40户160人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25</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岭头</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2911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45户180人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26</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南坑村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2790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200户800人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27</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南坑小学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西</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3333</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师生约100人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28</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前进村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2315</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70户280人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29</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前进村小学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2448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师生约70人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30</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吉水文峰中学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3837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师生约1200人</w:t>
            </w:r>
          </w:p>
        </w:tc>
      </w:tr>
    </w:tbl>
    <w:p>
      <w:pPr>
        <w:sectPr>
          <w:footerReference w:type="default" r:id="rId18"/>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4"/>
          <w:cols w:space="708"/>
          <w:titlePg w:val="0"/>
          <w:docGrid w:type="lines" w:linePitch="312"/>
        </w:sectPr>
      </w:pPr>
    </w:p>
    <w:tbl>
      <w:tblPr>
        <w:tblStyle w:val="4"/>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51" w:type="dxa"/>
          <w:bottom w:w="0" w:type="dxa"/>
          <w:right w:w="51" w:type="dxa"/>
        </w:tblCellMar>
        <w:tblLook w:val="0000"/>
      </w:tblPr>
      <w:tblGrid>
        <w:gridCol w:w="1310"/>
        <w:gridCol w:w="794"/>
        <w:gridCol w:w="1827"/>
        <w:gridCol w:w="1133"/>
        <w:gridCol w:w="1136"/>
        <w:gridCol w:w="1221"/>
        <w:gridCol w:w="1753"/>
      </w:tblGrid>
      <w:tr>
        <w:tblPrEx>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51" w:type="dxa"/>
            <w:bottom w:w="0" w:type="dxa"/>
            <w:right w:w="51" w:type="dxa"/>
          </w:tblCellMar>
          <w:tblLook w:val="0000"/>
        </w:tblPrEx>
        <w:trPr>
          <w:trHeight w:val="340"/>
          <w:jc w:val="center"/>
        </w:trPr>
        <w:tc>
          <w:tcPr>
            <w:tcW w:w="1310" w:type="dxa"/>
            <w:vMerge w:val="restart"/>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周家边</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3627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300户1300人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32</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红岭</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3833</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36户160人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33</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坝溪村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3637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110户450人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34</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坝溪小学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3940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师生约70人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35</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塔下</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3830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70户280人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36</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源头</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4821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52户208人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37</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上枫山</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3633</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20户80人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38</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新屋下</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3908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24户96人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39</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新世纪中学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4381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师生约400人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40</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固洲小学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4274</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师生约120人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固洲村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4541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300户1200人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42</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汉坑村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4942</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180户720人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43</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元石村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东北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4675</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30户120人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44</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白鹭村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3419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130户520人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45</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陈家岭上</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3184</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40户160人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46</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白竹溪</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3499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110户440人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47</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拓口</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4199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58户232人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48</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龙塘</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4069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20户80人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49</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北塘</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西北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4805</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75户300人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50</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麻塘村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西南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4454</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99户396人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东溪村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西南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3366</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200户800人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52</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东溪小学</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西南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4040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学校</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师生约120人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53</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上栋头</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4667</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30户120人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54</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黄塘</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3946</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36户144人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55</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茶山</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3618</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58户232人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56</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沅溪</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4139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50户202人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57</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庙下村</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4414</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30户120人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58</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上曾家</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4404</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24户96人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59</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下曾家</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4961</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35户140人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60</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田心</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3389</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68户272人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61</w:t>
            </w:r>
          </w:p>
        </w:tc>
        <w:tc>
          <w:tcPr>
            <w:tcW w:w="1827" w:type="dxa"/>
            <w:tcBorders>
              <w:tl2br w:val="nil"/>
              <w:tr2bl w:val="nil"/>
            </w:tcBorders>
            <w:vAlign w:val="center"/>
          </w:tcPr>
          <w:p>
            <w:pPr>
              <w:adjustRightInd w:val="0"/>
              <w:snapToGrid w:val="0"/>
              <w:ind w:left="-50" w:right="-50" w:leftChars="0" w:rightChars="0"/>
              <w:jc w:val="center"/>
              <w:rPr>
                <w:rFonts w:ascii="Times New Roman" w:hAnsi="Times New Roman" w:hint="default"/>
                <w:color w:val="auto"/>
                <w:szCs w:val="21"/>
              </w:rPr>
            </w:pPr>
            <w:r>
              <w:rPr>
                <w:rFonts w:ascii="Times New Roman" w:hAnsi="Times New Roman" w:cs="Times New Roman" w:hint="default"/>
                <w:color w:val="auto"/>
                <w:sz w:val="21"/>
                <w:szCs w:val="21"/>
              </w:rPr>
              <w:t>吴家坊</w:t>
            </w:r>
          </w:p>
        </w:tc>
        <w:tc>
          <w:tcPr>
            <w:tcW w:w="1133"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南</w:t>
            </w:r>
          </w:p>
        </w:tc>
        <w:tc>
          <w:tcPr>
            <w:tcW w:w="1136" w:type="dxa"/>
            <w:tcBorders>
              <w:tl2br w:val="nil"/>
              <w:tr2bl w:val="nil"/>
            </w:tcBorders>
            <w:vAlign w:val="center"/>
          </w:tcPr>
          <w:p>
            <w:pPr>
              <w:adjustRightInd w:val="0"/>
              <w:snapToGrid w:val="0"/>
              <w:ind w:left="-105" w:right="-105" w:leftChars="-50" w:rightChars="-50"/>
              <w:jc w:val="center"/>
              <w:rPr>
                <w:rFonts w:ascii="Times New Roman" w:hAnsi="Times New Roman" w:hint="default"/>
                <w:color w:val="auto"/>
                <w:kern w:val="0"/>
                <w:szCs w:val="21"/>
                <w:highlight w:val="none"/>
              </w:rPr>
            </w:pPr>
            <w:r>
              <w:rPr>
                <w:rFonts w:ascii="Times New Roman" w:hAnsi="Times New Roman" w:cs="Times New Roman" w:hint="default"/>
                <w:color w:val="auto"/>
                <w:sz w:val="21"/>
                <w:szCs w:val="21"/>
              </w:rPr>
              <w:t>3590</w:t>
            </w:r>
          </w:p>
        </w:tc>
        <w:tc>
          <w:tcPr>
            <w:tcW w:w="1221"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居民区</w:t>
            </w:r>
          </w:p>
        </w:tc>
        <w:tc>
          <w:tcPr>
            <w:tcW w:w="1753" w:type="dxa"/>
            <w:tcBorders>
              <w:tl2br w:val="nil"/>
              <w:tr2bl w:val="nil"/>
            </w:tcBorders>
            <w:vAlign w:val="center"/>
          </w:tcPr>
          <w:p>
            <w:pPr>
              <w:adjustRightInd w:val="0"/>
              <w:snapToGrid w:val="0"/>
              <w:ind w:left="-105" w:right="-105" w:leftChars="-50" w:rightChars="-5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rPr>
              <w:t>80户320人</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6111" w:type="dxa"/>
            <w:gridSpan w:val="5"/>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厂址周边500m范围内人口数小计</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0</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6111" w:type="dxa"/>
            <w:gridSpan w:val="5"/>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厂址周边5km范围内人口数小计</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27776</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6111" w:type="dxa"/>
            <w:gridSpan w:val="5"/>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大气环境敏感程度E值</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E2</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val="restart"/>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地表水</w:t>
            </w:r>
          </w:p>
        </w:tc>
        <w:tc>
          <w:tcPr>
            <w:tcW w:w="7864" w:type="dxa"/>
            <w:gridSpan w:val="6"/>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受纳水体</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序号</w:t>
            </w:r>
          </w:p>
        </w:tc>
        <w:tc>
          <w:tcPr>
            <w:tcW w:w="2960"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受纳水体名称</w:t>
            </w:r>
          </w:p>
        </w:tc>
        <w:tc>
          <w:tcPr>
            <w:tcW w:w="2357"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排放点水域环境功能</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24h内流经范围/km</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1</w:t>
            </w:r>
          </w:p>
        </w:tc>
        <w:tc>
          <w:tcPr>
            <w:tcW w:w="2960"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赣江</w:t>
            </w:r>
          </w:p>
        </w:tc>
        <w:tc>
          <w:tcPr>
            <w:tcW w:w="2357"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color w:val="auto"/>
                <w:sz w:val="21"/>
                <w:szCs w:val="21"/>
                <w:highlight w:val="none"/>
              </w:rPr>
              <w:t>III类</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2960"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2357"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864" w:type="dxa"/>
            <w:gridSpan w:val="6"/>
            <w:tcBorders>
              <w:tl2br w:val="nil"/>
              <w:tr2bl w:val="nil"/>
            </w:tcBorders>
            <w:vAlign w:val="center"/>
          </w:tcPr>
          <w:p>
            <w:pPr>
              <w:spacing w:after="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内陆水体排放点下游10</w:t>
            </w:r>
          </w:p>
        </w:tc>
      </w:tr>
    </w:tbl>
    <w:p>
      <w:pPr>
        <w:sectPr>
          <w:footerReference w:type="default" r:id="rId19"/>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5"/>
          <w:cols w:space="708"/>
          <w:titlePg w:val="0"/>
          <w:docGrid w:type="lines" w:linePitch="312"/>
        </w:sectPr>
      </w:pPr>
    </w:p>
    <w:tbl>
      <w:tblPr>
        <w:tblStyle w:val="5"/>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51" w:type="dxa"/>
          <w:bottom w:w="0" w:type="dxa"/>
          <w:right w:w="51" w:type="dxa"/>
        </w:tblCellMar>
        <w:tblLook w:val="0000"/>
      </w:tblPr>
      <w:tblGrid>
        <w:gridCol w:w="1310"/>
        <w:gridCol w:w="794"/>
        <w:gridCol w:w="1827"/>
        <w:gridCol w:w="1133"/>
        <w:gridCol w:w="1136"/>
        <w:gridCol w:w="1221"/>
        <w:gridCol w:w="1753"/>
      </w:tblGrid>
      <w:tr>
        <w:tblPrEx>
          <w:jc w:val="center"/>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top w:w="0" w:type="dxa"/>
            <w:left w:w="51" w:type="dxa"/>
            <w:bottom w:w="0" w:type="dxa"/>
            <w:right w:w="51" w:type="dxa"/>
          </w:tblCellMar>
          <w:tblLook w:val="0000"/>
        </w:tblPrEx>
        <w:trPr>
          <w:trHeight w:val="340"/>
          <w:jc w:val="center"/>
        </w:trPr>
        <w:tc>
          <w:tcPr>
            <w:tcW w:w="1310" w:type="dxa"/>
            <w:vMerge w:val="restart"/>
            <w:tcBorders>
              <w:tl2br w:val="nil"/>
              <w:tr2bl w:val="nil"/>
            </w:tcBorders>
            <w:vAlign w:val="center"/>
          </w:tcPr>
          <w:p/>
        </w:tc>
        <w:tc>
          <w:tcPr>
            <w:tcW w:w="7864" w:type="dxa"/>
            <w:gridSpan w:val="6"/>
            <w:tcBorders>
              <w:tl2br w:val="nil"/>
              <w:tr2bl w:val="nil"/>
            </w:tcBorders>
            <w:vAlign w:val="center"/>
          </w:tcPr>
          <w:p>
            <w:pPr>
              <w:spacing w:before="0"/>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 xml:space="preserve"> km（近岸海域一个潮周期最大水平距离两倍）范围内敏感目标</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序号</w:t>
            </w: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敏感目标名称</w:t>
            </w: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环境敏感特征</w:t>
            </w:r>
          </w:p>
        </w:tc>
        <w:tc>
          <w:tcPr>
            <w:tcW w:w="2357"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水质目标</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与排放点距离/m</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2357"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2357" w:type="dxa"/>
            <w:gridSpan w:val="2"/>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6111" w:type="dxa"/>
            <w:gridSpan w:val="5"/>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地表水环境敏感程度E值</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E2</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val="restart"/>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地下水</w:t>
            </w: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序号</w:t>
            </w: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环境敏感区名称</w:t>
            </w: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环境敏感特征</w:t>
            </w:r>
          </w:p>
        </w:tc>
        <w:tc>
          <w:tcPr>
            <w:tcW w:w="1136"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水质目标</w:t>
            </w:r>
          </w:p>
        </w:tc>
        <w:tc>
          <w:tcPr>
            <w:tcW w:w="1221"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包气带防污性能</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与下游厂界距离/m</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136"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221"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w:t>
            </w: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794"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827"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13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136"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221"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r>
      <w:tr>
        <w:tblPrEx>
          <w:jc w:val="center"/>
          <w:tblLayout w:type="fixed"/>
          <w:tblCellMar>
            <w:top w:w="0" w:type="dxa"/>
            <w:left w:w="51" w:type="dxa"/>
            <w:bottom w:w="0" w:type="dxa"/>
            <w:right w:w="51" w:type="dxa"/>
          </w:tblCellMar>
          <w:tblLook w:val="0000"/>
        </w:tblPrEx>
        <w:trPr>
          <w:trHeight w:val="340"/>
          <w:jc w:val="center"/>
        </w:trPr>
        <w:tc>
          <w:tcPr>
            <w:tcW w:w="1310" w:type="dxa"/>
            <w:vMerge/>
            <w:tcBorders>
              <w:tl2br w:val="nil"/>
              <w:tr2bl w:val="nil"/>
            </w:tcBorders>
            <w:vAlign w:val="center"/>
          </w:tcPr>
          <w:p>
            <w:pPr>
              <w:jc w:val="center"/>
              <w:rPr>
                <w:rFonts w:ascii="Times New Roman" w:hAnsi="Times New Roman" w:hint="default"/>
                <w:b w:val="0"/>
                <w:bCs w:val="0"/>
                <w:color w:val="auto"/>
                <w:szCs w:val="21"/>
                <w:highlight w:val="none"/>
                <w:vertAlign w:val="baseline"/>
              </w:rPr>
            </w:pPr>
          </w:p>
        </w:tc>
        <w:tc>
          <w:tcPr>
            <w:tcW w:w="6111" w:type="dxa"/>
            <w:gridSpan w:val="5"/>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地下水环境敏感程度E值</w:t>
            </w:r>
          </w:p>
        </w:tc>
        <w:tc>
          <w:tcPr>
            <w:tcW w:w="1753" w:type="dxa"/>
            <w:tcBorders>
              <w:tl2br w:val="nil"/>
              <w:tr2bl w:val="nil"/>
            </w:tcBorders>
            <w:vAlign w:val="center"/>
          </w:tcPr>
          <w:p>
            <w:pPr>
              <w:jc w:val="center"/>
              <w:rPr>
                <w:rFonts w:ascii="Times New Roman" w:hAnsi="Times New Roman" w:hint="default"/>
                <w:b w:val="0"/>
                <w:bCs w:val="0"/>
                <w:color w:val="auto"/>
                <w:szCs w:val="21"/>
                <w:highlight w:val="none"/>
                <w:vertAlign w:val="baseline"/>
              </w:rPr>
            </w:pPr>
            <w:r>
              <w:rPr>
                <w:rFonts w:ascii="Times New Roman" w:hAnsi="Times New Roman" w:cs="Times New Roman" w:hint="default"/>
                <w:b w:val="0"/>
                <w:bCs w:val="0"/>
                <w:color w:val="auto"/>
                <w:sz w:val="21"/>
                <w:szCs w:val="21"/>
                <w:highlight w:val="none"/>
                <w:vertAlign w:val="baseline"/>
                <w:lang w:val="en-US" w:eastAsia="zh-CN"/>
              </w:rPr>
              <w:t>E3</w:t>
            </w:r>
          </w:p>
        </w:tc>
      </w:tr>
    </w:tbl>
    <w:p>
      <w:pPr>
        <w:pStyle w:val="Heading2"/>
        <w:rPr>
          <w:rFonts w:cs="Times New Roman" w:hint="default"/>
          <w:color w:val="auto"/>
          <w:sz w:val="32"/>
          <w:szCs w:val="36"/>
          <w:lang w:val="en-US" w:eastAsia="zh-CN"/>
        </w:rPr>
      </w:pPr>
      <w:bookmarkStart w:id="10" w:name="_Toc1992"/>
      <w:r>
        <w:rPr>
          <w:rFonts w:ascii="Times New Roman" w:hAnsi="Times New Roman" w:cs="Times New Roman" w:hint="default"/>
          <w:color w:val="auto"/>
          <w:sz w:val="32"/>
          <w:szCs w:val="36"/>
          <w:lang w:val="en-US" w:eastAsia="zh-CN"/>
        </w:rPr>
        <w:t>1.3 环境风险识别</w:t>
      </w:r>
      <w:bookmarkEnd w:id="10"/>
    </w:p>
    <w:p>
      <w:pPr>
        <w:pStyle w:val="BodyText"/>
        <w:keepNext w:val="0"/>
        <w:keepLines w:val="0"/>
        <w:pageBreakBefore w:val="0"/>
        <w:widowControl w:val="0"/>
        <w:kinsoku/>
        <w:wordWrap/>
        <w:overflowPunct/>
        <w:topLinePunct w:val="0"/>
        <w:autoSpaceDE/>
        <w:autoSpaceDN/>
        <w:bidi w:val="0"/>
        <w:adjustRightInd/>
        <w:snapToGrid/>
        <w:spacing w:before="113" w:line="360" w:lineRule="auto"/>
        <w:ind w:left="0" w:right="0" w:firstLine="480" w:firstLineChars="200"/>
        <w:jc w:val="both"/>
        <w:textAlignment w:val="auto"/>
        <w:outlineLvl w:val="9"/>
        <w:rPr>
          <w:rFonts w:ascii="Times New Roman" w:hAnsi="Times New Roman" w:cs="Times New Roman" w:hint="default"/>
          <w:color w:val="auto"/>
          <w:kern w:val="2"/>
          <w:sz w:val="24"/>
          <w:szCs w:val="24"/>
          <w:lang w:val="en-US" w:eastAsia="zh-CN" w:bidi="ar-SA"/>
        </w:rPr>
      </w:pPr>
      <w:r>
        <w:rPr>
          <w:rFonts w:ascii="Times New Roman" w:eastAsia="宋体" w:hAnsi="Times New Roman" w:cs="Times New Roman" w:hint="default"/>
          <w:color w:val="auto"/>
          <w:kern w:val="2"/>
          <w:sz w:val="24"/>
          <w:szCs w:val="24"/>
          <w:lang w:val="en-US" w:eastAsia="zh-CN" w:bidi="ar-SA"/>
        </w:rPr>
        <w:t>环境风险识别范围包括：</w:t>
      </w:r>
      <w:r>
        <w:rPr>
          <w:rFonts w:ascii="Times New Roman" w:eastAsia="宋体" w:hAnsi="Times New Roman" w:cs="Times New Roman" w:hint="default"/>
          <w:color w:val="auto"/>
          <w:kern w:val="2"/>
          <w:sz w:val="24"/>
          <w:szCs w:val="24"/>
          <w:lang w:val="en-US" w:eastAsia="zh-CN" w:bidi="ar-SA"/>
        </w:rPr>
        <w:t>①</w:t>
      </w:r>
      <w:r>
        <w:rPr>
          <w:rFonts w:ascii="Times New Roman" w:eastAsia="宋体" w:hAnsi="Times New Roman" w:cs="Times New Roman" w:hint="default"/>
          <w:color w:val="auto"/>
          <w:kern w:val="2"/>
          <w:sz w:val="24"/>
          <w:szCs w:val="24"/>
          <w:lang w:val="en-US" w:eastAsia="zh-CN" w:bidi="ar-SA"/>
        </w:rPr>
        <w:t>物质风险识别；</w:t>
      </w:r>
      <w:r>
        <w:rPr>
          <w:rFonts w:ascii="Times New Roman" w:eastAsia="宋体" w:hAnsi="Times New Roman" w:cs="Times New Roman" w:hint="default"/>
          <w:color w:val="auto"/>
          <w:kern w:val="2"/>
          <w:sz w:val="24"/>
          <w:szCs w:val="24"/>
          <w:lang w:val="en-US" w:eastAsia="zh-CN" w:bidi="ar-SA"/>
        </w:rPr>
        <w:t>②</w:t>
      </w:r>
      <w:r>
        <w:rPr>
          <w:rFonts w:ascii="Times New Roman" w:eastAsia="宋体" w:hAnsi="Times New Roman" w:cs="Times New Roman" w:hint="default"/>
          <w:color w:val="auto"/>
          <w:kern w:val="2"/>
          <w:sz w:val="24"/>
          <w:szCs w:val="24"/>
          <w:lang w:val="en-US" w:eastAsia="zh-CN" w:bidi="ar-SA"/>
        </w:rPr>
        <w:t>生产设施风险识别。物质风险识别范围包括：包括主要原辅材料、燃料、中间产品、副产品、最终产品、污染物、火灾和爆炸伴生/次生物。生产设施风险识别范围包括：主要生产装置、储运设施、公用工程和辅助生产设施以及环境保护设施等。</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9"/>
        <w:rPr>
          <w:rFonts w:ascii="Times New Roman" w:hAnsi="Times New Roman" w:hint="default"/>
          <w:color w:val="auto"/>
          <w:sz w:val="24"/>
        </w:rPr>
      </w:pPr>
      <w:r>
        <w:rPr>
          <w:rFonts w:ascii="Times New Roman" w:eastAsia="宋体" w:hAnsi="Times New Roman" w:cs="Times New Roman" w:hint="default"/>
          <w:color w:val="auto"/>
          <w:kern w:val="2"/>
          <w:sz w:val="24"/>
          <w:szCs w:val="24"/>
          <w:lang w:val="en-US" w:eastAsia="zh-CN" w:bidi="ar-SA"/>
        </w:rPr>
        <w:t>危险物质向环境转移的途径识别，包括分析危险物质特性及可能的环境风险类型，识别危险物质影响环境的途径，分析可能影响的环境敏感目标。</w:t>
      </w: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11" w:name="_Toc6887"/>
      <w:r>
        <w:rPr>
          <w:rFonts w:ascii="Times New Roman" w:hAnsi="Times New Roman" w:cs="Times New Roman" w:hint="default"/>
          <w:color w:val="auto"/>
          <w:sz w:val="28"/>
          <w:szCs w:val="28"/>
          <w:lang w:val="en-US" w:eastAsia="zh-CN"/>
        </w:rPr>
        <w:t>1.3.1 危险物质识别</w:t>
      </w:r>
      <w:bookmarkEnd w:id="1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20"/>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6"/>
          <w:cols w:space="708"/>
          <w:titlePg w:val="0"/>
          <w:docGrid w:type="lines" w:linePitch="312"/>
        </w:sectPr>
      </w:pPr>
      <w:r>
        <w:rPr>
          <w:rFonts w:ascii="Times New Roman" w:hAnsi="Times New Roman" w:cs="Times New Roman" w:hint="default"/>
          <w:color w:val="auto"/>
          <w:sz w:val="24"/>
          <w:szCs w:val="24"/>
          <w:lang w:val="en-US" w:eastAsia="zh-CN"/>
        </w:rPr>
        <w:t>根据《危险化学品目录（2015版）》识别，本项目生产使用的原辅材料、工作槽液、危险废液可能对环境和健康造成危险和损害的物质为：氨水、氢氧化钠、硫酸、盐酸、硝酸等，具有腐蚀性、毒性、强氧化性等危险特征，如管理不善或人为操作失误，发生泄漏或燃烧爆炸后进入环境，进而造成环境污染事故，具有一定的环境风险。根据建设单位提供的资料，危险物质的危险性识别见表1.3-1。</w:t>
      </w:r>
    </w:p>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表1.3-1  本项目主要原辅材料中具风险性的物质储存量和危险特性一览表</w:t>
      </w:r>
    </w:p>
    <w:tbl>
      <w:tblPr>
        <w:tblStyle w:val="6"/>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序号</w:t>
            </w:r>
          </w:p>
        </w:tc>
        <w:tc>
          <w:tcPr>
            <w:tcW w:w="1050" w:type="dxa"/>
            <w:tcBorders>
              <w:tl2br w:val="nil"/>
              <w:tr2bl w:val="nil"/>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物质名称</w:t>
            </w:r>
          </w:p>
        </w:tc>
        <w:tc>
          <w:tcPr>
            <w:tcW w:w="1407" w:type="dxa"/>
            <w:tcBorders>
              <w:tl2br w:val="nil"/>
              <w:tr2bl w:val="nil"/>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危险特性</w:t>
            </w:r>
          </w:p>
        </w:tc>
        <w:tc>
          <w:tcPr>
            <w:tcW w:w="4062" w:type="dxa"/>
            <w:tcBorders>
              <w:tl2br w:val="nil"/>
              <w:tr2bl w:val="nil"/>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健康危害</w:t>
            </w:r>
          </w:p>
        </w:tc>
        <w:tc>
          <w:tcPr>
            <w:tcW w:w="7041" w:type="dxa"/>
            <w:tcBorders>
              <w:tl2br w:val="nil"/>
              <w:tr2bl w:val="nil"/>
            </w:tcBorders>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应急及毒性消除措施</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氨水</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吸入后对鼻、喉和肺有刺激性，引起咳嗽、气短和哮喘等；重者发生喉头水肿、肺水肿及心、肝、肾损害。溅入眼内可造成灼伤。口服灼伤消化道。慢性影响反复低浓度接触，可引起支气管炎；可致皮炎。</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危险特性：易分解放出氨气，温度越高，分解速度越快，可形成爆炸性气氨。</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建议应急处理人员戴自给正压式呼吸器，穿防酸碱工作服。不要直接接触泄漏物，尽可能切断泄漏源。防止进入下水道、排洪沟等限制性空间。</w:t>
            </w:r>
          </w:p>
          <w:p>
            <w:pPr>
              <w:jc w:val="both"/>
              <w:rPr>
                <w:rFonts w:ascii="Times New Roman" w:hAnsi="Times New Roman" w:hint="default"/>
                <w:color w:val="auto"/>
              </w:rPr>
            </w:pPr>
            <w:r>
              <w:rPr>
                <w:rFonts w:ascii="Times New Roman" w:hAnsi="Times New Roman" w:cs="Times New Roman" w:hint="default"/>
                <w:color w:val="auto"/>
                <w:lang w:val="en-US" w:eastAsia="zh-CN"/>
              </w:rPr>
              <w:t>小量泄漏：用砂土、蛭石或其它惰性材料吸收。也可用大量水冲洗，洗水稀释后放入废水系统。大量泄漏：构筑围堤或挖坑收容；用泵转移至槽车或专用收集器内，回收或运至废物处理处处置。</w:t>
            </w:r>
          </w:p>
          <w:p>
            <w:pPr>
              <w:jc w:val="both"/>
              <w:rPr>
                <w:rFonts w:ascii="Times New Roman" w:hAnsi="Times New Roman" w:hint="default"/>
                <w:color w:val="auto"/>
              </w:rPr>
            </w:pPr>
            <w:r>
              <w:rPr>
                <w:rFonts w:ascii="Times New Roman" w:hAnsi="Times New Roman" w:cs="Times New Roman" w:hint="default"/>
                <w:color w:val="auto"/>
                <w:lang w:val="en-US" w:eastAsia="zh-CN"/>
              </w:rPr>
              <w:t>防护措施：工程控制：严加密封，提供充分的局部排风和全面通风。提供安全沐浴和洗眼设备。呼吸系统防护：可能接触其蒸汽时，应佩戴导管式防毒面具或直接式防毒面具。眼睛防护：戴化学安全防护眼镜。身体防护：穿防酸碱工作服。手防护：戴橡胶手套。</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立即脱去污染的衣着，用大量流动清水冲洗至少15分钟。就医。眼睛接触：立即提起眼睑，用大量流动清水或生理盐水彻底冲洗至少15分钟。就医。吸入：迅速脱离现场至空气新鲜处。保持呼吸通畅。如呼吸困难，给输氧。如呼吸停止，立即进行人工呼吸。就医。食入：用水漱口，给饮牛奶或蛋清。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灭火剂：水、雾状水、砂土。</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氢氧化钠</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健康危害：本品有强烈刺激和腐蚀性。粉尘或烟雾刺激眼和呼吸道，腐蚀鼻中隔；皮肤和眼直接接触可引起灼伤；误服可造成消化道灼伤，粘膜糜烂、出血和休克。</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危险特性：本品不会燃烧，遇水和水蒸气大量放热，形成腐蚀性溶液。与酸发生中和反应并放热。具有强腐蚀性。</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隔离泄漏污染区，周围设警告标志，建议应急处理人员戴好防毒面具，穿化学防护服。不要直接接触泄漏物，用洁清的铲子收集于干燥净洁有盖的容器中，以少量加入大量水中，调节至中性，再放入废水系统。也可以用大量水冲洗，经稀释的洗水放入废水系统。如大量泄漏，收集回收或无害处理后废弃。</w:t>
            </w:r>
          </w:p>
          <w:p>
            <w:pPr>
              <w:jc w:val="both"/>
              <w:rPr>
                <w:rFonts w:ascii="Times New Roman" w:hAnsi="Times New Roman" w:hint="default"/>
                <w:color w:val="auto"/>
              </w:rPr>
            </w:pPr>
            <w:r>
              <w:rPr>
                <w:rFonts w:ascii="Times New Roman" w:hAnsi="Times New Roman" w:cs="Times New Roman" w:hint="default"/>
                <w:color w:val="auto"/>
                <w:lang w:val="en-US" w:eastAsia="zh-CN"/>
              </w:rPr>
              <w:t>防护措施：呼吸系统防护：必要时佩带防毒口罩。 眼睛防护：戴化学安全防护眼镜。防护服：穿工作服（防腐材料制作）。手防护：戴橡皮手套。其它：工作后，淋浴更衣。</w:t>
            </w:r>
          </w:p>
          <w:p>
            <w:pPr>
              <w:spacing w:after="0"/>
              <w:jc w:val="both"/>
              <w:rPr>
                <w:rFonts w:ascii="Times New Roman" w:hAnsi="Times New Roman" w:hint="default"/>
                <w:color w:val="auto"/>
              </w:rPr>
            </w:pPr>
          </w:p>
        </w:tc>
      </w:tr>
    </w:tbl>
    <w:p>
      <w:pPr>
        <w:sectPr>
          <w:footerReference w:type="default" r:id="rId21"/>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7"/>
          <w:cols w:space="708"/>
          <w:docGrid w:type="lines" w:linePitch="312"/>
        </w:sectPr>
      </w:pPr>
    </w:p>
    <w:tbl>
      <w:tblPr>
        <w:tblStyle w:val="7"/>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tc>
        <w:tc>
          <w:tcPr>
            <w:tcW w:w="7041"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急救措施：皮肤接触：立即用水冲洗至少15分钟。若有灼伤，就医治疗。眼睛接触：立即提起眼睑，用流动清水或生理盐水冲洗至少15分钟。或用3%硼酸溶液冲洗。就医。吸入：迅速脱离现场至空气新鲜处。必要时进行人工呼吸。就医。食入：患者清醒时立即漱口，口服稀释的醋或柠檬汁，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灭火方法：雾状水、砂土。</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过硫酸钠</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5.1 氧化性物质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健康危害：对眼、上呼吸道和皮肤有刺激性。某些敏感个体接触本品后，可能发生皮疹和（或）哮喘。</w:t>
            </w:r>
          </w:p>
          <w:p>
            <w:pPr>
              <w:jc w:val="both"/>
              <w:rPr>
                <w:rFonts w:ascii="Times New Roman" w:hAnsi="Times New Roman" w:hint="default"/>
                <w:color w:val="auto"/>
              </w:rPr>
            </w:pPr>
            <w:r>
              <w:rPr>
                <w:rFonts w:ascii="Times New Roman" w:hAnsi="Times New Roman" w:cs="Times New Roman" w:hint="default"/>
                <w:color w:val="auto"/>
                <w:lang w:val="en-US" w:eastAsia="zh-CN"/>
              </w:rPr>
              <w:t>环境危害：本品助燃，具刺激性。</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危险特性：无机氧化剂。与有机物、还原剂、易燃物如硫、磷等接触或混合时有引起燃烧爆炸的危险。急剧加热时可发生爆炸。</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皮肤接触：脱去污染的衣着，用大量流动清水冲洗。</w:t>
            </w:r>
          </w:p>
          <w:p>
            <w:pPr>
              <w:jc w:val="both"/>
              <w:rPr>
                <w:rFonts w:ascii="Times New Roman" w:hAnsi="Times New Roman" w:hint="default"/>
                <w:color w:val="auto"/>
              </w:rPr>
            </w:pPr>
            <w:r>
              <w:rPr>
                <w:rFonts w:ascii="Times New Roman" w:hAnsi="Times New Roman" w:cs="Times New Roman" w:hint="default"/>
                <w:color w:val="auto"/>
                <w:lang w:val="en-US" w:eastAsia="zh-CN"/>
              </w:rPr>
              <w:t>眼睛接触：提起眼睑，用流动清水或生理盐水冲洗。就医。</w:t>
            </w:r>
          </w:p>
          <w:p>
            <w:pPr>
              <w:jc w:val="both"/>
              <w:rPr>
                <w:rFonts w:ascii="Times New Roman" w:hAnsi="Times New Roman" w:hint="default"/>
                <w:color w:val="auto"/>
              </w:rPr>
            </w:pPr>
            <w:r>
              <w:rPr>
                <w:rFonts w:ascii="Times New Roman" w:hAnsi="Times New Roman" w:cs="Times New Roman" w:hint="default"/>
                <w:color w:val="auto"/>
                <w:lang w:val="en-US" w:eastAsia="zh-CN"/>
              </w:rPr>
              <w:t>吸入：迅速脱离现场至空气新鲜处。保持呼吸道通畅。如呼吸困难，给输氧。</w:t>
            </w:r>
          </w:p>
          <w:p>
            <w:pPr>
              <w:jc w:val="both"/>
              <w:rPr>
                <w:rFonts w:ascii="Times New Roman" w:hAnsi="Times New Roman" w:hint="default"/>
                <w:color w:val="auto"/>
              </w:rPr>
            </w:pPr>
            <w:r>
              <w:rPr>
                <w:rFonts w:ascii="Times New Roman" w:hAnsi="Times New Roman" w:cs="Times New Roman" w:hint="default"/>
                <w:color w:val="auto"/>
                <w:lang w:val="en-US" w:eastAsia="zh-CN"/>
              </w:rPr>
              <w:t>如呼吸停止，立即进行人工呼吸。就医。</w:t>
            </w:r>
          </w:p>
          <w:p>
            <w:pPr>
              <w:jc w:val="both"/>
              <w:rPr>
                <w:rFonts w:ascii="Times New Roman" w:hAnsi="Times New Roman" w:hint="default"/>
                <w:color w:val="auto"/>
              </w:rPr>
            </w:pPr>
            <w:r>
              <w:rPr>
                <w:rFonts w:ascii="Times New Roman" w:hAnsi="Times New Roman" w:cs="Times New Roman" w:hint="default"/>
                <w:color w:val="auto"/>
                <w:lang w:val="en-US" w:eastAsia="zh-CN"/>
              </w:rPr>
              <w:t>食入：饮足量温水，催吐。就医。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灭火方法：采用雾状水、泡沫、砂土灭火。</w:t>
            </w:r>
          </w:p>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隔离泄漏污染区，限制出入。建议应急处理人员戴防尘面具（全面罩），穿防毒服。不要直接接触泄漏物。勿使泄漏物与有机物、还原剂、易燃物接触。小量泄漏：将地面洒上苏打灰，收集于干燥、洁净、有盖的容器中。</w:t>
            </w:r>
          </w:p>
          <w:p>
            <w:pPr>
              <w:jc w:val="both"/>
              <w:rPr>
                <w:rFonts w:ascii="Times New Roman" w:hAnsi="Times New Roman" w:hint="default"/>
                <w:color w:val="auto"/>
              </w:rPr>
            </w:pPr>
            <w:r>
              <w:rPr>
                <w:rFonts w:ascii="Times New Roman" w:hAnsi="Times New Roman" w:cs="Times New Roman" w:hint="default"/>
                <w:color w:val="auto"/>
                <w:lang w:val="en-US" w:eastAsia="zh-CN"/>
              </w:rPr>
              <w:t>也可以用大量水冲洗，洗水稀释后放入废水系统。大量泄漏：用塑料布、帆布覆盖。然后收集回收或运至废物处理场所处置。</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硫酸</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健康危害：本品腐蚀性强，能严重灼伤眼睛盒皮肤。稀酸也能强烈刺激眼睛造成灼伤，并能刺激皮肤产生皮炎，进入眼中有失明危险。对上呼吸道有强烈刺激作用。</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本身不燃，有强烈腐蚀性及吸水性，遇水发生高热而飞溅，与许多物质解除猛烈反应，放出高热，并可引起燃烧。遇电石、高氯酸盐、雷酸盐、硝酸盐、苦味酸盐、金属粉末及其它可燃物等能猛烈反应，发生爆炸或者火。遇金属即反应放出氢气。</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应急、消防措施：用水、干粉或二氧化碳灭火。避免直接将水喷入硫酸，以免遇水会放出大量热灼伤皮肤。消防人员必须穿戴全身防护服及其用品，防治灼伤。</w:t>
            </w:r>
          </w:p>
          <w:p>
            <w:pPr>
              <w:jc w:val="both"/>
              <w:rPr>
                <w:rFonts w:ascii="Times New Roman" w:hAnsi="Times New Roman" w:hint="default"/>
                <w:color w:val="auto"/>
              </w:rPr>
            </w:pPr>
            <w:r>
              <w:rPr>
                <w:rFonts w:ascii="Times New Roman" w:hAnsi="Times New Roman" w:cs="Times New Roman" w:hint="default"/>
                <w:color w:val="auto"/>
                <w:lang w:val="en-US" w:eastAsia="zh-CN"/>
              </w:rPr>
              <w:t>泄漏处理：泄漏物处理必须戴好全身耐酸防护服、防毒面具与橡皮手套。污染地面撒上碳酸钠中和后，用水冲洗，经稀释的污水放入废水系统。</w:t>
            </w:r>
          </w:p>
          <w:p>
            <w:pPr>
              <w:jc w:val="both"/>
              <w:rPr>
                <w:rFonts w:ascii="Times New Roman" w:hAnsi="Times New Roman" w:hint="default"/>
                <w:color w:val="auto"/>
              </w:rPr>
            </w:pPr>
            <w:r>
              <w:rPr>
                <w:rFonts w:ascii="Times New Roman" w:hAnsi="Times New Roman" w:cs="Times New Roman" w:hint="default"/>
                <w:color w:val="auto"/>
                <w:lang w:val="en-US" w:eastAsia="zh-CN"/>
              </w:rPr>
              <w:t>急救：脱去污染衣物，洗净后再用。皮肤接触用大量水冲洗15分钟以上，并用碱性溶液中和。眼睛刺激，则冲洗的水流不宜过急。解除硫酸蒸汽时应立即使患者脱离污染区，脱去可疑的污染衣物，吸入2%的碳酸氢钠气雾剂。患者应休息，并尽快转送医院。误服立即漱口，急送医院抢救。</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盐酸</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健康危害：接触其蒸气或烟雾，可引起急</w:t>
            </w:r>
          </w:p>
          <w:p>
            <w:pPr>
              <w:jc w:val="both"/>
              <w:rPr>
                <w:rFonts w:ascii="Times New Roman" w:hAnsi="Times New Roman" w:hint="default"/>
                <w:color w:val="auto"/>
              </w:rPr>
            </w:pPr>
            <w:r>
              <w:rPr>
                <w:rFonts w:ascii="Times New Roman" w:hAnsi="Times New Roman" w:cs="Times New Roman" w:hint="default"/>
                <w:color w:val="auto"/>
                <w:lang w:val="en-US" w:eastAsia="zh-CN"/>
              </w:rPr>
              <w:t>性中毒，出现眼结膜炎，鼻及口腔粘膜有</w:t>
            </w:r>
          </w:p>
          <w:p>
            <w:pPr>
              <w:jc w:val="both"/>
              <w:rPr>
                <w:rFonts w:ascii="Times New Roman" w:hAnsi="Times New Roman" w:hint="default"/>
                <w:color w:val="auto"/>
              </w:rPr>
            </w:pPr>
            <w:r>
              <w:rPr>
                <w:rFonts w:ascii="Times New Roman" w:hAnsi="Times New Roman" w:cs="Times New Roman" w:hint="default"/>
                <w:color w:val="auto"/>
                <w:lang w:val="en-US" w:eastAsia="zh-CN"/>
              </w:rPr>
              <w:t>烧灼感，鼻衄、齿龈出血，气管炎等。误</w:t>
            </w:r>
          </w:p>
          <w:p>
            <w:pPr>
              <w:jc w:val="both"/>
              <w:rPr>
                <w:rFonts w:ascii="Times New Roman" w:hAnsi="Times New Roman" w:hint="default"/>
                <w:color w:val="auto"/>
              </w:rPr>
            </w:pPr>
            <w:r>
              <w:rPr>
                <w:rFonts w:ascii="Times New Roman" w:hAnsi="Times New Roman" w:cs="Times New Roman" w:hint="default"/>
                <w:color w:val="auto"/>
                <w:lang w:val="en-US" w:eastAsia="zh-CN"/>
              </w:rPr>
              <w:t>服可引起消化道灼伤、溃疡形成，有可能</w:t>
            </w:r>
          </w:p>
        </w:tc>
        <w:tc>
          <w:tcPr>
            <w:tcW w:w="7041" w:type="dxa"/>
            <w:tcBorders>
              <w:tl2br w:val="nil"/>
              <w:tr2bl w:val="nil"/>
            </w:tcBorders>
            <w:vAlign w:val="center"/>
          </w:tcPr>
          <w:p>
            <w:pPr>
              <w:spacing w:after="0"/>
              <w:jc w:val="both"/>
              <w:rPr>
                <w:rFonts w:ascii="Times New Roman" w:hAnsi="Times New Roman" w:hint="default"/>
                <w:color w:val="auto"/>
              </w:rPr>
            </w:pPr>
          </w:p>
        </w:tc>
      </w:tr>
    </w:tbl>
    <w:p>
      <w:pPr>
        <w:sectPr>
          <w:footerReference w:type="default" r:id="rId22"/>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8"/>
          <w:cols w:space="708"/>
          <w:titlePg w:val="0"/>
          <w:docGrid w:type="lines" w:linePitch="312"/>
        </w:sectPr>
      </w:pPr>
    </w:p>
    <w:tbl>
      <w:tblPr>
        <w:tblStyle w:val="8"/>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引起胃穿孔、腹膜炎等。眼和皮肤接触可</w:t>
            </w:r>
          </w:p>
          <w:p>
            <w:pPr>
              <w:jc w:val="both"/>
              <w:rPr>
                <w:rFonts w:ascii="Times New Roman" w:hAnsi="Times New Roman" w:hint="default"/>
                <w:color w:val="auto"/>
              </w:rPr>
            </w:pPr>
            <w:r>
              <w:rPr>
                <w:rFonts w:ascii="Times New Roman" w:hAnsi="Times New Roman" w:cs="Times New Roman" w:hint="default"/>
                <w:color w:val="auto"/>
                <w:lang w:val="en-US" w:eastAsia="zh-CN"/>
              </w:rPr>
              <w:t>致灼伤。慢性影响：长期接触，引起慢性</w:t>
            </w:r>
          </w:p>
          <w:p>
            <w:pPr>
              <w:jc w:val="both"/>
              <w:rPr>
                <w:rFonts w:ascii="Times New Roman" w:hAnsi="Times New Roman" w:hint="default"/>
                <w:color w:val="auto"/>
              </w:rPr>
            </w:pPr>
            <w:r>
              <w:rPr>
                <w:rFonts w:ascii="Times New Roman" w:hAnsi="Times New Roman" w:cs="Times New Roman" w:hint="default"/>
                <w:color w:val="auto"/>
                <w:lang w:val="en-US" w:eastAsia="zh-CN"/>
              </w:rPr>
              <w:t>鼻炎、慢性支气管炎、牙齿酸蚀症及皮肤损害。</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危险特性：本品不燃，具强腐蚀性、强刺</w:t>
            </w:r>
          </w:p>
          <w:p>
            <w:pPr>
              <w:jc w:val="both"/>
              <w:rPr>
                <w:rFonts w:ascii="Times New Roman" w:hAnsi="Times New Roman" w:hint="default"/>
                <w:color w:val="auto"/>
              </w:rPr>
            </w:pPr>
            <w:r>
              <w:rPr>
                <w:rFonts w:ascii="Times New Roman" w:hAnsi="Times New Roman" w:cs="Times New Roman" w:hint="default"/>
                <w:color w:val="auto"/>
                <w:lang w:val="en-US" w:eastAsia="zh-CN"/>
              </w:rPr>
              <w:t>激性，可致人体灼伤。即能与一些活性金</w:t>
            </w:r>
          </w:p>
          <w:p>
            <w:pPr>
              <w:jc w:val="both"/>
              <w:rPr>
                <w:rFonts w:ascii="Times New Roman" w:hAnsi="Times New Roman" w:hint="default"/>
                <w:color w:val="auto"/>
              </w:rPr>
            </w:pPr>
            <w:r>
              <w:rPr>
                <w:rFonts w:ascii="Times New Roman" w:hAnsi="Times New Roman" w:cs="Times New Roman" w:hint="default"/>
                <w:color w:val="auto"/>
                <w:lang w:val="en-US" w:eastAsia="zh-CN"/>
              </w:rPr>
              <w:t>属粉末发生反应， 放出氢气。遇氰化物能</w:t>
            </w:r>
          </w:p>
          <w:p>
            <w:pPr>
              <w:jc w:val="both"/>
              <w:rPr>
                <w:rFonts w:ascii="Times New Roman" w:hAnsi="Times New Roman" w:hint="default"/>
                <w:color w:val="auto"/>
              </w:rPr>
            </w:pPr>
            <w:r>
              <w:rPr>
                <w:rFonts w:ascii="Times New Roman" w:hAnsi="Times New Roman" w:cs="Times New Roman" w:hint="default"/>
                <w:color w:val="auto"/>
                <w:lang w:val="en-US" w:eastAsia="zh-CN"/>
              </w:rPr>
              <w:t>产生剧毒的氰化氢气体。与碱发生中和反</w:t>
            </w:r>
          </w:p>
          <w:p>
            <w:pPr>
              <w:jc w:val="both"/>
              <w:rPr>
                <w:rFonts w:ascii="Times New Roman" w:hAnsi="Times New Roman" w:hint="default"/>
                <w:color w:val="auto"/>
              </w:rPr>
            </w:pPr>
            <w:r>
              <w:rPr>
                <w:rFonts w:ascii="Times New Roman" w:hAnsi="Times New Roman" w:cs="Times New Roman" w:hint="default"/>
                <w:color w:val="auto"/>
                <w:lang w:val="en-US" w:eastAsia="zh-CN"/>
              </w:rPr>
              <w:t>应，并放出大量的热。具有较强的腐蚀性。</w:t>
            </w:r>
          </w:p>
        </w:tc>
        <w:tc>
          <w:tcPr>
            <w:tcW w:w="7041"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建议应急处理人员戴自给正压式呼吸器，穿防酸碱工作服。不要直接接触泄漏物。尽可能切断泄漏源。小量泄漏：用砂土、干燥石灰或苏打灰混合。也可以用大量水冲洗，洗水稀释后放入废水系统。大量泄漏：构筑围堤或挖坑收容。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消防措施：用碱性物质如碳酸氢钠、碳酸钠、消石灰等中和。也可用大量水扑救。</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应立即脱去污染的衣着，用大量流动清水冲洗至少15分钟、就医。眼睛接触应立即提起眼睑，用大量流动清水或生理盐水彻底冲洗至少15分钟、就医。吸入应迅速脱离现场至空气新鲜处。保持呼吸道通畅。如呼吸困难，给输氧。如呼吸停止，立即进行人工呼吸、就医。食入应立即用水漱口，给饮牛奶或蛋清、就医。</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硝酸</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5.1 氧化性物质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健康危害：本品的蒸汽对眼睛、呼吸道等</w:t>
            </w:r>
          </w:p>
          <w:p>
            <w:pPr>
              <w:jc w:val="both"/>
              <w:rPr>
                <w:rFonts w:ascii="Times New Roman" w:hAnsi="Times New Roman" w:hint="default"/>
                <w:color w:val="auto"/>
              </w:rPr>
            </w:pPr>
            <w:r>
              <w:rPr>
                <w:rFonts w:ascii="Times New Roman" w:hAnsi="Times New Roman" w:cs="Times New Roman" w:hint="default"/>
                <w:color w:val="auto"/>
                <w:lang w:val="en-US" w:eastAsia="zh-CN"/>
              </w:rPr>
              <w:t>的黏膜盒皮肤有强烈刺激性。蒸汽浓度高</w:t>
            </w:r>
          </w:p>
          <w:p>
            <w:pPr>
              <w:jc w:val="both"/>
              <w:rPr>
                <w:rFonts w:ascii="Times New Roman" w:hAnsi="Times New Roman" w:hint="default"/>
                <w:color w:val="auto"/>
              </w:rPr>
            </w:pPr>
            <w:r>
              <w:rPr>
                <w:rFonts w:ascii="Times New Roman" w:hAnsi="Times New Roman" w:cs="Times New Roman" w:hint="default"/>
                <w:color w:val="auto"/>
                <w:lang w:val="en-US" w:eastAsia="zh-CN"/>
              </w:rPr>
              <w:t>时可引起水肿，对牙齿也具有腐蚀性。如</w:t>
            </w:r>
          </w:p>
          <w:p>
            <w:pPr>
              <w:jc w:val="both"/>
              <w:rPr>
                <w:rFonts w:ascii="Times New Roman" w:hAnsi="Times New Roman" w:hint="default"/>
                <w:color w:val="auto"/>
              </w:rPr>
            </w:pPr>
            <w:r>
              <w:rPr>
                <w:rFonts w:ascii="Times New Roman" w:hAnsi="Times New Roman" w:cs="Times New Roman" w:hint="default"/>
                <w:color w:val="auto"/>
                <w:lang w:val="en-US" w:eastAsia="zh-CN"/>
              </w:rPr>
              <w:t>皮肤沾上液体可引起灼伤，腐蚀而留下瘢</w:t>
            </w:r>
          </w:p>
          <w:p>
            <w:pPr>
              <w:jc w:val="both"/>
              <w:rPr>
                <w:rFonts w:ascii="Times New Roman" w:hAnsi="Times New Roman" w:hint="default"/>
                <w:color w:val="auto"/>
              </w:rPr>
            </w:pPr>
            <w:r>
              <w:rPr>
                <w:rFonts w:ascii="Times New Roman" w:hAnsi="Times New Roman" w:cs="Times New Roman" w:hint="default"/>
                <w:color w:val="auto"/>
                <w:lang w:val="en-US" w:eastAsia="zh-CN"/>
              </w:rPr>
              <w:t>疤。如误咽，对口腔以下的消化道可产生</w:t>
            </w:r>
          </w:p>
          <w:p>
            <w:pPr>
              <w:jc w:val="both"/>
              <w:rPr>
                <w:rFonts w:ascii="Times New Roman" w:hAnsi="Times New Roman" w:hint="default"/>
                <w:color w:val="auto"/>
              </w:rPr>
            </w:pPr>
            <w:r>
              <w:rPr>
                <w:rFonts w:ascii="Times New Roman" w:hAnsi="Times New Roman" w:cs="Times New Roman" w:hint="default"/>
                <w:color w:val="auto"/>
                <w:lang w:val="en-US" w:eastAsia="zh-CN"/>
              </w:rPr>
              <w:t>强烈的腐蚀性烧伤，严重时发生休克死亡，</w:t>
            </w:r>
          </w:p>
          <w:p>
            <w:pPr>
              <w:jc w:val="both"/>
              <w:rPr>
                <w:rFonts w:ascii="Times New Roman" w:hAnsi="Times New Roman" w:hint="default"/>
                <w:color w:val="auto"/>
              </w:rPr>
            </w:pPr>
            <w:r>
              <w:rPr>
                <w:rFonts w:ascii="Times New Roman" w:hAnsi="Times New Roman" w:cs="Times New Roman" w:hint="default"/>
                <w:color w:val="auto"/>
                <w:lang w:val="en-US" w:eastAsia="zh-CN"/>
              </w:rPr>
              <w:t>引入可引起肺炎。</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应急、消防处理：用水灭火，消防人员须传到全身防护服。</w:t>
            </w:r>
          </w:p>
          <w:p>
            <w:pPr>
              <w:jc w:val="both"/>
              <w:rPr>
                <w:rFonts w:ascii="Times New Roman" w:hAnsi="Times New Roman" w:hint="default"/>
                <w:color w:val="auto"/>
              </w:rPr>
            </w:pPr>
            <w:r>
              <w:rPr>
                <w:rFonts w:ascii="Times New Roman" w:hAnsi="Times New Roman" w:cs="Times New Roman" w:hint="default"/>
                <w:color w:val="auto"/>
                <w:lang w:val="en-US" w:eastAsia="zh-CN"/>
              </w:rPr>
              <w:t>泄漏处理：对泄漏物处理须戴好防毒面具和手套。一旦泄漏立即用水冲洗，如大量溢出，则工作人员均要撤离储库，用水或碳酸钠中和硝酸，稀释的污水pH 值降至 5.5-7.5 后放入废水系统。</w:t>
            </w:r>
          </w:p>
          <w:p>
            <w:pPr>
              <w:jc w:val="both"/>
              <w:rPr>
                <w:rFonts w:ascii="Times New Roman" w:hAnsi="Times New Roman" w:hint="default"/>
                <w:color w:val="auto"/>
              </w:rPr>
            </w:pPr>
            <w:r>
              <w:rPr>
                <w:rFonts w:ascii="Times New Roman" w:hAnsi="Times New Roman" w:cs="Times New Roman" w:hint="default"/>
                <w:color w:val="auto"/>
                <w:lang w:val="en-US" w:eastAsia="zh-CN"/>
              </w:rPr>
              <w:t>急救：应使吸入蒸汽的患者脱离污染区，安置在新鲜空气处，休息并保暖。严重的须就医诊治。皮肤沾染要离开污染区，脱去污染衣物，用大量水冲洗，如有灼伤须就医诊治。误服立即漱口，急送医院救治。</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7</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硫酸铜</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6.1 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侵入途径：吸入、食入。</w:t>
            </w:r>
          </w:p>
          <w:p>
            <w:pPr>
              <w:jc w:val="both"/>
              <w:rPr>
                <w:rFonts w:ascii="Times New Roman" w:hAnsi="Times New Roman" w:hint="default"/>
                <w:color w:val="auto"/>
              </w:rPr>
            </w:pPr>
            <w:r>
              <w:rPr>
                <w:rFonts w:ascii="Times New Roman" w:hAnsi="Times New Roman" w:cs="Times New Roman" w:hint="default"/>
                <w:color w:val="auto"/>
                <w:lang w:val="en-US" w:eastAsia="zh-CN"/>
              </w:rPr>
              <w:t>健康危害：本品对胃肠道有强烈刺激作用，误服引起恶心、呕吐、口内有铜腥味、胃烧灼感。严重者有腹绞痛、呕血、黑便。可造成严重肾损害和溶血，出现黄疸、贫血、肝大、血红蛋白尿、急性肾功能衰竭。对眼和皮肤有刺激性。长期接触可发生接触性皮炎和鼻、眼刺激，并出现胃肠道症状。</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危险特性：未有特殊的燃烧爆炸特性。受高热分解产生有毒的硫化物烟气。</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泄漏处理：隔离泄漏污染区，周围设警告标志。应急人员戴好防毒面具和手套。用大量水冲洗，经稀释的洗液放入废水系统。如大量泄漏，收集回收或无害处理后废弃。</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急救措施：皮肤接触：脱去污染的衣着，用大量流动清水冲洗。眼睛接触提</w:t>
            </w:r>
          </w:p>
          <w:p>
            <w:pPr>
              <w:jc w:val="both"/>
              <w:rPr>
                <w:rFonts w:ascii="Times New Roman" w:hAnsi="Times New Roman" w:hint="default"/>
                <w:color w:val="auto"/>
              </w:rPr>
            </w:pPr>
            <w:r>
              <w:rPr>
                <w:rFonts w:ascii="Times New Roman" w:hAnsi="Times New Roman" w:cs="Times New Roman" w:hint="default"/>
                <w:color w:val="auto"/>
                <w:lang w:val="en-US" w:eastAsia="zh-CN"/>
              </w:rPr>
              <w:t>起眼睑，用流动清水或生理盐水冲洗，就医。吸入：脱离现场至空气新鲜处。</w:t>
            </w:r>
          </w:p>
          <w:p>
            <w:pPr>
              <w:jc w:val="both"/>
              <w:rPr>
                <w:rFonts w:ascii="Times New Roman" w:hAnsi="Times New Roman" w:hint="default"/>
                <w:color w:val="auto"/>
              </w:rPr>
            </w:pPr>
            <w:r>
              <w:rPr>
                <w:rFonts w:ascii="Times New Roman" w:hAnsi="Times New Roman" w:cs="Times New Roman" w:hint="default"/>
                <w:color w:val="auto"/>
                <w:lang w:val="en-US" w:eastAsia="zh-CN"/>
              </w:rPr>
              <w:t>如呼吸困难，给输氧。就医。食入：误服者用0.1%亚铁氰化钾或硫代硫酸钠</w:t>
            </w:r>
          </w:p>
          <w:p>
            <w:pPr>
              <w:jc w:val="both"/>
              <w:rPr>
                <w:rFonts w:ascii="Times New Roman" w:hAnsi="Times New Roman" w:hint="default"/>
                <w:color w:val="auto"/>
              </w:rPr>
            </w:pPr>
            <w:r>
              <w:rPr>
                <w:rFonts w:ascii="Times New Roman" w:hAnsi="Times New Roman" w:cs="Times New Roman" w:hint="default"/>
                <w:color w:val="auto"/>
                <w:lang w:val="en-US" w:eastAsia="zh-CN"/>
              </w:rPr>
              <w:t>洗胃，给饮牛奶或蛋清，就医。</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氯酸钠</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5.1 氧化性物质</w:t>
            </w:r>
          </w:p>
        </w:tc>
        <w:tc>
          <w:tcPr>
            <w:tcW w:w="4062" w:type="dxa"/>
            <w:tcBorders>
              <w:tl2br w:val="nil"/>
              <w:tr2bl w:val="nil"/>
            </w:tcBorders>
            <w:vAlign w:val="center"/>
          </w:tcPr>
          <w:p>
            <w:pPr>
              <w:spacing w:after="0"/>
              <w:jc w:val="both"/>
              <w:rPr>
                <w:rFonts w:ascii="Times New Roman" w:hAnsi="Times New Roman" w:hint="default"/>
                <w:color w:val="auto"/>
              </w:rPr>
            </w:pP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应急处理：隔离泄漏污染区，限制出入。建议应急处理人员戴自给式呼吸器，</w:t>
            </w:r>
          </w:p>
          <w:p>
            <w:pPr>
              <w:spacing w:after="0"/>
              <w:jc w:val="both"/>
              <w:rPr>
                <w:rFonts w:ascii="Times New Roman" w:hAnsi="Times New Roman" w:hint="default"/>
                <w:color w:val="auto"/>
              </w:rPr>
            </w:pPr>
          </w:p>
        </w:tc>
      </w:tr>
    </w:tbl>
    <w:p>
      <w:pPr>
        <w:sectPr>
          <w:footerReference w:type="default" r:id="rId23"/>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9"/>
          <w:cols w:space="708"/>
          <w:titlePg w:val="0"/>
          <w:docGrid w:type="lines" w:linePitch="312"/>
        </w:sectPr>
      </w:pPr>
    </w:p>
    <w:tbl>
      <w:tblPr>
        <w:tblStyle w:val="9"/>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侵入途径：吸入、食入、皮肤接触吸收健康危害：本品粉尘对呼吸道、眼及皮肤有刺激性。口服急性中毒，表现为高铁血红蛋白血症，胃肠炎，肝肾损伤，甚至发生窒息。</w:t>
            </w:r>
          </w:p>
        </w:tc>
        <w:tc>
          <w:tcPr>
            <w:tcW w:w="7041"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穿一般工作服。不要直接接触泄漏物，勿使泄漏物与有机物、还原剂、易燃物接触。小量泄漏：避免扬尘，用洁净的铲子收集于干燥、洁净、有盖的容器中。大量泄漏：收集回收或运至废物处理场所处置。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脱去污染的衣着，用大量流动清水冲洗。眼睛接触：提起眼睑，用流动清水或生理盐水冲洗。就医。吸入：迅速脱离现场至空气新鲜处。保持呼吸道通畅。如呼吸困难，给输氧。如呼吸停止，立即进行人工呼吸，就医。食入：误食中毒时应立即催吐、洗胃、导泻、给予牛奶、蛋清等保护胃粘膜，同时立即就医。</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9</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双氧水</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5.1 氧化性物质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侵入途径：吸入、食入、经皮接触。</w:t>
            </w:r>
          </w:p>
          <w:p>
            <w:pPr>
              <w:jc w:val="both"/>
              <w:rPr>
                <w:rFonts w:ascii="Times New Roman" w:hAnsi="Times New Roman" w:hint="default"/>
                <w:color w:val="auto"/>
              </w:rPr>
            </w:pPr>
            <w:r>
              <w:rPr>
                <w:rFonts w:ascii="Times New Roman" w:hAnsi="Times New Roman" w:cs="Times New Roman" w:hint="default"/>
                <w:color w:val="auto"/>
                <w:lang w:val="en-US" w:eastAsia="zh-CN"/>
              </w:rPr>
              <w:t>健康危害：对眼睛、皮肤有化学灼伤，通过呼吸道吸入皮肤接触或吞入等途径引起中毒。液滴溅入眼内，可引起结膜炎，虹膜睫状体炎及角膜上皮变性、坏死和浑浊、影响视力或导致完全失明。</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危险特性：爆炸性强氧化剂，与有机物反应或由于杂质催化分解而发生爆炸。与可氧化物混合存在潜在的危险性。杂质污染可大大加速它的分解。</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应急消防处理：用水扑救，并用水冷却其它容器，若发现高浓度过氧化氢容器排气孔中冒出蒸汽，所有人员应迅速撤至安全地方。操作人员均做到全身防护。</w:t>
            </w:r>
          </w:p>
          <w:p>
            <w:pPr>
              <w:jc w:val="both"/>
              <w:rPr>
                <w:rFonts w:ascii="Times New Roman" w:hAnsi="Times New Roman" w:hint="default"/>
                <w:color w:val="auto"/>
              </w:rPr>
            </w:pPr>
            <w:r>
              <w:rPr>
                <w:rFonts w:ascii="Times New Roman" w:hAnsi="Times New Roman" w:cs="Times New Roman" w:hint="default"/>
                <w:color w:val="auto"/>
                <w:lang w:val="en-US" w:eastAsia="zh-CN"/>
              </w:rPr>
              <w:t>泄漏处理：操作人员应穿戴全身防护物品。若发现高浓度过氧化氢泄漏，用水冲洗泄漏液，若发现温度比外界温度升高 5</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以上，可加入适量安定剂或用蒸馏水稀释。若无法控制分解，温度比大气温度高 10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以上，可将过氧化氢紧急泻出，。若发生着火，用水扑灭，并用水冷却其它容器。若发现容器排气孔中冒出蒸汽，所有人应迅速撤至安全地方，过氧化氢泄漏用大量水冲洗，经稀释的污水放入废水系统。</w:t>
            </w:r>
          </w:p>
          <w:p>
            <w:pPr>
              <w:jc w:val="both"/>
              <w:rPr>
                <w:rFonts w:ascii="Times New Roman" w:hAnsi="Times New Roman" w:hint="default"/>
                <w:color w:val="auto"/>
              </w:rPr>
            </w:pPr>
            <w:r>
              <w:rPr>
                <w:rFonts w:ascii="Times New Roman" w:hAnsi="Times New Roman" w:cs="Times New Roman" w:hint="default"/>
                <w:color w:val="auto"/>
                <w:lang w:val="en-US" w:eastAsia="zh-CN"/>
              </w:rPr>
              <w:t>急救：皮肤沾染时，应立即用水冲洗，也可用 3%高锰酸钾或 2%碳酸钠溶液</w:t>
            </w:r>
          </w:p>
          <w:p>
            <w:pPr>
              <w:jc w:val="both"/>
              <w:rPr>
                <w:rFonts w:ascii="Times New Roman" w:hAnsi="Times New Roman" w:hint="default"/>
                <w:color w:val="auto"/>
              </w:rPr>
            </w:pPr>
            <w:r>
              <w:rPr>
                <w:rFonts w:ascii="Times New Roman" w:hAnsi="Times New Roman" w:cs="Times New Roman" w:hint="default"/>
                <w:color w:val="auto"/>
                <w:lang w:val="en-US" w:eastAsia="zh-CN"/>
              </w:rPr>
              <w:t>冲淡。眼睛沾染时，应立即用水冲洗15分钟以上，然后就医。误食立即催吐或洗胃，送医院急救。</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10</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氰化亚金钾</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6.1 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它是一种剧毒物质，成人致死量0.05g。在</w:t>
            </w:r>
          </w:p>
          <w:p>
            <w:pPr>
              <w:jc w:val="both"/>
              <w:rPr>
                <w:rFonts w:ascii="Times New Roman" w:hAnsi="Times New Roman" w:hint="default"/>
                <w:color w:val="auto"/>
              </w:rPr>
            </w:pPr>
            <w:r>
              <w:rPr>
                <w:rFonts w:ascii="Times New Roman" w:hAnsi="Times New Roman" w:cs="Times New Roman" w:hint="default"/>
                <w:color w:val="auto"/>
                <w:lang w:val="en-US" w:eastAsia="zh-CN"/>
              </w:rPr>
              <w:t>《剧毒化学品目录》（2002年版）上，氰化金钾排在第8位，是一级无机剧毒品。</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若怀疑救援现场存在氰化物，救援人员应当穿连衣式胶布防毒衣、戴橡胶耐油手套；呼吸道防护可使用空气呼吸器，若可能接触氰化物蒸气，应当佩戴自吸过滤式防毒面具（全面罩）。现场救援时，救援人员要防止中毒者受污染的皮肤或衣服二次污染自己。</w:t>
            </w:r>
          </w:p>
          <w:p>
            <w:pPr>
              <w:spacing w:after="0"/>
              <w:jc w:val="both"/>
              <w:rPr>
                <w:rFonts w:ascii="Times New Roman" w:hAnsi="Times New Roman" w:hint="default"/>
                <w:color w:val="auto"/>
              </w:rPr>
            </w:pPr>
            <w:r>
              <w:rPr>
                <w:rFonts w:ascii="Times New Roman" w:hAnsi="Times New Roman" w:cs="Times New Roman" w:hint="default"/>
                <w:color w:val="auto"/>
                <w:lang w:val="en-US" w:eastAsia="zh-CN"/>
              </w:rPr>
              <w:t>所有接触氰化物的人员都应进行去污操作。对中毒者应立即辅助通气、给纯氧，并作动脉血气分析，纠正代谢性酸中毒（PH&lt;7.15时）。对轻度中毒者只需提供护理，对中度中毒或严重中毒者，建议参考下列疗法：</w:t>
            </w:r>
            <w:r>
              <w:rPr>
                <w:rFonts w:ascii="Times New Roman" w:hAnsi="Times New Roman" w:cs="Times New Roman" w:hint="default"/>
                <w:color w:val="auto"/>
                <w:lang w:val="en-US" w:eastAsia="zh-CN"/>
              </w:rPr>
              <w:t>①</w:t>
            </w:r>
          </w:p>
        </w:tc>
      </w:tr>
    </w:tbl>
    <w:p>
      <w:pPr>
        <w:sectPr>
          <w:footerReference w:type="default" r:id="rId24"/>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0"/>
          <w:cols w:space="708"/>
          <w:titlePg w:val="0"/>
          <w:docGrid w:type="lines" w:linePitch="312"/>
        </w:sectPr>
      </w:pPr>
    </w:p>
    <w:tbl>
      <w:tblPr>
        <w:tblStyle w:val="10"/>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tc>
        <w:tc>
          <w:tcPr>
            <w:tcW w:w="7041"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紧急疗法：在紧急情况下，施救者应首先将亚硝酸异戊酯1～2支（0.2～0.4ml）放在手帕或纱布中压碎，放置在患者鼻孔处，吸入30秒钟，间隙30秒，如此重复2～3次。数分钟后可重复1次，总量不超过3支。亚硝酸异戊酯具有高度挥发性和可燃性，使用时不要靠近明火，同时注意防止挥发。</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11</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镍及其化合物</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6.1 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可经呼吸道进入人体。</w:t>
            </w:r>
          </w:p>
          <w:p>
            <w:pPr>
              <w:jc w:val="both"/>
              <w:rPr>
                <w:rFonts w:ascii="Times New Roman" w:hAnsi="Times New Roman" w:hint="default"/>
                <w:color w:val="auto"/>
              </w:rPr>
            </w:pPr>
            <w:r>
              <w:rPr>
                <w:rFonts w:ascii="Times New Roman" w:hAnsi="Times New Roman" w:cs="Times New Roman" w:hint="default"/>
                <w:color w:val="auto"/>
                <w:lang w:val="en-US" w:eastAsia="zh-CN"/>
              </w:rPr>
              <w:t>主要损害呼吸系统和皮肤。表现为咳嗽、咳痰、胸闷、气短、胸痛、哮喘等过敏性肺炎，也可引起皮炎、湿疹、皮肤灼伤。</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定期体检，早期诊断，早期治疗。急性吸入出现呼吸道黏膜刺激等症状，应及早移离至空气新鲜处，送医院对症处理工作场所空气中加权平均容许浓度（PC-TWA）不超过1mg/m</w:t>
            </w:r>
            <w:r>
              <w:rPr>
                <w:rFonts w:ascii="Times New Roman" w:hAnsi="Times New Roman" w:cs="Times New Roman" w:hint="default"/>
                <w:color w:val="auto"/>
                <w:vertAlign w:val="superscript"/>
                <w:lang w:val="en-US" w:eastAsia="zh-CN"/>
              </w:rPr>
              <w:t>3</w:t>
            </w:r>
            <w:r>
              <w:rPr>
                <w:rFonts w:ascii="Times New Roman" w:hAnsi="Times New Roman" w:cs="Times New Roman" w:hint="default"/>
                <w:color w:val="auto"/>
                <w:lang w:val="en-US" w:eastAsia="zh-CN"/>
              </w:rPr>
              <w:t>。属于粉尘。密闭、局部排风、除尘、呼吸防护。禁止明火、火花、高热。工作场所禁止饮食、吸烟。</w:t>
            </w:r>
          </w:p>
        </w:tc>
      </w:tr>
      <w:tr>
        <w:tblPrEx>
          <w:jc w:val="center"/>
          <w:tblLayout w:type="fixed"/>
          <w:tblCellMar>
            <w:top w:w="0" w:type="dxa"/>
            <w:left w:w="51" w:type="dxa"/>
            <w:bottom w:w="0" w:type="dxa"/>
            <w:right w:w="51" w:type="dxa"/>
          </w:tblCellMar>
          <w:tblLook w:val="0000"/>
        </w:tblPrEx>
        <w:trPr>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12</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水合肼</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 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吸入本品蒸气，刺激鼻和上呼吸道。此外，尚可出现头晕、恶心、呕吐和中枢神经系统症状。液体或蒸气对眼有刺激作用，可致眼的永久性损害。对皮肤有刺激性，可造成严重灼伤。可经皮肤吸收引起中毒。可致皮炎。口服引起头晕、恶心，以后出现暂时性中枢性呼吸抑制、心律紊乱，以及中枢神经系统症状，如嗜睡、运动障碍、共济失调、麻木等。肝功能可出现异常。</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危险特性：遇明火、高热可燃。具有强还原性。与氧化剂能发生强烈反应， 引起燃烧或爆炸。遇氧化汞、金属钠、氯化亚锡、2，4-二硝基氯化苯剧烈反应。</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切断火源。建议应急处理人员戴自给正压式呼吸器，穿防酸碱工作服。不要直接接触泄漏物。尽可能切断泄漏源。防止流入下水道、排洪沟等限制性空间。小量泄漏：用砂土或其它不燃材料吸附或吸收。也可以用大量水冲洗，洗水稀释后放入废水系统。大量泄漏：构筑围堤或挖坑收容。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防护措施：工程控制：密闭操作，局部排风。提供安全淋浴和洗眼设备。呼吸系统防护：可能接触其蒸气时，必须佩戴自吸过滤式防毒面具（全面罩）。紧急事态抢救或撤离时，建议佩戴自给式呼吸器。眼睛防护：呼吸系统防护中已作防护。身体防护：穿橡胶耐酸碱服。手防护：戴橡胶手套。</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立即脱去污染的衣着，用大量流动清水冲洗至少15分钟。就医。眼睛接触：立即提起眼睑，用大量流动清水或生理盐水彻底冲洗至少15分钟。就医。吸入：迅速脱离现场至空气新鲜处。保持呼吸通畅。如呼吸困难，给输氧。如呼吸停止，立即进行人工呼吸。就医。食入：用水漱口，给饮牛奶或蛋清。就医。灭火剂：雾状水、抗溶性泡沫、二氧化碳、干粉。</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13</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甲醛</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 毒性物</w:t>
            </w:r>
          </w:p>
        </w:tc>
        <w:tc>
          <w:tcPr>
            <w:tcW w:w="4062" w:type="dxa"/>
            <w:tcBorders>
              <w:tl2br w:val="nil"/>
              <w:tr2bl w:val="nil"/>
            </w:tcBorders>
            <w:vAlign w:val="center"/>
          </w:tcPr>
          <w:p>
            <w:pPr>
              <w:spacing w:after="0"/>
              <w:jc w:val="both"/>
              <w:rPr>
                <w:rFonts w:ascii="Times New Roman" w:hAnsi="Times New Roman" w:hint="default"/>
                <w:color w:val="auto"/>
              </w:rPr>
            </w:pP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切断火源。建议应急处理人员戴自给正压式呼吸器，穿防酸碱工作服。从上风处进入现场。尽可能切断泄漏源。防止流入下水道、排洪沟等限制性空间。</w:t>
            </w:r>
          </w:p>
          <w:p>
            <w:pPr>
              <w:spacing w:after="0"/>
              <w:jc w:val="both"/>
              <w:rPr>
                <w:rFonts w:ascii="Times New Roman" w:hAnsi="Times New Roman" w:hint="default"/>
                <w:color w:val="auto"/>
              </w:rPr>
            </w:pPr>
          </w:p>
        </w:tc>
      </w:tr>
    </w:tbl>
    <w:p>
      <w:pPr>
        <w:sectPr>
          <w:footerReference w:type="default" r:id="rId25"/>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1"/>
          <w:cols w:space="708"/>
          <w:titlePg w:val="0"/>
          <w:docGrid w:type="lines" w:linePitch="312"/>
        </w:sectPr>
      </w:pPr>
    </w:p>
    <w:tbl>
      <w:tblPr>
        <w:tblStyle w:val="11"/>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健康危害：本品对粘膜、上呼吸道、眼睛和皮肤有强烈刺激性。接触其蒸气，引起结膜炎、角膜炎、鼻炎、支气管炎；重者发生喉痉挛、声门水肿和肺炎等。肺水肿较少见。对皮肤有原发性刺激和致敏作用，可致皮炎；浓溶液可引起皮肤凝固性坏死。口服灼伤口腔和消化道，可发生胃肠道穿孔，休克，肾和肝脏损害。</w:t>
            </w:r>
            <w:r>
              <w:rPr>
                <w:rFonts w:ascii="Times New Roman" w:hAnsi="Times New Roman" w:cs="Times New Roman" w:hint="default"/>
                <w:color w:val="auto"/>
                <w:lang w:val="en-US" w:eastAsia="zh-CN"/>
              </w:rPr>
              <w:t xml:space="preserve"> 慢性影响：长期接触低浓度甲醛可有轻度眼、鼻、咽喉刺激症状，皮肤干燥、皲裂、甲软化等。</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危险特性：其蒸气与空气可形成爆炸性混合物。遇明火、高热能引起燃烧爆炸。与氧化剂接触猛烈反应。</w:t>
            </w:r>
          </w:p>
        </w:tc>
        <w:tc>
          <w:tcPr>
            <w:tcW w:w="7041"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小量泄漏：用砂土或其它不燃材料吸附或吸收。也可以用大量水冲洗，洗水稀释后放入废水系统。大量泄漏：构筑围堤或挖坑收容。用泡沫覆盖，降低蒸气灾害。喷雾状水冷却和稀释蒸汽、保护现场人员、把泄漏物稀释成不燃物。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防护措施：呼吸系统防护：可能接触其蒸气时，建议佩戴自吸过滤式防毒面具（全面罩）。紧急事态抢救或撤离时，佩戴隔离式呼吸器。眼睛防护：呼吸系统防护中已作防护。手防护：戴橡皮手套。其它：工作现场禁止吸烟、进食和饮水。工作完毕，彻底清洗。注意个人清洁卫生。实行就业前和定期的体检。</w:t>
            </w:r>
          </w:p>
          <w:p>
            <w:pPr>
              <w:jc w:val="both"/>
              <w:rPr>
                <w:rFonts w:ascii="Times New Roman" w:hAnsi="Times New Roman" w:hint="default"/>
                <w:color w:val="auto"/>
              </w:rPr>
            </w:pPr>
            <w:r>
              <w:rPr>
                <w:rFonts w:ascii="Times New Roman" w:hAnsi="Times New Roman" w:cs="Times New Roman" w:hint="default"/>
                <w:color w:val="auto"/>
                <w:lang w:val="en-US" w:eastAsia="zh-CN"/>
              </w:rPr>
              <w:t>进入罐、限制性空间或其它高浓度区作业，须有人监护。</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立即脱去污染的衣着，用大量流动清水冲洗至少15分钟。就医。眼睛接触：立即提起眼睑，用大量流动清水或生理盐水彻底冲洗至少15分钟。就医。吸入：迅速脱离现场至空气新鲜处。保持呼吸道通畅。如呼吸困难，给输氧。如呼吸停止，立即进行人工呼吸。就医。食入：用1%碘化钾60mL灌胃。常规洗胃。就医。灭火方法：雾状水、抗溶性泡沫、干粉、二氧化碳、砂土。</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14</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对苯二酚</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5.1氧化性物质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健康危害：大量吸入铜烟雾可引起金属烟热。患者有寒战、体温升高，伴有呼吸道刺激症状。长期接触铜尘的工人常发生接触性皮炎和鼻、眼的刺激症状，引起咽痛、咳嗽、鼻塞、鼻炎等，甚至引起鼻中隔穿孔。</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危险特性：本品可燃，粉尘具刺激性，其粉体遇高温、明火能燃烧。</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泄漏应急处理：隔离泄漏污染区，限制出入。切断火源。建议应急处理人员戴防尘面具（全面罩），穿一般作业工作服。用洁净的铲子收集于干燥、洁净、</w:t>
            </w:r>
          </w:p>
          <w:p>
            <w:pPr>
              <w:jc w:val="both"/>
              <w:rPr>
                <w:rFonts w:ascii="Times New Roman" w:hAnsi="Times New Roman" w:hint="default"/>
                <w:color w:val="auto"/>
              </w:rPr>
            </w:pPr>
            <w:r>
              <w:rPr>
                <w:rFonts w:ascii="Times New Roman" w:hAnsi="Times New Roman" w:cs="Times New Roman" w:hint="default"/>
                <w:color w:val="auto"/>
                <w:lang w:val="en-US" w:eastAsia="zh-CN"/>
              </w:rPr>
              <w:t>有盖的容器中。若大量泄漏，收集回收。</w:t>
            </w:r>
          </w:p>
          <w:p>
            <w:pPr>
              <w:jc w:val="both"/>
              <w:rPr>
                <w:rFonts w:ascii="Times New Roman" w:hAnsi="Times New Roman" w:hint="default"/>
                <w:color w:val="auto"/>
              </w:rPr>
            </w:pPr>
            <w:r>
              <w:rPr>
                <w:rFonts w:ascii="Times New Roman" w:hAnsi="Times New Roman" w:cs="Times New Roman" w:hint="default"/>
                <w:color w:val="auto"/>
                <w:lang w:val="en-US" w:eastAsia="zh-CN"/>
              </w:rPr>
              <w:t>皮肤接触：脱去污染的衣着，用大量流动清水冲洗。</w:t>
            </w:r>
          </w:p>
          <w:p>
            <w:pPr>
              <w:jc w:val="both"/>
              <w:rPr>
                <w:rFonts w:ascii="Times New Roman" w:hAnsi="Times New Roman" w:hint="default"/>
                <w:color w:val="auto"/>
              </w:rPr>
            </w:pPr>
            <w:r>
              <w:rPr>
                <w:rFonts w:ascii="Times New Roman" w:hAnsi="Times New Roman" w:cs="Times New Roman" w:hint="default"/>
                <w:color w:val="auto"/>
                <w:lang w:val="en-US" w:eastAsia="zh-CN"/>
              </w:rPr>
              <w:t>眼睛接触：提起眼睑，用流动清水或生理盐水冲洗。就医。</w:t>
            </w:r>
          </w:p>
          <w:p>
            <w:pPr>
              <w:jc w:val="both"/>
              <w:rPr>
                <w:rFonts w:ascii="Times New Roman" w:hAnsi="Times New Roman" w:hint="default"/>
                <w:color w:val="auto"/>
              </w:rPr>
            </w:pPr>
            <w:r>
              <w:rPr>
                <w:rFonts w:ascii="Times New Roman" w:hAnsi="Times New Roman" w:cs="Times New Roman" w:hint="default"/>
                <w:color w:val="auto"/>
                <w:lang w:val="en-US" w:eastAsia="zh-CN"/>
              </w:rPr>
              <w:t>吸入：迅速脱离现场至空气新鲜处。如呼吸困难，给输氧。就医。</w:t>
            </w:r>
          </w:p>
          <w:p>
            <w:pPr>
              <w:jc w:val="both"/>
              <w:rPr>
                <w:rFonts w:ascii="Times New Roman" w:hAnsi="Times New Roman" w:hint="default"/>
                <w:color w:val="auto"/>
              </w:rPr>
            </w:pPr>
            <w:r>
              <w:rPr>
                <w:rFonts w:ascii="Times New Roman" w:hAnsi="Times New Roman" w:cs="Times New Roman" w:hint="default"/>
                <w:color w:val="auto"/>
                <w:lang w:val="en-US" w:eastAsia="zh-CN"/>
              </w:rPr>
              <w:t>食入：饮足量温水，催吐。就医。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灭火方法：采用雾状水、泡沫、砂土灭火。</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15</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乙二醇丁醚</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6.1毒性物质</w:t>
            </w:r>
          </w:p>
        </w:tc>
        <w:tc>
          <w:tcPr>
            <w:tcW w:w="4062" w:type="dxa"/>
            <w:tcBorders>
              <w:tl2br w:val="nil"/>
              <w:tr2bl w:val="nil"/>
            </w:tcBorders>
            <w:vAlign w:val="center"/>
          </w:tcPr>
          <w:p>
            <w:pPr>
              <w:spacing w:after="0"/>
              <w:jc w:val="both"/>
              <w:rPr>
                <w:rFonts w:ascii="Times New Roman" w:hAnsi="Times New Roman" w:hint="default"/>
                <w:color w:val="auto"/>
              </w:rPr>
            </w:pP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隔离泄漏污染区，限制出入。建议应急处理人员戴防尘面具（全面罩），穿防毒服。用砂土、干燥石灰或苏打灰混合。小心扫起，转移至安全场所。若大量泄漏，用塑料布、帆布覆盖。收集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消防措施：用碱性物质如碳酸氢钠、碳酸钠、消石灰等中和。也可用大量水扑救。</w:t>
            </w:r>
          </w:p>
        </w:tc>
      </w:tr>
    </w:tbl>
    <w:p>
      <w:pPr>
        <w:sectPr>
          <w:footerReference w:type="default" r:id="rId26"/>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2"/>
          <w:cols w:space="708"/>
          <w:titlePg w:val="0"/>
          <w:docGrid w:type="lines" w:linePitch="312"/>
        </w:sectPr>
      </w:pPr>
    </w:p>
    <w:tbl>
      <w:tblPr>
        <w:tblStyle w:val="12"/>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健康危害：工业生产中，仅见引起皮肤刺激、结膜炎、支气管炎，一般无中毒发生。口服引起急性中毒，主要表现为胃肠道症状，有恶心、呕吐、腹痛、腹泻等，继之发生脱水、休克、昏迷或急性肾功能衰竭，可有高热、肝肾损害和惊厥，重者可致死。皮肤出现广泛鲜红色疹，重者成剥脱性皮炎。本品易被损伤皮肤吸收引起中毒。</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危险特性：受高热分解放出有毒的气体，本品不燃，具刺激性。</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应脱去污染的衣着，用大量流动清水冲洗。就医。眼睛接触应提起眼睑，用流动清水或生理盐水冲洗。就医。吸入应脱离现场至空气新鲜处。如呼吸困难，给输氧。就医。食入应饮足量温水，催吐。洗胃，导泄。就医。</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16</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铜及其化合物</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6.1毒性物质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5.1氧化性物质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健康危害：主要为慢性中毒，损害中枢神经系统尤以锥体外系统突出。主要表现为头痛、头晕、记忆减退、嗜睡、心动过速、多汗、两腿沉重、走路速度减慢、口吃、易激动等。重者出现</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锰性帕金森氏综合征</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，特点为面部呆板，无力，情绪冷淡，语言含糊不情，四肢僵直，肌颤，走路前冲，后退极易跌倒，书写困难等。</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危险特性：粉尘遇明火能引起燃烧爆炸。遇水或酸能发生化学反应，放出易燃气体。与氯、氟、过氧化氢、硝酸、二氧化氮、磷、二氧化硫和氧化剂接触剧烈反应。</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隔离泄漏污染区，限制出入。切断火源。建议应急处理人员戴防尘面具（全面罩），穿防毒服。避免扬尘，小心扫起，置于袋中转移至安全场所。若大量泄漏，用塑料布、帆布覆盖。收集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急救措施：脱去污染的衣着，用流动清水冲洗。眼睛接触应提起眼睑，用流动清水或生理盐水冲洗。就医。吸入应脱离现场至空气新鲜处。如呼吸困难，给输氧。就医。食入应饮足量温水，催吐。就医。</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17</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锰及其化合物</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6.1毒性物质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健康危害：吸入本品蒸气后，导致呼吸道刺激及肝肾损害。蒸气对眼有刺激性。皮肤接触可致皮炎。</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遇明火、高热可燃。与氧化剂可发生反应。在空气中或在阳光照射下容易生成爆炸性的过氧化物。其蒸气比空气重，能在较低处扩散到相当远的地方，遇火源会着火回燃。若遇高热，容器内压增大，有开裂和爆炸的危险。</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切断火源。建议应急处理人员戴自给正压式呼吸器，穿防毒服。尽可能切断泄漏源。防止流入下水道、排洪沟等限制性空间。小量泄漏：用砂土、蛭石或其它惰性材料吸收。也可以用大量水冲洗，洗水稀释后放入废水系统。大量泄漏：构筑围堤或挖坑收容。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急救措施：皮肤接触应脱去污染的衣着，用大量流动清水冲洗。眼睛接触应提起眼睑，用流动清水冲洗。就医。吸入应脱离现场至空气新鲜处。如呼吸困难，给输氧。就医。食入应饮足量温水，催吐。就医。</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18</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次氯酸钠</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6.1毒性物质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8腐蚀性物质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健康危害：经常用手接触本品的工人，手掌大量出汗，指甲变薄，毛发脱落。本品有致敏作用。本品放出的游离氯有可能引起中毒。</w:t>
            </w:r>
          </w:p>
        </w:tc>
        <w:tc>
          <w:tcPr>
            <w:tcW w:w="7041" w:type="dxa"/>
            <w:tcBorders>
              <w:tl2br w:val="nil"/>
              <w:tr2bl w:val="nil"/>
            </w:tcBorders>
            <w:vAlign w:val="center"/>
          </w:tcPr>
          <w:p>
            <w:pPr>
              <w:spacing w:after="0"/>
              <w:jc w:val="both"/>
              <w:rPr>
                <w:rFonts w:ascii="Times New Roman" w:hAnsi="Times New Roman" w:hint="default"/>
                <w:color w:val="auto"/>
              </w:rPr>
            </w:pPr>
          </w:p>
        </w:tc>
      </w:tr>
    </w:tbl>
    <w:p>
      <w:pPr>
        <w:sectPr>
          <w:footerReference w:type="default" r:id="rId27"/>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3"/>
          <w:cols w:space="708"/>
          <w:titlePg w:val="0"/>
          <w:docGrid w:type="lines" w:linePitch="312"/>
        </w:sectPr>
      </w:pPr>
    </w:p>
    <w:tbl>
      <w:tblPr>
        <w:tblStyle w:val="13"/>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危险特性：受高热分解产生有毒的腐蚀性烟气。具有腐蚀性。</w:t>
            </w:r>
          </w:p>
        </w:tc>
        <w:tc>
          <w:tcPr>
            <w:tcW w:w="7041" w:type="dxa"/>
            <w:tcBorders>
              <w:tl2br w:val="nil"/>
              <w:tr2bl w:val="nil"/>
            </w:tcBorders>
            <w:vAlign w:val="center"/>
          </w:tcPr>
          <w:p>
            <w:pPr>
              <w:spacing w:before="0"/>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建议应急处理人员戴自给正压式呼吸器，穿防酸碱工作服。不要直接接触泄漏物。尽可能切断泄漏源。小量泄漏：用砂土、蛭石或其它惰性材料吸收。大量泄漏：构筑围堤或挖坑收容。用泡沫覆盖，降低蒸气灾害。用泵转移至槽车或专用收集器内，回收或运至废物处理场所处置。皮肤接触：脱去污染的衣着，用大量流动清水冲洗。</w:t>
            </w:r>
          </w:p>
          <w:p>
            <w:pPr>
              <w:jc w:val="both"/>
              <w:rPr>
                <w:rFonts w:ascii="Times New Roman" w:hAnsi="Times New Roman" w:hint="default"/>
                <w:color w:val="auto"/>
              </w:rPr>
            </w:pPr>
            <w:r>
              <w:rPr>
                <w:rFonts w:ascii="Times New Roman" w:hAnsi="Times New Roman" w:cs="Times New Roman" w:hint="default"/>
                <w:color w:val="auto"/>
                <w:lang w:val="en-US" w:eastAsia="zh-CN"/>
              </w:rPr>
              <w:t>眼睛接触：提起眼睑，用流动清水或生理盐水冲洗。就医。</w:t>
            </w:r>
          </w:p>
          <w:p>
            <w:pPr>
              <w:jc w:val="both"/>
              <w:rPr>
                <w:rFonts w:ascii="Times New Roman" w:hAnsi="Times New Roman" w:hint="default"/>
                <w:color w:val="auto"/>
              </w:rPr>
            </w:pPr>
            <w:r>
              <w:rPr>
                <w:rFonts w:ascii="Times New Roman" w:hAnsi="Times New Roman" w:cs="Times New Roman" w:hint="default"/>
                <w:color w:val="auto"/>
                <w:lang w:val="en-US" w:eastAsia="zh-CN"/>
              </w:rPr>
              <w:t>吸入：迅速脱离现场至空气新鲜处。保持呼吸道通畅。如呼吸困难，给输氧。如呼吸停止，立即进行人工呼吸。就医。</w:t>
            </w:r>
          </w:p>
          <w:p>
            <w:pPr>
              <w:jc w:val="both"/>
              <w:rPr>
                <w:rFonts w:ascii="Times New Roman" w:hAnsi="Times New Roman" w:hint="default"/>
                <w:color w:val="auto"/>
              </w:rPr>
            </w:pPr>
            <w:r>
              <w:rPr>
                <w:rFonts w:ascii="Times New Roman" w:hAnsi="Times New Roman" w:cs="Times New Roman" w:hint="default"/>
                <w:color w:val="auto"/>
                <w:lang w:val="en-US" w:eastAsia="zh-CN"/>
              </w:rPr>
              <w:t>食入：饮足量温水，催吐。就医。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灭火方法：采用雾状水、二氧化碳、砂土灭火。</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19</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乙醇胺</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健康危害：蒸气对眼、鼻有刺激性。眼接触液状本品，造成眼损害；皮肤接触引起刺痛、灼伤。口服损害口腔和消化道。</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危险特性：遇明火、高热可燃。遇乙酸、乙酸酐、丙烯酸、丙烯腈、氯磺酸、环氧氯丙烷、氯化氢、氟化氢、硝酸、硫酸、乙酸乙烯等剧烈反应。对铜、铜的化合物、铜合金和橡胶有腐蚀性。</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切断火源。建议应急处理人员戴自给正压式呼吸器，穿防酸碱工作服。尽可能切断泄漏源。防止流入下水道、排洪沟等限制性空间。小量泄漏：用砂土、干燥石灰或苏打灰混合。也可以用大量水冲洗，洗水稀释后放入废水系统。大量泄漏：构筑围堤或挖坑收容。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皮肤接触：立即脱去污染的衣着，用大量流动清水冲洗至少15分钟。就医。</w:t>
            </w:r>
          </w:p>
          <w:p>
            <w:pPr>
              <w:jc w:val="both"/>
              <w:rPr>
                <w:rFonts w:ascii="Times New Roman" w:hAnsi="Times New Roman" w:hint="default"/>
                <w:color w:val="auto"/>
              </w:rPr>
            </w:pPr>
            <w:r>
              <w:rPr>
                <w:rFonts w:ascii="Times New Roman" w:hAnsi="Times New Roman" w:cs="Times New Roman" w:hint="default"/>
                <w:color w:val="auto"/>
                <w:lang w:val="en-US" w:eastAsia="zh-CN"/>
              </w:rPr>
              <w:t>眼睛接触：立即提起眼睑，用大量流动清水或生理盐水彻底冲洗至少15分钟。</w:t>
            </w:r>
          </w:p>
          <w:p>
            <w:pPr>
              <w:jc w:val="both"/>
              <w:rPr>
                <w:rFonts w:ascii="Times New Roman" w:hAnsi="Times New Roman" w:hint="default"/>
                <w:color w:val="auto"/>
              </w:rPr>
            </w:pPr>
            <w:r>
              <w:rPr>
                <w:rFonts w:ascii="Times New Roman" w:hAnsi="Times New Roman" w:cs="Times New Roman" w:hint="default"/>
                <w:color w:val="auto"/>
                <w:lang w:val="en-US" w:eastAsia="zh-CN"/>
              </w:rPr>
              <w:t>就医。</w:t>
            </w:r>
          </w:p>
          <w:p>
            <w:pPr>
              <w:jc w:val="both"/>
              <w:rPr>
                <w:rFonts w:ascii="Times New Roman" w:hAnsi="Times New Roman" w:hint="default"/>
                <w:color w:val="auto"/>
              </w:rPr>
            </w:pPr>
            <w:r>
              <w:rPr>
                <w:rFonts w:ascii="Times New Roman" w:hAnsi="Times New Roman" w:cs="Times New Roman" w:hint="default"/>
                <w:color w:val="auto"/>
                <w:lang w:val="en-US" w:eastAsia="zh-CN"/>
              </w:rPr>
              <w:t>吸入：迅速脱离现场至空气新鲜处。保持呼吸道通畅。如呼吸困难，给输氧。</w:t>
            </w:r>
          </w:p>
          <w:p>
            <w:pPr>
              <w:jc w:val="both"/>
              <w:rPr>
                <w:rFonts w:ascii="Times New Roman" w:hAnsi="Times New Roman" w:hint="default"/>
                <w:color w:val="auto"/>
              </w:rPr>
            </w:pPr>
            <w:r>
              <w:rPr>
                <w:rFonts w:ascii="Times New Roman" w:hAnsi="Times New Roman" w:cs="Times New Roman" w:hint="default"/>
                <w:color w:val="auto"/>
                <w:lang w:val="en-US" w:eastAsia="zh-CN"/>
              </w:rPr>
              <w:t>如呼吸停止，立即进行人工呼吸。就医。</w:t>
            </w:r>
          </w:p>
          <w:p>
            <w:pPr>
              <w:jc w:val="both"/>
              <w:rPr>
                <w:rFonts w:ascii="Times New Roman" w:hAnsi="Times New Roman" w:hint="default"/>
                <w:color w:val="auto"/>
              </w:rPr>
            </w:pPr>
            <w:r>
              <w:rPr>
                <w:rFonts w:ascii="Times New Roman" w:hAnsi="Times New Roman" w:cs="Times New Roman" w:hint="default"/>
                <w:color w:val="auto"/>
                <w:lang w:val="en-US" w:eastAsia="zh-CN"/>
              </w:rPr>
              <w:t>食入：用水漱口，给饮牛奶或蛋清。就医。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灭火方法：水、雾状水、抗溶性泡沫、干粉、二氧化碳、砂土。</w:t>
            </w:r>
          </w:p>
        </w:tc>
      </w:tr>
      <w:tr>
        <w:tblPrEx>
          <w:jc w:val="center"/>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20</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甲酸</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 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健康危害：主要引起皮肤、粘膜的刺激症状。接触后可引起结膜炎、眼睑水肿、鼻炎、支气管炎，重者可引起急性化学性肺炎。</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危险特性：可燃。其蒸气与空气可形成爆炸性混合物，遇明火、高热能引起燃烧爆炸。与强氧化剂接触可发生化学反应。具有较强的腐蚀性。</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切断火源。建议应急处理人员戴自给正压式呼吸器，穿防酸碱工作服。不要直接接触泄漏物。尽可能切断泄漏源。防止流入下水道、排洪沟等限制性空间。小量泄漏：用砂土或其它不燃材料吸附或吸收。也可以将地面洒上苏打灰，然后用大量水冲洗，洗水稀释后放入废水系统。大量泄漏：构筑围堤或挖坑收容。用泡沫覆盖，降低蒸气灾害。喷雾状水冷却和稀释蒸汽。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皮肤接触：立即脱去污染的衣着，用大量流动清水冲洗至少15分钟。就医。</w:t>
            </w:r>
          </w:p>
        </w:tc>
      </w:tr>
    </w:tbl>
    <w:p>
      <w:pPr>
        <w:sectPr>
          <w:footerReference w:type="default" r:id="rId28"/>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4"/>
          <w:cols w:space="708"/>
          <w:titlePg w:val="0"/>
          <w:docGrid w:type="lines" w:linePitch="312"/>
        </w:sectPr>
      </w:pPr>
    </w:p>
    <w:tbl>
      <w:tblPr>
        <w:tblStyle w:val="14"/>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
      <w:tblGrid>
        <w:gridCol w:w="660"/>
        <w:gridCol w:w="1050"/>
        <w:gridCol w:w="1407"/>
        <w:gridCol w:w="4062"/>
        <w:gridCol w:w="7041"/>
      </w:tblGrid>
      <w:tr>
        <w:tblPrEx>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51" w:type="dxa"/>
            <w:bottom w:w="0" w:type="dxa"/>
            <w:right w:w="51" w:type="dxa"/>
          </w:tblCellMar>
          <w:tblLook w:val="0000"/>
        </w:tblPrEx>
        <w:trPr>
          <w:trHeight w:val="31"/>
          <w:jc w:val="center"/>
        </w:trPr>
        <w:tc>
          <w:tcPr>
            <w:tcW w:w="660" w:type="dxa"/>
            <w:tcBorders>
              <w:tl2br w:val="nil"/>
              <w:tr2bl w:val="nil"/>
            </w:tcBorders>
            <w:vAlign w:val="center"/>
          </w:tcPr>
          <w:p/>
        </w:tc>
        <w:tc>
          <w:tcPr>
            <w:tcW w:w="1050" w:type="dxa"/>
            <w:tcBorders>
              <w:tl2br w:val="nil"/>
              <w:tr2bl w:val="nil"/>
            </w:tcBorders>
            <w:vAlign w:val="center"/>
          </w:tcPr>
          <w:p/>
        </w:tc>
        <w:tc>
          <w:tcPr>
            <w:tcW w:w="1407" w:type="dxa"/>
            <w:tcBorders>
              <w:tl2br w:val="nil"/>
              <w:tr2bl w:val="nil"/>
            </w:tcBorders>
            <w:vAlign w:val="center"/>
          </w:tcPr>
          <w:p/>
        </w:tc>
        <w:tc>
          <w:tcPr>
            <w:tcW w:w="4062" w:type="dxa"/>
            <w:tcBorders>
              <w:tl2br w:val="nil"/>
              <w:tr2bl w:val="nil"/>
            </w:tcBorders>
            <w:vAlign w:val="center"/>
          </w:tcP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眼睛接触：立即提起眼睑，用大量流动清水或生理盐水彻底冲洗至少15分钟。</w:t>
            </w:r>
          </w:p>
          <w:p>
            <w:pPr>
              <w:jc w:val="both"/>
              <w:rPr>
                <w:rFonts w:ascii="Times New Roman" w:hAnsi="Times New Roman" w:hint="default"/>
                <w:color w:val="auto"/>
              </w:rPr>
            </w:pPr>
            <w:r>
              <w:rPr>
                <w:rFonts w:ascii="Times New Roman" w:hAnsi="Times New Roman" w:cs="Times New Roman" w:hint="default"/>
                <w:color w:val="auto"/>
                <w:lang w:val="en-US" w:eastAsia="zh-CN"/>
              </w:rPr>
              <w:t>就医。</w:t>
            </w:r>
          </w:p>
          <w:p>
            <w:pPr>
              <w:jc w:val="both"/>
              <w:rPr>
                <w:rFonts w:ascii="Times New Roman" w:hAnsi="Times New Roman" w:hint="default"/>
                <w:color w:val="auto"/>
              </w:rPr>
            </w:pPr>
            <w:r>
              <w:rPr>
                <w:rFonts w:ascii="Times New Roman" w:hAnsi="Times New Roman" w:cs="Times New Roman" w:hint="default"/>
                <w:color w:val="auto"/>
                <w:lang w:val="en-US" w:eastAsia="zh-CN"/>
              </w:rPr>
              <w:t>吸入：迅速脱离现场至空气新鲜处。保持呼吸道通畅。如呼吸困难，给输氧如呼吸停止，立即进行人工呼吸。就医。</w:t>
            </w:r>
          </w:p>
          <w:p>
            <w:pPr>
              <w:jc w:val="both"/>
              <w:rPr>
                <w:rFonts w:ascii="Times New Roman" w:hAnsi="Times New Roman" w:hint="default"/>
                <w:color w:val="auto"/>
              </w:rPr>
            </w:pPr>
            <w:r>
              <w:rPr>
                <w:rFonts w:ascii="Times New Roman" w:hAnsi="Times New Roman" w:cs="Times New Roman" w:hint="default"/>
                <w:color w:val="auto"/>
                <w:lang w:val="en-US" w:eastAsia="zh-CN"/>
              </w:rPr>
              <w:t>食入：用水漱口，给饮牛奶或蛋清。就医。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灭火方法：抗溶性泡沫、干粉、二氧化碳。</w:t>
            </w:r>
          </w:p>
        </w:tc>
      </w:tr>
      <w:tr>
        <w:tblPrEx>
          <w:jc w:val="center"/>
          <w:tblLayout w:type="fixed"/>
          <w:tblCellMar>
            <w:top w:w="0" w:type="dxa"/>
            <w:left w:w="51" w:type="dxa"/>
            <w:bottom w:w="0" w:type="dxa"/>
            <w:right w:w="51" w:type="dxa"/>
          </w:tblCellMar>
          <w:tblLook w:val="0000"/>
        </w:tblPrEx>
        <w:trPr>
          <w:trHeight w:val="62"/>
          <w:jc w:val="center"/>
        </w:trPr>
        <w:tc>
          <w:tcPr>
            <w:tcW w:w="66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21</w:t>
            </w:r>
          </w:p>
        </w:tc>
        <w:tc>
          <w:tcPr>
            <w:tcW w:w="1050"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高锰酸钾</w:t>
            </w:r>
          </w:p>
        </w:tc>
        <w:tc>
          <w:tcPr>
            <w:tcW w:w="1407" w:type="dxa"/>
            <w:tcBorders>
              <w:tl2br w:val="nil"/>
              <w:tr2bl w:val="nil"/>
            </w:tcBorders>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 腐蚀性物质</w:t>
            </w:r>
          </w:p>
          <w:p>
            <w:pPr>
              <w:jc w:val="center"/>
              <w:rPr>
                <w:rFonts w:ascii="Times New Roman" w:hAnsi="Times New Roman" w:hint="default"/>
                <w:color w:val="auto"/>
              </w:rPr>
            </w:pPr>
            <w:r>
              <w:rPr>
                <w:rFonts w:ascii="Times New Roman" w:hAnsi="Times New Roman" w:cs="Times New Roman" w:hint="default"/>
                <w:color w:val="auto"/>
                <w:lang w:val="en-US" w:eastAsia="zh-CN"/>
              </w:rPr>
              <w:t>6.1 毒性物质</w:t>
            </w:r>
          </w:p>
        </w:tc>
        <w:tc>
          <w:tcPr>
            <w:tcW w:w="4062"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健康危害：吸入后可引起呼吸道损害。溅落眼睛内，刺激结膜，重者致灼伤。刺激皮肤。浓溶液或结晶对皮肤有腐蚀性。口服腐蚀口腔和消化道，出现口内烧灼感、上腹痛、恶心、呕吐、口咽肿胀等。</w:t>
            </w:r>
          </w:p>
          <w:p>
            <w:pPr>
              <w:jc w:val="both"/>
              <w:rPr>
                <w:rFonts w:ascii="Times New Roman" w:hAnsi="Times New Roman" w:hint="default"/>
                <w:color w:val="auto"/>
              </w:rPr>
            </w:pPr>
            <w:r>
              <w:rPr>
                <w:rFonts w:ascii="Times New Roman" w:hAnsi="Times New Roman" w:cs="Times New Roman" w:hint="default"/>
                <w:color w:val="auto"/>
                <w:lang w:val="en-US" w:eastAsia="zh-CN"/>
              </w:rPr>
              <w:t>危险特性：强氧化剂。遇硫酸、铵盐或过氧化氢能发生爆炸。遇甘油、乙醇能引起自燃。与有机物、还原剂、易燃物如硫、磷等接触或混合时有引起燃烧爆炸的危险。</w:t>
            </w:r>
          </w:p>
        </w:tc>
        <w:tc>
          <w:tcPr>
            <w:tcW w:w="7041" w:type="dxa"/>
            <w:tcBorders>
              <w:tl2br w:val="nil"/>
              <w:tr2bl w:val="nil"/>
            </w:tcBorders>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泄漏应急处理：迅速撤离泄漏污染区人员至安全区，并进行隔离，严格限制出入。切断火源。建议应急处理人员戴自给正压式呼吸器，穿防酸碱工作服。不要直接接触泄漏物。尽可能切断泄漏源。防止流入下水道、排洪沟等限制性空间。小量泄漏：用砂土或其它不燃材料吸附或吸收。也可以将地面洒上苏打灰，然后用大量水冲洗，洗水稀释后放入废水系统。大量泄漏：构筑围堤或挖坑收容。用泡沫覆盖，降低蒸气灾害。喷雾状水冷却和稀释蒸汽。用泵转移至槽车或专用收集器内，回收或运至废物处理场所处置。</w:t>
            </w:r>
          </w:p>
          <w:p>
            <w:pPr>
              <w:jc w:val="both"/>
              <w:rPr>
                <w:rFonts w:ascii="Times New Roman" w:hAnsi="Times New Roman" w:hint="default"/>
                <w:color w:val="auto"/>
              </w:rPr>
            </w:pPr>
            <w:r>
              <w:rPr>
                <w:rFonts w:ascii="Times New Roman" w:hAnsi="Times New Roman" w:cs="Times New Roman" w:hint="default"/>
                <w:color w:val="auto"/>
                <w:lang w:val="en-US" w:eastAsia="zh-CN"/>
              </w:rPr>
              <w:t>皮肤接触：立即脱去污染的衣着，用大量流动清水冲洗至少15分钟。就医。</w:t>
            </w:r>
          </w:p>
          <w:p>
            <w:pPr>
              <w:jc w:val="both"/>
              <w:rPr>
                <w:rFonts w:ascii="Times New Roman" w:hAnsi="Times New Roman" w:hint="default"/>
                <w:color w:val="auto"/>
              </w:rPr>
            </w:pPr>
            <w:r>
              <w:rPr>
                <w:rFonts w:ascii="Times New Roman" w:hAnsi="Times New Roman" w:cs="Times New Roman" w:hint="default"/>
                <w:color w:val="auto"/>
                <w:lang w:val="en-US" w:eastAsia="zh-CN"/>
              </w:rPr>
              <w:t>眼睛接触：立即提起眼睑，用大量流动清水或生理盐水彻底冲洗至少15分钟。就医。</w:t>
            </w:r>
          </w:p>
          <w:p>
            <w:pPr>
              <w:jc w:val="both"/>
              <w:rPr>
                <w:rFonts w:ascii="Times New Roman" w:hAnsi="Times New Roman" w:hint="default"/>
                <w:color w:val="auto"/>
              </w:rPr>
            </w:pPr>
            <w:r>
              <w:rPr>
                <w:rFonts w:ascii="Times New Roman" w:hAnsi="Times New Roman" w:cs="Times New Roman" w:hint="default"/>
                <w:color w:val="auto"/>
                <w:lang w:val="en-US" w:eastAsia="zh-CN"/>
              </w:rPr>
              <w:t>吸入：迅速脱离现场至空气新鲜处。保持呼吸道通畅。如呼吸困难，给输氧。</w:t>
            </w:r>
          </w:p>
          <w:p>
            <w:pPr>
              <w:jc w:val="both"/>
              <w:rPr>
                <w:rFonts w:ascii="Times New Roman" w:hAnsi="Times New Roman" w:hint="default"/>
                <w:color w:val="auto"/>
              </w:rPr>
            </w:pPr>
            <w:r>
              <w:rPr>
                <w:rFonts w:ascii="Times New Roman" w:hAnsi="Times New Roman" w:cs="Times New Roman" w:hint="default"/>
                <w:color w:val="auto"/>
                <w:lang w:val="en-US" w:eastAsia="zh-CN"/>
              </w:rPr>
              <w:t>如呼吸停止，立即进行人工呼吸。就医。</w:t>
            </w:r>
          </w:p>
          <w:p>
            <w:pPr>
              <w:jc w:val="both"/>
              <w:rPr>
                <w:rFonts w:ascii="Times New Roman" w:hAnsi="Times New Roman" w:hint="default"/>
                <w:color w:val="auto"/>
              </w:rPr>
            </w:pPr>
            <w:r>
              <w:rPr>
                <w:rFonts w:ascii="Times New Roman" w:hAnsi="Times New Roman" w:cs="Times New Roman" w:hint="default"/>
                <w:color w:val="auto"/>
                <w:lang w:val="en-US" w:eastAsia="zh-CN"/>
              </w:rPr>
              <w:t>食入：用水漱口，给饮牛奶或蛋清。就医。</w:t>
            </w:r>
          </w:p>
          <w:p>
            <w:pPr>
              <w:jc w:val="both"/>
              <w:rPr>
                <w:rFonts w:ascii="Times New Roman" w:hAnsi="Times New Roman" w:hint="default"/>
                <w:color w:val="auto"/>
              </w:rPr>
            </w:pPr>
            <w:r>
              <w:rPr>
                <w:rFonts w:ascii="Times New Roman" w:hAnsi="Times New Roman" w:cs="Times New Roman" w:hint="default"/>
                <w:color w:val="auto"/>
                <w:lang w:val="en-US" w:eastAsia="zh-CN"/>
              </w:rPr>
              <w:t>灭火方法：抗溶性泡沫、干粉、二氧化碳。</w:t>
            </w:r>
          </w:p>
        </w:tc>
      </w:tr>
    </w:tbl>
    <w:p>
      <w:pPr>
        <w:pStyle w:val="Default1"/>
        <w:rPr>
          <w:rFonts w:ascii="Times New Roman" w:hint="default"/>
          <w:color w:val="auto"/>
        </w:rPr>
        <w:sectPr>
          <w:footerReference w:type="default" r:id="rId29"/>
          <w:type w:val="nextPage"/>
          <w:pgSz w:w="16838" w:h="11906" w:orient="landscape"/>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5"/>
          <w:cols w:space="708"/>
          <w:titlePg w:val="0"/>
          <w:docGrid w:type="lines" w:linePitch="312"/>
        </w:sectPr>
      </w:pP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12" w:name="_Toc7455"/>
      <w:r>
        <w:rPr>
          <w:rFonts w:ascii="Times New Roman" w:hAnsi="Times New Roman" w:cs="Times New Roman" w:hint="default"/>
          <w:color w:val="auto"/>
          <w:sz w:val="28"/>
          <w:szCs w:val="28"/>
          <w:lang w:val="en-US" w:eastAsia="zh-CN"/>
        </w:rPr>
        <w:t>1.3.2 生产系统风险识别</w:t>
      </w:r>
      <w:bookmarkEnd w:id="1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（1）生产装置的危险性识别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涉及的生产装置主要位于3#厂房3楼和4#厂房1F/2F/3F，厂房内布置各电镀线、蚀刻线等，涉及废水、废液、废气的产生以及化学品原辅料的使用，各生产线中涉及的设备、管道等设施可能发生破裂，停电、设备故障、工作人员违章操作、误操作可能造成生产线不正常运转，发生溢流、倾泻等，从而引起具有毒性或腐蚀性的化学品、废液泄漏，污染周边水体及地下水，属于危险单元。若遇明火，具有可燃性的原辅料存在火灾的风险，属于危险单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（2）储运设施的危险性识别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三期储运工程主要包括化工原料仓、甲乙类化工仓、产品仓库、供药罐区4#、危废仓库、一般固废仓库和废液车间罐区等。其中化工原料仓、甲乙类化工仓、供药罐区4#、危废仓库、废液车间罐区均涉及危险物质的储运，一旦发生泄漏，可能会对周边的地下水、地表水、大气环境产生一定的影响，属于危险单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eastAsia="宋体" w:hAnsi="Times New Roman" w:cs="Times New Roman" w:hint="default"/>
          <w:color w:val="auto"/>
          <w:sz w:val="24"/>
          <w:szCs w:val="24"/>
          <w:lang w:val="en-US" w:eastAsia="zh-CN"/>
        </w:rPr>
        <w:t>①</w:t>
      </w:r>
      <w:r>
        <w:rPr>
          <w:rFonts w:ascii="Times New Roman" w:hAnsi="Times New Roman" w:cs="Times New Roman" w:hint="default"/>
          <w:color w:val="auto"/>
          <w:sz w:val="24"/>
          <w:szCs w:val="24"/>
          <w:lang w:val="en-US" w:eastAsia="zh-CN"/>
        </w:rPr>
        <w:t>化学品仓库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扩建工程建设化工原料仓、甲乙类化工仓为三期专用，主要存储用量少的化学品原辅料，仓内原料分类主要按照其性质、存放条件要求进行，化学品的储量一般按1</w:t>
      </w:r>
      <w:r>
        <w:rPr>
          <w:rFonts w:ascii="Times New Roman" w:eastAsia="宋体"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2周用量进行储存。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原辅材料中的有毒有害危险化学品在运输、装卸、使用、储存过程中，存在</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跑、冒、滴、漏</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。在运输过程中，从装卸、运输到保管，工序长，参与人员多，存在泄漏甚至引起火灾和爆炸的风险。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eastAsia="宋体" w:hAnsi="Times New Roman" w:cs="Times New Roman" w:hint="default"/>
          <w:color w:val="auto"/>
          <w:sz w:val="24"/>
          <w:szCs w:val="24"/>
          <w:lang w:val="en-US" w:eastAsia="zh-CN"/>
        </w:rPr>
        <w:t>②</w:t>
      </w:r>
      <w:r>
        <w:rPr>
          <w:rFonts w:ascii="Times New Roman" w:hAnsi="Times New Roman" w:cs="Times New Roman" w:hint="default"/>
          <w:color w:val="auto"/>
          <w:sz w:val="24"/>
          <w:szCs w:val="24"/>
          <w:lang w:val="en-US" w:eastAsia="zh-CN"/>
        </w:rPr>
        <w:t>药罐区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药罐区储存消耗量大的液态原料，储存方式均采取储罐方式，根据物料属性设置多个隔间，同类性质的药水储罐设置在同一个隔间内，储存在4#厂房楼顶，药罐区的化学品储量按照3</w:t>
      </w:r>
      <w:r>
        <w:rPr>
          <w:rFonts w:ascii="Times New Roman" w:eastAsia="宋体"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4天的用量进行周转。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eastAsia="宋体" w:hAnsi="Times New Roman" w:cs="Times New Roman" w:hint="default"/>
          <w:color w:val="auto"/>
          <w:sz w:val="24"/>
          <w:szCs w:val="24"/>
          <w:lang w:val="en-US" w:eastAsia="zh-CN"/>
        </w:rPr>
        <w:t>③</w:t>
      </w:r>
      <w:r>
        <w:rPr>
          <w:rFonts w:ascii="Times New Roman" w:hAnsi="Times New Roman" w:cs="Times New Roman" w:hint="default"/>
          <w:color w:val="auto"/>
          <w:sz w:val="24"/>
          <w:szCs w:val="24"/>
          <w:lang w:val="en-US" w:eastAsia="zh-CN"/>
        </w:rPr>
        <w:t>危废仓库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30"/>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6"/>
          <w:cols w:space="708"/>
          <w:docGrid w:type="lines" w:linePitch="312"/>
        </w:sectPr>
      </w:pPr>
      <w:r>
        <w:rPr>
          <w:rFonts w:ascii="Times New Roman" w:hAnsi="Times New Roman" w:cs="Times New Roman" w:hint="default"/>
          <w:color w:val="auto"/>
          <w:sz w:val="24"/>
          <w:szCs w:val="24"/>
          <w:lang w:val="en-US" w:eastAsia="zh-CN"/>
        </w:rPr>
        <w:t>危险废物主要包括酸性蚀刻废液、碱性蚀刻废液、含硝酸废液、镀铜废液、镀锡废液、含硝酸废液等，同时在环保站设置废液罐区、用于暂存硝酸废液、酸性蚀刻废液增量子液、碱性蚀刻废液。在建设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单位交由有资质的单位处理处置前，厂内必须设置危险废物暂存场所对其进行合理贮存和严格管理，若任意堆放或暂存场所未采取防渗防漏措施或疏于管理，都将造成危险废物中的有毒有害物质进入周边环境，给周边的土壤、生态、水体及空气等环境造成一定的危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（3）输送管道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本项目消耗量大的液态原料储存在药罐区，需通过管道输送至各个用料工序车间。一般采用架空管道，管径为63mm。为防止管道泄漏采取防腐材料PVC管套管，同时设置控制阀门。输送过程中，可能存在</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跑、冒、滴、漏</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现象，风险物质泄漏甚至引起火灾和爆炸的风险。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（4）环保设施的危险性识别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本项目废水来源多、种类复杂，建设单位在厂内设置一座废水处理站，各股生产废水经厂内自建废水处理站处理达标后部分回用，其余水量经</w:t>
      </w:r>
      <w:r>
        <w:rPr>
          <w:rFonts w:ascii="Times New Roman" w:eastAsia="宋体" w:hAnsi="Times New Roman" w:cs="Times New Roman" w:hint="default"/>
          <w:color w:val="auto"/>
          <w:sz w:val="24"/>
          <w:szCs w:val="24"/>
          <w:lang w:val="en-US" w:eastAsia="zh-CN"/>
        </w:rPr>
        <w:t>专管直接排入赣江</w:t>
      </w:r>
      <w:r>
        <w:rPr>
          <w:rFonts w:ascii="Times New Roman" w:hAnsi="Times New Roman" w:cs="Times New Roman" w:hint="default"/>
          <w:color w:val="auto"/>
          <w:sz w:val="24"/>
          <w:szCs w:val="24"/>
          <w:lang w:val="en-US" w:eastAsia="zh-CN"/>
        </w:rPr>
        <w:t>。当本项目发生事故排放时，一经发现后将及时切断外排废水阀门，并将废水引至事故应急池中。待废水处理系统正常运行时，再将事故应急池中的废水泵至废水处理系统处理达标后排放。若废水处理系统、事故应急池防渗层破损，发生污水泄漏事故，将造成废水下渗，对地下水环境造成一定污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化学镀金工序等会产生有毒有害废气氰化氢，化学镀金工作槽的氰化氢废气将设置单独的收集系统，然后再汇同整条生产线的酸雾废气一并经碱液喷淋处理后引至高空排放。氰化氢属有毒有害气体，考虑到已在工程分析正常工况及事故排放情况下进行分析，同时考虑这两种废气无暂存设施及储罐等，本次在环境风险中不予以进一步分析。</w:t>
      </w:r>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13" w:name="_Toc30636"/>
      <w:r>
        <w:rPr>
          <w:rFonts w:ascii="Times New Roman" w:hAnsi="Times New Roman" w:cs="Times New Roman" w:hint="default"/>
          <w:color w:val="auto"/>
          <w:sz w:val="28"/>
          <w:szCs w:val="28"/>
          <w:lang w:val="en-US" w:eastAsia="zh-CN"/>
        </w:rPr>
        <w:t>1.3.3 有毒有害物质扩散途径风险识别</w:t>
      </w:r>
      <w:bookmarkEnd w:id="1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本项目在运营过程中危险物质扩散途径主要有三类：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（1）环境空气扩散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项目有毒有害物质在运输、装卸、储存和使用过程中，车间、仓库等发生火灾，有毒有害物质在高温情况下散发到空气中，污染环境。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（2）地表水体或地下水体扩散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项目有毒有害物质在运输、装卸、储存和使用过程中发生泄漏，经过地表径流或者雨水管道进入周边水体，污染周边水体的水质；通过地表下渗污染地下水水质。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31"/>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7"/>
          <w:cols w:space="708"/>
          <w:titlePg w:val="0"/>
          <w:docGrid w:type="lines" w:linePitch="312"/>
        </w:sectPr>
      </w:pPr>
      <w:r>
        <w:rPr>
          <w:rFonts w:ascii="Times New Roman" w:hAnsi="Times New Roman" w:cs="Times New Roman" w:hint="default"/>
          <w:color w:val="auto"/>
          <w:sz w:val="24"/>
          <w:szCs w:val="24"/>
          <w:lang w:val="en-US" w:eastAsia="zh-CN"/>
        </w:rPr>
        <w:t>项目废水处理系统、事故应急池发生泄漏，导致含有有毒有害物质的废水下渗，对地下水环境造成一定污染。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（3）土壤和地下水扩散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项目有毒有害物质在运输、装卸、储存和使用过程中发生泄漏，如遇裸露地表，则直接污染土壤。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项目危险固废暂存设置，如管理不当，引起危废或危废渗滤液泄漏，污染土壤环境。在土壤中的有毒有害物质，通过下渗等作用，进而污染地下水。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综上分析可知，本项目环境风险类别包括危险物质的泄漏、火灾等引发的伴生/次生污染物排放，潜在环境风险单元主要为生产区、剧毒品仓、供药罐区、化学品仓、危废仓、废液储罐区、废水处理系统、事故应急池等。</w:t>
      </w:r>
    </w:p>
    <w:p>
      <w:pPr>
        <w:pStyle w:val="Heading3"/>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360" w:lineRule="auto"/>
        <w:ind w:firstLine="0" w:firstLineChars="0"/>
        <w:textAlignment w:val="auto"/>
        <w:rPr>
          <w:rFonts w:cs="Times New Roman" w:hint="default"/>
          <w:color w:val="auto"/>
          <w:sz w:val="28"/>
          <w:szCs w:val="28"/>
          <w:highlight w:val="none"/>
          <w:lang w:val="en-US" w:eastAsia="zh-CN"/>
        </w:rPr>
      </w:pPr>
      <w:bookmarkStart w:id="14" w:name="_Toc18586"/>
      <w:r>
        <w:rPr>
          <w:rFonts w:ascii="Times New Roman" w:hAnsi="Times New Roman" w:cs="Times New Roman" w:hint="default"/>
          <w:bCs/>
          <w:color w:val="auto"/>
          <w:kern w:val="0"/>
          <w:sz w:val="28"/>
          <w:szCs w:val="28"/>
          <w:highlight w:val="none"/>
          <w:lang w:val="en-US" w:eastAsia="zh-CN"/>
        </w:rPr>
        <w:t>1</w:t>
      </w:r>
      <w:r>
        <w:rPr>
          <w:rFonts w:ascii="Times New Roman" w:eastAsia="宋体" w:hAnsi="Times New Roman" w:cs="Times New Roman" w:hint="default"/>
          <w:bCs/>
          <w:color w:val="auto"/>
          <w:kern w:val="0"/>
          <w:sz w:val="28"/>
          <w:szCs w:val="28"/>
          <w:highlight w:val="none"/>
          <w:lang w:val="en-US" w:eastAsia="zh-CN"/>
        </w:rPr>
        <w:t>.3.4 风险识别结果</w:t>
      </w:r>
      <w:bookmarkEnd w:id="14"/>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综上，本项目的环境风险识别结果具</w:t>
      </w:r>
      <w:r>
        <w:rPr>
          <w:rFonts w:ascii="Times New Roman" w:hAnsi="Times New Roman" w:cs="Times New Roman" w:hint="default"/>
          <w:color w:val="auto"/>
          <w:sz w:val="24"/>
          <w:szCs w:val="24"/>
          <w:lang w:val="en-US" w:eastAsia="zh-CN"/>
        </w:rPr>
        <w:t>体见表1.3-2。</w:t>
      </w:r>
    </w:p>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表1.3-2  本项目环境风险源及其危害后果</w:t>
      </w:r>
    </w:p>
    <w:tbl>
      <w:tblPr>
        <w:tblStyle w:val="1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9" w:type="dxa"/>
          <w:bottom w:w="0" w:type="dxa"/>
          <w:right w:w="79" w:type="dxa"/>
        </w:tblCellMar>
        <w:tblLook w:val="0000"/>
      </w:tblPr>
      <w:tblGrid>
        <w:gridCol w:w="1523"/>
        <w:gridCol w:w="1049"/>
        <w:gridCol w:w="2374"/>
        <w:gridCol w:w="1049"/>
        <w:gridCol w:w="1334"/>
        <w:gridCol w:w="190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危险单元</w:t>
            </w:r>
          </w:p>
        </w:tc>
        <w:tc>
          <w:tcPr>
            <w:tcW w:w="568" w:type="pct"/>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风险源</w:t>
            </w:r>
          </w:p>
        </w:tc>
        <w:tc>
          <w:tcPr>
            <w:tcW w:w="1285" w:type="pct"/>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主要危险物质</w:t>
            </w:r>
          </w:p>
        </w:tc>
        <w:tc>
          <w:tcPr>
            <w:tcW w:w="568" w:type="pct"/>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环境风险类型</w:t>
            </w:r>
          </w:p>
        </w:tc>
        <w:tc>
          <w:tcPr>
            <w:tcW w:w="722" w:type="pct"/>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影响途径</w:t>
            </w:r>
          </w:p>
        </w:tc>
        <w:tc>
          <w:tcPr>
            <w:tcW w:w="1029" w:type="pct"/>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可能受影响的敏感目标</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3#厂房、4#厂房、5#厂房</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生产装置</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硫酸、盐酸等化学品</w:t>
            </w:r>
          </w:p>
        </w:tc>
        <w:tc>
          <w:tcPr>
            <w:tcW w:w="568"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物料泄漏、火灾</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供药罐区</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危化品</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盐酸、氯酸钠、氢氧化钠、甲醛、氨水、硝酸等</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化学品仓</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化学品</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氰化亚金钾</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化学品仓</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化学品</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含危险物质的原辅料</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危废仓</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危废</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各类危险废物</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输管道道</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危化品</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氨水、硫酸、盐酸、硝酸等</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废液罐区</w:t>
            </w:r>
          </w:p>
        </w:tc>
        <w:tc>
          <w:tcPr>
            <w:tcW w:w="568"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各废液储罐</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硫酸、铜及其化合物</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回收再生区</w:t>
            </w:r>
          </w:p>
        </w:tc>
        <w:tc>
          <w:tcPr>
            <w:tcW w:w="568"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蚀刻液再生系统</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氯气、氨气、盐酸、硫酸</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废水处理系统、事故应急池</w:t>
            </w:r>
          </w:p>
        </w:tc>
        <w:tc>
          <w:tcPr>
            <w:tcW w:w="568"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废水处理</w:t>
            </w:r>
          </w:p>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系统、事故</w:t>
            </w:r>
          </w:p>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应急池</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含有危险物质的废水</w:t>
            </w:r>
          </w:p>
        </w:tc>
        <w:tc>
          <w:tcPr>
            <w:tcW w:w="568"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泄漏</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地表水、地下</w:t>
            </w:r>
          </w:p>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地表水环境、地下水环境</w:t>
            </w:r>
          </w:p>
        </w:tc>
      </w:tr>
      <w:tr>
        <w:tblPrEx>
          <w:tblW w:w="5000" w:type="pct"/>
          <w:tblCellMar>
            <w:top w:w="0" w:type="dxa"/>
            <w:left w:w="79" w:type="dxa"/>
            <w:bottom w:w="0" w:type="dxa"/>
            <w:right w:w="79" w:type="dxa"/>
          </w:tblCellMar>
          <w:tblLook w:val="0000"/>
        </w:tblPrEx>
        <w:trPr>
          <w:trHeight w:hRule="auto" w:val="0"/>
        </w:trPr>
        <w:tc>
          <w:tcPr>
            <w:tcW w:w="825" w:type="pct"/>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化学品仓</w:t>
            </w:r>
          </w:p>
        </w:tc>
        <w:tc>
          <w:tcPr>
            <w:tcW w:w="568"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油墨、防白水</w:t>
            </w:r>
          </w:p>
        </w:tc>
        <w:tc>
          <w:tcPr>
            <w:tcW w:w="1285"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rPr>
              <w:t>各种油墨及其稀释剂等、防白水</w:t>
            </w:r>
          </w:p>
        </w:tc>
        <w:tc>
          <w:tcPr>
            <w:tcW w:w="568"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物料泄漏、火灾</w:t>
            </w:r>
          </w:p>
        </w:tc>
        <w:tc>
          <w:tcPr>
            <w:tcW w:w="722"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大气、地表水、地下水</w:t>
            </w:r>
          </w:p>
        </w:tc>
        <w:tc>
          <w:tcPr>
            <w:tcW w:w="1029" w:type="pct"/>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大气环境、地表水环境、地下水环境</w:t>
            </w:r>
          </w:p>
        </w:tc>
      </w:tr>
    </w:tbl>
    <w:p>
      <w:pPr>
        <w:sectPr>
          <w:footerReference w:type="default" r:id="rId32"/>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8"/>
          <w:cols w:space="708"/>
          <w:titlePg w:val="0"/>
          <w:docGrid w:type="lines" w:linePitch="312"/>
        </w:sectPr>
      </w:pPr>
    </w:p>
    <w:p>
      <w:pPr>
        <w:pStyle w:val="Heading2"/>
        <w:rPr>
          <w:rFonts w:cs="Times New Roman" w:hint="default"/>
          <w:color w:val="auto"/>
          <w:sz w:val="32"/>
          <w:szCs w:val="36"/>
          <w:lang w:val="en-US" w:eastAsia="zh-CN"/>
        </w:rPr>
      </w:pPr>
      <w:bookmarkStart w:id="15" w:name="_Toc26495"/>
      <w:r>
        <w:rPr>
          <w:rFonts w:ascii="Times New Roman" w:hAnsi="Times New Roman" w:cs="Times New Roman" w:hint="default"/>
          <w:color w:val="auto"/>
          <w:sz w:val="32"/>
          <w:szCs w:val="36"/>
          <w:lang w:val="en-US" w:eastAsia="zh-CN"/>
        </w:rPr>
        <w:t>1.4 风险事故情形分析</w:t>
      </w:r>
      <w:bookmarkEnd w:id="15"/>
    </w:p>
    <w:p>
      <w:pPr>
        <w:pStyle w:val="Heading3"/>
        <w:keepNext/>
        <w:keepLines/>
        <w:pageBreakBefore w:val="0"/>
        <w:widowControl w:val="0"/>
        <w:kinsoku/>
        <w:wordWrap/>
        <w:overflowPunct/>
        <w:topLinePunct w:val="0"/>
        <w:autoSpaceDE/>
        <w:autoSpaceDN/>
        <w:bidi w:val="0"/>
        <w:adjustRightInd/>
        <w:snapToGrid/>
        <w:spacing w:before="0" w:after="0" w:line="360" w:lineRule="auto"/>
        <w:textAlignment w:val="auto"/>
        <w:rPr>
          <w:rFonts w:cs="Times New Roman" w:hint="default"/>
          <w:color w:val="auto"/>
          <w:sz w:val="28"/>
          <w:szCs w:val="28"/>
          <w:lang w:val="en-US" w:eastAsia="zh-CN"/>
        </w:rPr>
      </w:pPr>
      <w:bookmarkStart w:id="16" w:name="_Toc31605"/>
      <w:r>
        <w:rPr>
          <w:rFonts w:ascii="Times New Roman" w:hAnsi="Times New Roman" w:cs="Times New Roman" w:hint="default"/>
          <w:color w:val="auto"/>
          <w:sz w:val="28"/>
          <w:szCs w:val="28"/>
          <w:lang w:val="en-US" w:eastAsia="zh-CN"/>
        </w:rPr>
        <w:t>1.4.1 风险事故情形设定</w:t>
      </w:r>
      <w:bookmarkEnd w:id="1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根据《建设项目环境风险评价技术导则》（HJ169-2018），</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在风险识别的基础上，选择对环境影响较大并具有代表性的事故类型，设定风险事故情形</w:t>
      </w:r>
      <w:r>
        <w:rPr>
          <w:rFonts w:ascii="Times New Roman"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（1）生产事故原因及类型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项目主要储存的危险物质为硫酸、盐酸、硝酸、次氯酸钠、双氧水、氨水、乙醇胺、铜及其化合物、锰及其化合物、镍及其化合物等原辅料、工作槽液以及危险废液类，另外，还包括油墨、油墨稀释剂等易燃物品，其发生泄漏事故和火灾影响的概率分析主要采用类比国内外化工行业发生事故概率的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据调查，造成事故发生最大可能的原因是人为违章操作或误操作，其次是设备故障或设计缺陷。具体见表1.4-1；可能发生的事故类型分为五类，发生风险事故造成最严重影响的是着火燃烧影响，具体见表1.4-2。根据同类企业调查，发生火灾的原因仅电气设备火灾一项就占到50%以上，且其中60%以上是由设备用电线路短路打火、功率过载、设备高温部件老化等问题引发，30%由加热干烧引发。火灾风险主要集中于以下四类工段：第一类，使用大型电气设备的工序。如电镀、化学沉镍、沉银、表面涂覆（阻焊涂覆）等；第二类：大型公共基础设备设施。如空调系统、电力控制系统；第三类，使用大型烘烤类设备及带有烘干段设备的工序，如阻焊印刷、曝光固化、丝印字符、层压等；第四类，使用易燃易爆及氧化剂类危化品较多的工序，如图形制作、阻焊等。</w:t>
      </w:r>
    </w:p>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表1.4-1  国内主要化工事故原因统计</w:t>
      </w:r>
    </w:p>
    <w:tbl>
      <w:tblPr>
        <w:tblStyle w:val="1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
      <w:tblGrid>
        <w:gridCol w:w="1667"/>
        <w:gridCol w:w="2977"/>
        <w:gridCol w:w="2322"/>
        <w:gridCol w:w="2322"/>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Ex>
        <w:trPr>
          <w:trHeight w:val="340"/>
        </w:trPr>
        <w:tc>
          <w:tcPr>
            <w:tcW w:w="1667"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序号</w:t>
            </w:r>
          </w:p>
        </w:tc>
        <w:tc>
          <w:tcPr>
            <w:tcW w:w="2977"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主要事故原因</w:t>
            </w:r>
          </w:p>
        </w:tc>
        <w:tc>
          <w:tcPr>
            <w:tcW w:w="2322"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出现次数</w:t>
            </w:r>
          </w:p>
        </w:tc>
        <w:tc>
          <w:tcPr>
            <w:tcW w:w="2322"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所占百分比（%）</w:t>
            </w:r>
          </w:p>
        </w:tc>
      </w:tr>
      <w:tr>
        <w:tblPrEx>
          <w:tblLayout w:type="fixed"/>
          <w:tblCellMar>
            <w:left w:w="108" w:type="dxa"/>
            <w:right w:w="108" w:type="dxa"/>
          </w:tblCellMar>
          <w:tblLook w:val="0000"/>
        </w:tblPrEx>
        <w:trPr>
          <w:trHeight w:val="340"/>
        </w:trPr>
        <w:tc>
          <w:tcPr>
            <w:tcW w:w="166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w:t>
            </w:r>
          </w:p>
        </w:tc>
        <w:tc>
          <w:tcPr>
            <w:tcW w:w="2977" w:type="dxa"/>
            <w:vAlign w:val="center"/>
          </w:tcPr>
          <w:p>
            <w:pPr>
              <w:jc w:val="center"/>
              <w:rPr>
                <w:rFonts w:ascii="Times New Roman" w:hAnsi="Times New Roman" w:hint="default"/>
                <w:color w:val="auto"/>
              </w:rPr>
            </w:pPr>
            <w:r>
              <w:rPr>
                <w:rFonts w:ascii="Times New Roman" w:hAnsi="Times New Roman" w:cs="Times New Roman" w:hint="default"/>
                <w:color w:val="auto"/>
              </w:rPr>
              <w:t>违反操作规程、误操作</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72</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62.1</w:t>
            </w:r>
          </w:p>
        </w:tc>
      </w:tr>
      <w:tr>
        <w:tblPrEx>
          <w:tblLayout w:type="fixed"/>
          <w:tblCellMar>
            <w:left w:w="108" w:type="dxa"/>
            <w:right w:w="108" w:type="dxa"/>
          </w:tblCellMar>
          <w:tblLook w:val="0000"/>
        </w:tblPrEx>
        <w:trPr>
          <w:trHeight w:val="340"/>
        </w:trPr>
        <w:tc>
          <w:tcPr>
            <w:tcW w:w="166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w:t>
            </w:r>
          </w:p>
        </w:tc>
        <w:tc>
          <w:tcPr>
            <w:tcW w:w="297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设备故障、缺陷</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27</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23.3</w:t>
            </w:r>
          </w:p>
        </w:tc>
      </w:tr>
      <w:tr>
        <w:tblPrEx>
          <w:tblLayout w:type="fixed"/>
          <w:tblCellMar>
            <w:left w:w="108" w:type="dxa"/>
            <w:right w:w="108" w:type="dxa"/>
          </w:tblCellMar>
          <w:tblLook w:val="0000"/>
        </w:tblPrEx>
        <w:trPr>
          <w:trHeight w:val="340"/>
        </w:trPr>
        <w:tc>
          <w:tcPr>
            <w:tcW w:w="166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w:t>
            </w:r>
          </w:p>
        </w:tc>
        <w:tc>
          <w:tcPr>
            <w:tcW w:w="297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个人防护用具缺乏、缺陷</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10</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8.6</w:t>
            </w:r>
          </w:p>
        </w:tc>
      </w:tr>
      <w:tr>
        <w:tblPrEx>
          <w:tblLayout w:type="fixed"/>
          <w:tblCellMar>
            <w:left w:w="108" w:type="dxa"/>
            <w:right w:w="108" w:type="dxa"/>
          </w:tblCellMar>
          <w:tblLook w:val="0000"/>
        </w:tblPrEx>
        <w:trPr>
          <w:trHeight w:val="340"/>
        </w:trPr>
        <w:tc>
          <w:tcPr>
            <w:tcW w:w="166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w:t>
            </w:r>
          </w:p>
        </w:tc>
        <w:tc>
          <w:tcPr>
            <w:tcW w:w="297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管理不善</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3.4</w:t>
            </w:r>
          </w:p>
        </w:tc>
      </w:tr>
      <w:tr>
        <w:tblPrEx>
          <w:tblLayout w:type="fixed"/>
          <w:tblCellMar>
            <w:left w:w="108" w:type="dxa"/>
            <w:right w:w="108" w:type="dxa"/>
          </w:tblCellMar>
          <w:tblLook w:val="0000"/>
        </w:tblPrEx>
        <w:trPr>
          <w:trHeight w:val="340"/>
        </w:trPr>
        <w:tc>
          <w:tcPr>
            <w:tcW w:w="166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w:t>
            </w:r>
          </w:p>
        </w:tc>
        <w:tc>
          <w:tcPr>
            <w:tcW w:w="2977"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其它意外</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w:t>
            </w:r>
          </w:p>
        </w:tc>
        <w:tc>
          <w:tcPr>
            <w:tcW w:w="232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2.6</w:t>
            </w:r>
          </w:p>
        </w:tc>
      </w:tr>
    </w:tbl>
    <w:p>
      <w:pPr>
        <w:keepNext w:val="0"/>
        <w:keepLines w:val="0"/>
        <w:pageBreakBefore w:val="0"/>
        <w:widowControl w:val="0"/>
        <w:kinsoku/>
        <w:wordWrap/>
        <w:overflowPunct/>
        <w:topLinePunct w:val="0"/>
        <w:autoSpaceDE/>
        <w:autoSpaceDN/>
        <w:bidi w:val="0"/>
        <w:adjustRightInd/>
        <w:snapToGrid/>
        <w:spacing w:before="156" w:beforeLines="50"/>
        <w:jc w:val="center"/>
        <w:textAlignment w:val="auto"/>
        <w:outlineLvl w:val="9"/>
        <w:rPr>
          <w:rFonts w:ascii="Times New Roman" w:hAnsi="Times New Roman" w:hint="default"/>
          <w:b/>
          <w:bCs/>
          <w:color w:val="auto"/>
        </w:rPr>
      </w:pPr>
      <w:r>
        <w:rPr>
          <w:rFonts w:ascii="Times New Roman" w:hAnsi="Times New Roman" w:cs="Times New Roman" w:hint="default"/>
          <w:b/>
          <w:bCs/>
          <w:color w:val="auto"/>
          <w:lang w:val="en-US" w:eastAsia="zh-CN"/>
        </w:rPr>
        <w:t>表1.4-2  重大事故的类型和影响</w:t>
      </w:r>
    </w:p>
    <w:tbl>
      <w:tblPr>
        <w:tblStyle w:val="16"/>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
      <w:tblGrid>
        <w:gridCol w:w="2082"/>
        <w:gridCol w:w="2343"/>
        <w:gridCol w:w="4863"/>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000"/>
        </w:tblPrEx>
        <w:trPr>
          <w:trHeight w:val="340"/>
        </w:trPr>
        <w:tc>
          <w:tcPr>
            <w:tcW w:w="208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事故可能性排序</w:t>
            </w:r>
          </w:p>
        </w:tc>
        <w:tc>
          <w:tcPr>
            <w:tcW w:w="23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事故严重性分级</w:t>
            </w:r>
          </w:p>
        </w:tc>
        <w:tc>
          <w:tcPr>
            <w:tcW w:w="486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事故影响类型</w:t>
            </w:r>
          </w:p>
        </w:tc>
      </w:tr>
      <w:tr>
        <w:tblPrEx>
          <w:tblLayout w:type="fixed"/>
          <w:tblCellMar>
            <w:left w:w="108" w:type="dxa"/>
            <w:right w:w="108" w:type="dxa"/>
          </w:tblCellMar>
          <w:tblLook w:val="0000"/>
        </w:tblPrEx>
        <w:trPr>
          <w:trHeight w:val="340"/>
        </w:trPr>
        <w:tc>
          <w:tcPr>
            <w:tcW w:w="208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w:t>
            </w:r>
          </w:p>
        </w:tc>
        <w:tc>
          <w:tcPr>
            <w:tcW w:w="23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w:t>
            </w:r>
          </w:p>
        </w:tc>
        <w:tc>
          <w:tcPr>
            <w:tcW w:w="486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着火燃烧影响</w:t>
            </w:r>
          </w:p>
        </w:tc>
      </w:tr>
      <w:tr>
        <w:tblPrEx>
          <w:tblLayout w:type="fixed"/>
          <w:tblCellMar>
            <w:left w:w="108" w:type="dxa"/>
            <w:right w:w="108" w:type="dxa"/>
          </w:tblCellMar>
          <w:tblLook w:val="0000"/>
        </w:tblPrEx>
        <w:trPr>
          <w:trHeight w:val="340"/>
        </w:trPr>
        <w:tc>
          <w:tcPr>
            <w:tcW w:w="208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w:t>
            </w:r>
          </w:p>
        </w:tc>
        <w:tc>
          <w:tcPr>
            <w:tcW w:w="23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w:t>
            </w:r>
          </w:p>
        </w:tc>
        <w:tc>
          <w:tcPr>
            <w:tcW w:w="486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泄漏流入水体造成影响</w:t>
            </w:r>
          </w:p>
        </w:tc>
      </w:tr>
      <w:tr>
        <w:tblPrEx>
          <w:tblLayout w:type="fixed"/>
          <w:tblCellMar>
            <w:left w:w="108" w:type="dxa"/>
            <w:right w:w="108" w:type="dxa"/>
          </w:tblCellMar>
          <w:tblLook w:val="0000"/>
        </w:tblPrEx>
        <w:trPr>
          <w:trHeight w:val="340"/>
        </w:trPr>
        <w:tc>
          <w:tcPr>
            <w:tcW w:w="208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w:t>
            </w:r>
          </w:p>
        </w:tc>
        <w:tc>
          <w:tcPr>
            <w:tcW w:w="23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w:t>
            </w:r>
          </w:p>
        </w:tc>
        <w:tc>
          <w:tcPr>
            <w:tcW w:w="486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爆炸震动造成的厂外环境影响</w:t>
            </w:r>
          </w:p>
        </w:tc>
      </w:tr>
      <w:tr>
        <w:tblPrEx>
          <w:tblLayout w:type="fixed"/>
          <w:tblCellMar>
            <w:left w:w="108" w:type="dxa"/>
            <w:right w:w="108" w:type="dxa"/>
          </w:tblCellMar>
          <w:tblLook w:val="0000"/>
        </w:tblPrEx>
        <w:trPr>
          <w:trHeight w:val="340"/>
        </w:trPr>
        <w:tc>
          <w:tcPr>
            <w:tcW w:w="2082"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w:t>
            </w:r>
          </w:p>
        </w:tc>
        <w:tc>
          <w:tcPr>
            <w:tcW w:w="23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w:t>
            </w:r>
          </w:p>
        </w:tc>
        <w:tc>
          <w:tcPr>
            <w:tcW w:w="486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爆炸碎片飞出厂外造成环境影响</w:t>
            </w:r>
          </w:p>
        </w:tc>
      </w:tr>
    </w:tbl>
    <w:p>
      <w:pPr>
        <w:rPr>
          <w:rFonts w:ascii="Times New Roman" w:hAnsi="Times New Roman" w:hint="default"/>
          <w:color w:val="auto"/>
        </w:rPr>
        <w:sectPr>
          <w:footerReference w:type="default" r:id="rId33"/>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9"/>
          <w:cols w:space="708"/>
          <w:titlePg w:val="0"/>
          <w:docGrid w:type="lines" w:linePitch="312"/>
        </w:sectPr>
      </w:pPr>
      <w:r>
        <w:rPr>
          <w:rFonts w:ascii="Times New Roman" w:hAnsi="Times New Roman" w:cs="Times New Roman" w:hint="default"/>
          <w:color w:val="auto"/>
          <w:lang w:val="en-US" w:eastAsia="zh-CN"/>
        </w:rPr>
        <w:t>注：可能性排序：1&gt;2&gt;3&gt;4；严重性分级：1&gt;2&gt;3&gt;4。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（3）仓储区泄漏发生概率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项目建成后，消耗量大的液态原料均采取储罐方式储存在供药区，采用管道输送到生产线使用；其它用量少的化学品原辅料主要以桶装、瓶装等存放在化学品仓库里。根据《建设项目环境风险评价技术导则》（HJ169-2018）附录E中泄漏频率的推荐值，各类泄漏事故发生频率见表1.4-3。</w:t>
      </w:r>
    </w:p>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表1.4-3  泄漏频率表（摘录）</w:t>
      </w:r>
    </w:p>
    <w:tbl>
      <w:tblPr>
        <w:tblStyle w:val="17"/>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3"/>
        <w:gridCol w:w="1926"/>
        <w:gridCol w:w="4394"/>
        <w:gridCol w:w="2125"/>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序号</w:t>
            </w:r>
          </w:p>
        </w:tc>
        <w:tc>
          <w:tcPr>
            <w:tcW w:w="1926"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泄漏部件</w:t>
            </w:r>
          </w:p>
        </w:tc>
        <w:tc>
          <w:tcPr>
            <w:tcW w:w="4394"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泄漏模式</w:t>
            </w:r>
          </w:p>
        </w:tc>
        <w:tc>
          <w:tcPr>
            <w:tcW w:w="2125" w:type="dxa"/>
            <w:vAlign w:val="center"/>
          </w:tcPr>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泄漏频率</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w:t>
            </w:r>
          </w:p>
        </w:tc>
        <w:tc>
          <w:tcPr>
            <w:tcW w:w="1926" w:type="dxa"/>
            <w:vMerge w:val="restart"/>
            <w:vAlign w:val="center"/>
          </w:tcPr>
          <w:p>
            <w:pPr>
              <w:jc w:val="left"/>
              <w:rPr>
                <w:rFonts w:ascii="Times New Roman" w:hAnsi="Times New Roman" w:hint="default"/>
                <w:color w:val="auto"/>
              </w:rPr>
            </w:pPr>
            <w:r>
              <w:rPr>
                <w:rFonts w:ascii="Times New Roman" w:hAnsi="Times New Roman" w:cs="Times New Roman" w:hint="default"/>
                <w:color w:val="auto"/>
                <w:lang w:val="en-US" w:eastAsia="zh-CN"/>
              </w:rPr>
              <w:t>反应器/工艺储罐/气体储罐/塔器</w:t>
            </w: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泄漏孔径为 10mm</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-4</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2</w:t>
            </w:r>
          </w:p>
        </w:tc>
        <w:tc>
          <w:tcPr>
            <w:tcW w:w="1926" w:type="dxa"/>
            <w:vMerge/>
            <w:vAlign w:val="center"/>
          </w:tcPr>
          <w:p>
            <w:pPr>
              <w:jc w:val="center"/>
              <w:rPr>
                <w:rFonts w:ascii="Times New Roman" w:hAnsi="Times New Roman" w:hint="default"/>
                <w:color w:val="auto"/>
              </w:rPr>
            </w:pP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10min 内反应釜泄漏完</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3</w:t>
            </w:r>
          </w:p>
        </w:tc>
        <w:tc>
          <w:tcPr>
            <w:tcW w:w="1926" w:type="dxa"/>
            <w:vMerge/>
            <w:vAlign w:val="center"/>
          </w:tcPr>
          <w:p>
            <w:pPr>
              <w:jc w:val="center"/>
              <w:rPr>
                <w:rFonts w:ascii="Times New Roman" w:hAnsi="Times New Roman" w:hint="default"/>
                <w:color w:val="auto"/>
              </w:rPr>
            </w:pP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反应釜全破裂</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w:t>
            </w:r>
          </w:p>
        </w:tc>
        <w:tc>
          <w:tcPr>
            <w:tcW w:w="1926" w:type="dxa"/>
            <w:vMerge w:val="restart"/>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输送管道</w:t>
            </w: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泄漏孔径为 10%孔径</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/（m</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w:t>
            </w:r>
          </w:p>
        </w:tc>
        <w:tc>
          <w:tcPr>
            <w:tcW w:w="1926" w:type="dxa"/>
            <w:vMerge/>
            <w:vAlign w:val="center"/>
          </w:tcPr>
          <w:p>
            <w:pPr>
              <w:jc w:val="center"/>
              <w:rPr>
                <w:rFonts w:ascii="Times New Roman" w:hAnsi="Times New Roman" w:hint="default"/>
                <w:color w:val="auto"/>
              </w:rPr>
            </w:pP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全管径泄漏</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 xml:space="preserve"> /（m</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6</w:t>
            </w:r>
          </w:p>
        </w:tc>
        <w:tc>
          <w:tcPr>
            <w:tcW w:w="1926" w:type="dxa"/>
            <w:vMerge w:val="restart"/>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泵体和压缩机</w:t>
            </w:r>
          </w:p>
        </w:tc>
        <w:tc>
          <w:tcPr>
            <w:tcW w:w="4394" w:type="dxa"/>
            <w:vAlign w:val="center"/>
          </w:tcPr>
          <w:p>
            <w:pPr>
              <w:jc w:val="left"/>
              <w:rPr>
                <w:rFonts w:ascii="Times New Roman" w:hAnsi="Times New Roman" w:hint="default"/>
                <w:color w:val="auto"/>
              </w:rPr>
            </w:pPr>
            <w:r>
              <w:rPr>
                <w:rFonts w:ascii="Times New Roman" w:hAnsi="Times New Roman" w:cs="Times New Roman" w:hint="default"/>
                <w:color w:val="auto"/>
                <w:lang w:val="en-US" w:eastAsia="zh-CN"/>
              </w:rPr>
              <w:t>泵体和压缩机最大连接管泄漏孔径为10%孔径（最大 50mm）</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5.00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-4</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7</w:t>
            </w:r>
          </w:p>
        </w:tc>
        <w:tc>
          <w:tcPr>
            <w:tcW w:w="1926" w:type="dxa"/>
            <w:vMerge/>
            <w:vAlign w:val="center"/>
          </w:tcPr>
          <w:p>
            <w:pPr>
              <w:jc w:val="center"/>
              <w:rPr>
                <w:rFonts w:ascii="Times New Roman" w:hAnsi="Times New Roman" w:hint="default"/>
                <w:color w:val="auto"/>
              </w:rPr>
            </w:pP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 xml:space="preserve">泵体和压缩机最大连接管全管径泄漏 </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1.00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-4</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843"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8</w:t>
            </w:r>
          </w:p>
        </w:tc>
        <w:tc>
          <w:tcPr>
            <w:tcW w:w="1926" w:type="dxa"/>
            <w:vMerge/>
            <w:vAlign w:val="center"/>
          </w:tcPr>
          <w:p>
            <w:pPr>
              <w:jc w:val="center"/>
              <w:rPr>
                <w:rFonts w:ascii="Times New Roman" w:hAnsi="Times New Roman" w:hint="default"/>
                <w:color w:val="auto"/>
              </w:rPr>
            </w:pPr>
          </w:p>
        </w:tc>
        <w:tc>
          <w:tcPr>
            <w:tcW w:w="4394"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装卸软管全管径泄漏</w:t>
            </w:r>
          </w:p>
        </w:tc>
        <w:tc>
          <w:tcPr>
            <w:tcW w:w="2125" w:type="dxa"/>
            <w:vAlign w:val="center"/>
          </w:tcPr>
          <w:p>
            <w:pPr>
              <w:jc w:val="center"/>
              <w:rPr>
                <w:rFonts w:ascii="Times New Roman" w:hAnsi="Times New Roman" w:hint="default"/>
                <w:color w:val="auto"/>
              </w:rPr>
            </w:pPr>
            <w:r>
              <w:rPr>
                <w:rFonts w:ascii="Times New Roman" w:hAnsi="Times New Roman" w:cs="Times New Roman" w:hint="default"/>
                <w:color w:val="auto"/>
                <w:lang w:val="en-US" w:eastAsia="zh-CN"/>
              </w:rPr>
              <w:t>4.00</w:t>
            </w:r>
            <w:r>
              <w:rPr>
                <w:rFonts w:ascii="Times New Roman" w:hAnsi="Times New Roman" w:cs="Times New Roman" w:hint="default"/>
                <w:color w:val="auto"/>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r>
        <w:tblPrEx>
          <w:jc w:val="center"/>
          <w:tblLayout w:type="fixed"/>
          <w:tblCellMar>
            <w:top w:w="0" w:type="dxa"/>
            <w:left w:w="108" w:type="dxa"/>
            <w:bottom w:w="0" w:type="dxa"/>
            <w:right w:w="108" w:type="dxa"/>
          </w:tblCellMar>
          <w:tblLook w:val="0000"/>
        </w:tblPrEx>
        <w:trPr>
          <w:trHeight w:val="340"/>
          <w:jc w:val="center"/>
        </w:trPr>
        <w:tc>
          <w:tcPr>
            <w:tcW w:w="9288" w:type="dxa"/>
            <w:gridSpan w:val="4"/>
            <w:vAlign w:val="center"/>
          </w:tcPr>
          <w:p>
            <w:pPr>
              <w:jc w:val="both"/>
              <w:rPr>
                <w:rFonts w:ascii="Times New Roman" w:hAnsi="Times New Roman" w:hint="default"/>
                <w:color w:val="auto"/>
              </w:rPr>
            </w:pPr>
            <w:r>
              <w:rPr>
                <w:rFonts w:ascii="Times New Roman" w:hAnsi="Times New Roman" w:cs="Times New Roman" w:hint="default"/>
                <w:color w:val="auto"/>
                <w:lang w:val="en-US" w:eastAsia="zh-CN"/>
              </w:rPr>
              <w:t>注：以上数据来源于荷兰 TNO 紫皮书（Guidelines for Quantitative）以及 Reference Manual Bevi Risk Assessments；*来源于国际油气协会（International Association of Oil &amp;Gas Producers）发布的 Risk Assessment Data Directory (2010，3)。</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（4）最大可信事故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按照《建设项目环境风险评价技术导则》（HJ169-2018）中的定义，最大可信事故指：是基于经验统计分析，在一定可能性区间内发生的事故中，造成环境危害最严重的事故。本项目生产区、储存区泄漏事故的发生概率均不为零，储存区发生泄漏，短时间内很难发觉，因此，贮存单元的泄漏事故对环境或健康的危害要远远大于生产单元。为此，确定本项目最大可信事故为：贮存单元的危险物质泄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sectPr>
          <w:footerReference w:type="default" r:id="rId34"/>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30"/>
          <w:cols w:space="708"/>
          <w:titlePg w:val="0"/>
          <w:docGrid w:type="lines" w:linePitch="312"/>
        </w:sectPr>
      </w:pPr>
      <w:r>
        <w:rPr>
          <w:rFonts w:ascii="Times New Roman" w:hAnsi="Times New Roman" w:cs="Times New Roman" w:hint="default"/>
          <w:color w:val="auto"/>
          <w:sz w:val="24"/>
          <w:szCs w:val="24"/>
          <w:lang w:val="en-US" w:eastAsia="zh-CN"/>
        </w:rPr>
        <w:t>本项目涉及危险物质泄漏的储存单位主要为：生产厂房、供药罐区、化学品库、危废仓库、废液暂存区涉及危险物质的储运。消耗量大的液态原料均采取储罐方式储存在供药区，采取储罐的储存的方式，发生事故时液体泄漏能暂存在围堰内，有足够的反应时间。</w:t>
      </w:r>
      <w:r>
        <w:rPr>
          <w:rFonts w:ascii="Times New Roman" w:hAnsi="Times New Roman" w:cs="Times New Roman" w:hint="default"/>
          <w:color w:val="auto"/>
          <w:sz w:val="24"/>
          <w:szCs w:val="24"/>
          <w:lang w:val="en-US" w:eastAsia="zh-CN"/>
        </w:rPr>
        <w:t>另外，本项目新建污水处理站，配套建设1个事故应急池，位于污水处理站旁边，总容积为2000m</w:t>
      </w:r>
      <w:r>
        <w:rPr>
          <w:rFonts w:ascii="Times New Roman" w:hAnsi="Times New Roman" w:cs="Times New Roman" w:hint="default"/>
          <w:color w:val="auto"/>
          <w:sz w:val="24"/>
          <w:szCs w:val="24"/>
          <w:vertAlign w:val="superscript"/>
          <w:lang w:val="en-US" w:eastAsia="zh-CN"/>
        </w:rPr>
        <w:t>3</w:t>
      </w:r>
      <w:r>
        <w:rPr>
          <w:rFonts w:ascii="Times New Roman" w:hAnsi="Times New Roman" w:cs="Times New Roman" w:hint="default"/>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用于收集三期工程液态原辅料储罐、废液储罐在事故状态下发生泄漏时围堰中的液态原辅料或废液，事故状态下围堰中的液态原辅料或废液可自流进入事故池中。化学品仓位于厂区东部，危废仓位于化学品仓所在建筑的二楼，均为加盖结构，化学品仓各化学品采用桶装，分类堆放在围堰内，一旦发生泄漏，泄漏的危化品会先储存在围堰内，大剂量泄漏会通过导流渠导向事故应急池；危废储存区域位于化学品仓所在建筑的二楼，周边设置截污沟和防漏收集池，上述各储存单元位于室内或具有加盖结构，且设有围堰、截污沟等，发生泄漏事故时，危险物质能控制在各储存单元内或导向事故应急池，不会进入雨水管网，也不会泄漏进入周边地表水环境。危险化学品的泄漏可能随着大气的扩散污染环境空气，也有可能因防渗层破裂，下渗污染地下水。因此，根据本项目各要素的评价等级和发生事故后对环境影响的程度和范围，确定本次风险评价对有毒有害物质在大气中的扩散进行预测分析，对有毒有害物质在地表水、地下水环境中的运移扩散进行简单分析。根据上述风险识别及事故概率调查分析，本评价筛选了几种典型危险物质进行危险物质泄漏事故情形设定，具体见表1.4-4。</w:t>
      </w:r>
    </w:p>
    <w:p>
      <w:pPr>
        <w:jc w:val="center"/>
        <w:rPr>
          <w:rFonts w:ascii="Times New Roman" w:hAnsi="Times New Roman" w:hint="default"/>
          <w:b/>
          <w:bCs/>
          <w:color w:val="auto"/>
        </w:rPr>
      </w:pPr>
      <w:r>
        <w:rPr>
          <w:rFonts w:ascii="Times New Roman" w:hAnsi="Times New Roman" w:cs="Times New Roman" w:hint="default"/>
          <w:b/>
          <w:bCs/>
          <w:color w:val="auto"/>
          <w:lang w:val="en-US" w:eastAsia="zh-CN"/>
        </w:rPr>
        <w:t>表1.4-4  风险事故情形设定一览表</w:t>
      </w:r>
    </w:p>
    <w:tbl>
      <w:tblPr>
        <w:tblStyle w:val="18"/>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1" w:type="dxa"/>
          <w:bottom w:w="0" w:type="dxa"/>
          <w:right w:w="51" w:type="dxa"/>
        </w:tblCellMar>
        <w:tblLook w:val="0000"/>
      </w:tblPr>
      <w:tblGrid>
        <w:gridCol w:w="1032"/>
        <w:gridCol w:w="1279"/>
        <w:gridCol w:w="1428"/>
        <w:gridCol w:w="1503"/>
        <w:gridCol w:w="1113"/>
        <w:gridCol w:w="1173"/>
        <w:gridCol w:w="1646"/>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51" w:type="dxa"/>
            <w:bottom w:w="0" w:type="dxa"/>
            <w:right w:w="51" w:type="dxa"/>
          </w:tblCellMar>
          <w:tblLook w:val="0000"/>
        </w:tblPrEx>
        <w:trPr>
          <w:trHeight w:val="340"/>
          <w:jc w:val="center"/>
        </w:trPr>
        <w:tc>
          <w:tcPr>
            <w:tcW w:w="1032"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环境风险类型</w:t>
            </w:r>
          </w:p>
        </w:tc>
        <w:tc>
          <w:tcPr>
            <w:tcW w:w="1279"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风险源</w:t>
            </w:r>
          </w:p>
        </w:tc>
        <w:tc>
          <w:tcPr>
            <w:tcW w:w="1428"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危险单元</w:t>
            </w:r>
          </w:p>
        </w:tc>
        <w:tc>
          <w:tcPr>
            <w:tcW w:w="1503"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危险物质</w:t>
            </w:r>
          </w:p>
        </w:tc>
        <w:tc>
          <w:tcPr>
            <w:tcW w:w="1113"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主要理化性质</w:t>
            </w:r>
          </w:p>
        </w:tc>
        <w:tc>
          <w:tcPr>
            <w:tcW w:w="1173"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环境影响途径</w:t>
            </w:r>
          </w:p>
        </w:tc>
        <w:tc>
          <w:tcPr>
            <w:tcW w:w="1646" w:type="dxa"/>
            <w:vAlign w:val="center"/>
          </w:tcPr>
          <w:p>
            <w:pPr>
              <w:jc w:val="center"/>
              <w:rPr>
                <w:rFonts w:ascii="Times New Roman" w:hAnsi="Times New Roman" w:hint="default"/>
                <w:b/>
                <w:bCs/>
                <w:color w:val="auto"/>
                <w:szCs w:val="21"/>
              </w:rPr>
            </w:pPr>
            <w:r>
              <w:rPr>
                <w:rFonts w:ascii="Times New Roman" w:hAnsi="Times New Roman" w:cs="Times New Roman" w:hint="default"/>
                <w:b/>
                <w:bCs/>
                <w:color w:val="auto"/>
                <w:sz w:val="21"/>
                <w:szCs w:val="21"/>
                <w:lang w:val="en-US" w:eastAsia="zh-CN"/>
              </w:rPr>
              <w:t>最大可信事故发生概率</w:t>
            </w:r>
          </w:p>
        </w:tc>
      </w:tr>
      <w:tr>
        <w:tblPrEx>
          <w:jc w:val="center"/>
          <w:tblLayout w:type="fixed"/>
          <w:tblCellMar>
            <w:top w:w="0" w:type="dxa"/>
            <w:left w:w="51" w:type="dxa"/>
            <w:bottom w:w="0" w:type="dxa"/>
            <w:right w:w="51" w:type="dxa"/>
          </w:tblCellMar>
          <w:tblLook w:val="0000"/>
        </w:tblPrEx>
        <w:trPr>
          <w:trHeight w:val="340"/>
          <w:jc w:val="center"/>
        </w:trPr>
        <w:tc>
          <w:tcPr>
            <w:tcW w:w="103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泄漏</w:t>
            </w:r>
          </w:p>
        </w:tc>
        <w:tc>
          <w:tcPr>
            <w:tcW w:w="1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原辅料储罐</w:t>
            </w:r>
          </w:p>
        </w:tc>
        <w:tc>
          <w:tcPr>
            <w:tcW w:w="1428"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4#厂房楼顶药罐区</w:t>
            </w:r>
          </w:p>
        </w:tc>
        <w:tc>
          <w:tcPr>
            <w:tcW w:w="150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氨水</w:t>
            </w:r>
          </w:p>
        </w:tc>
        <w:tc>
          <w:tcPr>
            <w:tcW w:w="111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腐蚀性、</w:t>
            </w:r>
          </w:p>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氨有毒</w:t>
            </w:r>
          </w:p>
        </w:tc>
        <w:tc>
          <w:tcPr>
            <w:tcW w:w="117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大气扩散、</w:t>
            </w:r>
          </w:p>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垂直入渗</w:t>
            </w:r>
          </w:p>
        </w:tc>
        <w:tc>
          <w:tcPr>
            <w:tcW w:w="1646" w:type="dxa"/>
            <w:vAlign w:val="center"/>
          </w:tcPr>
          <w:p>
            <w:pPr>
              <w:keepNext w:val="0"/>
              <w:keepLines w:val="0"/>
              <w:pageBreakBefore w:val="0"/>
              <w:widowControl w:val="0"/>
              <w:kinsoku/>
              <w:wordWrap w:val="0"/>
              <w:overflowPunct/>
              <w:topLinePunct w:val="0"/>
              <w:autoSpaceDE/>
              <w:autoSpaceDN/>
              <w:bidi w:val="0"/>
              <w:adjustRightInd/>
              <w:snapToGrid/>
              <w:jc w:val="left"/>
              <w:textAlignment w:val="auto"/>
              <w:rPr>
                <w:rFonts w:ascii="Times New Roman" w:hAnsi="Times New Roman" w:hint="default"/>
                <w:color w:val="auto"/>
                <w:szCs w:val="21"/>
              </w:rPr>
            </w:pPr>
            <w:r>
              <w:rPr>
                <w:rFonts w:ascii="Times New Roman" w:hAnsi="Times New Roman" w:cs="Times New Roman" w:hint="default"/>
                <w:color w:val="auto"/>
                <w:sz w:val="21"/>
                <w:szCs w:val="21"/>
                <w:lang w:val="en-US" w:eastAsia="zh-CN"/>
              </w:rPr>
              <w:t>储罐全破裂5.00</w:t>
            </w: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r>
        <w:tblPrEx>
          <w:jc w:val="center"/>
          <w:tblLayout w:type="fixed"/>
          <w:tblCellMar>
            <w:top w:w="0" w:type="dxa"/>
            <w:left w:w="51" w:type="dxa"/>
            <w:bottom w:w="0" w:type="dxa"/>
            <w:right w:w="51" w:type="dxa"/>
          </w:tblCellMar>
          <w:tblLook w:val="0000"/>
        </w:tblPrEx>
        <w:trPr>
          <w:trHeight w:val="340"/>
          <w:jc w:val="center"/>
        </w:trPr>
        <w:tc>
          <w:tcPr>
            <w:tcW w:w="103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泄漏</w:t>
            </w:r>
          </w:p>
        </w:tc>
        <w:tc>
          <w:tcPr>
            <w:tcW w:w="1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原辅料储罐</w:t>
            </w:r>
          </w:p>
        </w:tc>
        <w:tc>
          <w:tcPr>
            <w:tcW w:w="1428"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4#厂房楼顶药罐区</w:t>
            </w:r>
          </w:p>
        </w:tc>
        <w:tc>
          <w:tcPr>
            <w:tcW w:w="150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31%盐酸</w:t>
            </w:r>
          </w:p>
        </w:tc>
        <w:tc>
          <w:tcPr>
            <w:tcW w:w="111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腐蚀性</w:t>
            </w:r>
          </w:p>
        </w:tc>
        <w:tc>
          <w:tcPr>
            <w:tcW w:w="117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大气扩散、</w:t>
            </w:r>
          </w:p>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垂直入渗</w:t>
            </w:r>
          </w:p>
        </w:tc>
        <w:tc>
          <w:tcPr>
            <w:tcW w:w="1646" w:type="dxa"/>
            <w:vAlign w:val="center"/>
          </w:tcPr>
          <w:p>
            <w:pPr>
              <w:keepNext w:val="0"/>
              <w:keepLines w:val="0"/>
              <w:pageBreakBefore w:val="0"/>
              <w:widowControl w:val="0"/>
              <w:kinsoku/>
              <w:wordWrap w:val="0"/>
              <w:overflowPunct/>
              <w:topLinePunct w:val="0"/>
              <w:autoSpaceDE/>
              <w:autoSpaceDN/>
              <w:bidi w:val="0"/>
              <w:adjustRightInd/>
              <w:snapToGrid/>
              <w:jc w:val="left"/>
              <w:textAlignment w:val="auto"/>
              <w:rPr>
                <w:rFonts w:ascii="Times New Roman" w:hAnsi="Times New Roman" w:hint="default"/>
                <w:color w:val="auto"/>
                <w:szCs w:val="21"/>
              </w:rPr>
            </w:pPr>
            <w:r>
              <w:rPr>
                <w:rFonts w:ascii="Times New Roman" w:hAnsi="Times New Roman" w:cs="Times New Roman" w:hint="default"/>
                <w:color w:val="auto"/>
                <w:sz w:val="21"/>
                <w:szCs w:val="21"/>
                <w:lang w:val="en-US" w:eastAsia="zh-CN"/>
              </w:rPr>
              <w:t>储罐全破裂5.00</w:t>
            </w: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r>
        <w:tblPrEx>
          <w:jc w:val="center"/>
          <w:tblLayout w:type="fixed"/>
          <w:tblCellMar>
            <w:top w:w="0" w:type="dxa"/>
            <w:left w:w="51" w:type="dxa"/>
            <w:bottom w:w="0" w:type="dxa"/>
            <w:right w:w="51" w:type="dxa"/>
          </w:tblCellMar>
          <w:tblLook w:val="0000"/>
        </w:tblPrEx>
        <w:trPr>
          <w:trHeight w:val="340"/>
          <w:jc w:val="center"/>
        </w:trPr>
        <w:tc>
          <w:tcPr>
            <w:tcW w:w="103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泄漏</w:t>
            </w:r>
          </w:p>
        </w:tc>
        <w:tc>
          <w:tcPr>
            <w:tcW w:w="1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原辅料储罐</w:t>
            </w:r>
          </w:p>
        </w:tc>
        <w:tc>
          <w:tcPr>
            <w:tcW w:w="1428"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4#厂房楼顶药罐区</w:t>
            </w:r>
          </w:p>
        </w:tc>
        <w:tc>
          <w:tcPr>
            <w:tcW w:w="1503"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退锡水（硝酸35</w:t>
            </w:r>
            <w:r>
              <w:rPr>
                <w:rFonts w:ascii="Times New Roman" w:eastAsia="宋体" w:hAnsi="Times New Roman" w:cs="Times New Roman" w:hint="default"/>
                <w:color w:val="auto"/>
                <w:sz w:val="21"/>
                <w:szCs w:val="21"/>
                <w:lang w:val="en-US" w:eastAsia="zh-CN"/>
              </w:rPr>
              <w:t>～</w:t>
            </w:r>
            <w:r>
              <w:rPr>
                <w:rFonts w:ascii="Times New Roman" w:hAnsi="Times New Roman" w:cs="Times New Roman" w:hint="default"/>
                <w:color w:val="auto"/>
                <w:sz w:val="21"/>
                <w:szCs w:val="21"/>
                <w:lang w:val="en-US" w:eastAsia="zh-CN"/>
              </w:rPr>
              <w:t>55%、硝酸铁15</w:t>
            </w:r>
            <w:r>
              <w:rPr>
                <w:rFonts w:ascii="Times New Roman" w:eastAsia="宋体" w:hAnsi="Times New Roman" w:cs="Times New Roman" w:hint="default"/>
                <w:color w:val="auto"/>
                <w:sz w:val="21"/>
                <w:szCs w:val="21"/>
                <w:lang w:val="en-US" w:eastAsia="zh-CN"/>
              </w:rPr>
              <w:t>～</w:t>
            </w:r>
            <w:r>
              <w:rPr>
                <w:rFonts w:ascii="Times New Roman" w:hAnsi="Times New Roman" w:cs="Times New Roman" w:hint="default"/>
                <w:color w:val="auto"/>
                <w:sz w:val="21"/>
                <w:szCs w:val="21"/>
                <w:lang w:val="en-US" w:eastAsia="zh-CN"/>
              </w:rPr>
              <w:t>35%）</w:t>
            </w:r>
          </w:p>
        </w:tc>
        <w:tc>
          <w:tcPr>
            <w:tcW w:w="111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腐蚀性</w:t>
            </w:r>
          </w:p>
        </w:tc>
        <w:tc>
          <w:tcPr>
            <w:tcW w:w="117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大气扩散、</w:t>
            </w:r>
          </w:p>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垂直入渗</w:t>
            </w:r>
          </w:p>
        </w:tc>
        <w:tc>
          <w:tcPr>
            <w:tcW w:w="1646" w:type="dxa"/>
            <w:vAlign w:val="center"/>
          </w:tcPr>
          <w:p>
            <w:pPr>
              <w:keepNext w:val="0"/>
              <w:keepLines w:val="0"/>
              <w:pageBreakBefore w:val="0"/>
              <w:widowControl w:val="0"/>
              <w:kinsoku/>
              <w:wordWrap w:val="0"/>
              <w:overflowPunct/>
              <w:topLinePunct w:val="0"/>
              <w:autoSpaceDE/>
              <w:autoSpaceDN/>
              <w:bidi w:val="0"/>
              <w:adjustRightInd/>
              <w:snapToGrid/>
              <w:jc w:val="left"/>
              <w:textAlignment w:val="auto"/>
              <w:rPr>
                <w:rFonts w:ascii="Times New Roman" w:hAnsi="Times New Roman" w:hint="default"/>
                <w:color w:val="auto"/>
                <w:szCs w:val="21"/>
              </w:rPr>
            </w:pPr>
            <w:r>
              <w:rPr>
                <w:rFonts w:ascii="Times New Roman" w:hAnsi="Times New Roman" w:cs="Times New Roman" w:hint="default"/>
                <w:color w:val="auto"/>
                <w:sz w:val="21"/>
                <w:szCs w:val="21"/>
                <w:lang w:val="en-US" w:eastAsia="zh-CN"/>
              </w:rPr>
              <w:t>储罐全破裂5.00</w:t>
            </w: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r>
        <w:tblPrEx>
          <w:jc w:val="center"/>
          <w:tblLayout w:type="fixed"/>
          <w:tblCellMar>
            <w:top w:w="0" w:type="dxa"/>
            <w:left w:w="51" w:type="dxa"/>
            <w:bottom w:w="0" w:type="dxa"/>
            <w:right w:w="51" w:type="dxa"/>
          </w:tblCellMar>
          <w:tblLook w:val="0000"/>
        </w:tblPrEx>
        <w:trPr>
          <w:trHeight w:val="340"/>
          <w:jc w:val="center"/>
        </w:trPr>
        <w:tc>
          <w:tcPr>
            <w:tcW w:w="103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rPr>
              <w:t>泄漏</w:t>
            </w:r>
          </w:p>
        </w:tc>
        <w:tc>
          <w:tcPr>
            <w:tcW w:w="1279"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原辅料储罐</w:t>
            </w:r>
          </w:p>
        </w:tc>
        <w:tc>
          <w:tcPr>
            <w:tcW w:w="1428"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4#厂房楼顶药罐区</w:t>
            </w:r>
          </w:p>
        </w:tc>
        <w:tc>
          <w:tcPr>
            <w:tcW w:w="150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硫酸</w:t>
            </w:r>
          </w:p>
        </w:tc>
        <w:tc>
          <w:tcPr>
            <w:tcW w:w="1113"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强氧化性、腐蚀性</w:t>
            </w:r>
          </w:p>
        </w:tc>
        <w:tc>
          <w:tcPr>
            <w:tcW w:w="117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大气扩散</w:t>
            </w:r>
          </w:p>
        </w:tc>
        <w:tc>
          <w:tcPr>
            <w:tcW w:w="1646" w:type="dxa"/>
            <w:vAlign w:val="center"/>
          </w:tcPr>
          <w:p>
            <w:pPr>
              <w:keepNext w:val="0"/>
              <w:keepLines w:val="0"/>
              <w:pageBreakBefore w:val="0"/>
              <w:widowControl w:val="0"/>
              <w:kinsoku/>
              <w:wordWrap w:val="0"/>
              <w:overflowPunct/>
              <w:topLinePunct w:val="0"/>
              <w:autoSpaceDE/>
              <w:autoSpaceDN/>
              <w:bidi w:val="0"/>
              <w:adjustRightInd/>
              <w:snapToGrid/>
              <w:jc w:val="left"/>
              <w:textAlignment w:val="auto"/>
              <w:rPr>
                <w:rFonts w:ascii="Times New Roman" w:hAnsi="Times New Roman" w:hint="default"/>
                <w:color w:val="auto"/>
                <w:szCs w:val="21"/>
              </w:rPr>
            </w:pPr>
            <w:r>
              <w:rPr>
                <w:rFonts w:ascii="Times New Roman" w:hAnsi="Times New Roman" w:cs="Times New Roman" w:hint="default"/>
                <w:color w:val="auto"/>
                <w:sz w:val="21"/>
                <w:szCs w:val="21"/>
                <w:lang w:val="en-US" w:eastAsia="zh-CN"/>
              </w:rPr>
              <w:t>全管径泄漏1.00</w:t>
            </w: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sz w:val="21"/>
                <w:szCs w:val="21"/>
                <w:lang w:val="en-US" w:eastAsia="zh-CN"/>
              </w:rPr>
              <w:t>/（m</w:t>
            </w: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sz w:val="21"/>
                <w:szCs w:val="21"/>
                <w:lang w:val="en-US" w:eastAsia="zh-CN"/>
              </w:rPr>
              <w:t>a）</w:t>
            </w:r>
          </w:p>
        </w:tc>
      </w:tr>
      <w:tr>
        <w:tblPrEx>
          <w:jc w:val="center"/>
          <w:tblLayout w:type="fixed"/>
          <w:tblCellMar>
            <w:top w:w="0" w:type="dxa"/>
            <w:left w:w="51" w:type="dxa"/>
            <w:bottom w:w="0" w:type="dxa"/>
            <w:right w:w="51" w:type="dxa"/>
          </w:tblCellMar>
          <w:tblLook w:val="0000"/>
        </w:tblPrEx>
        <w:trPr>
          <w:trHeight w:val="340"/>
          <w:jc w:val="center"/>
        </w:trPr>
        <w:tc>
          <w:tcPr>
            <w:tcW w:w="1032"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火灾</w:t>
            </w:r>
          </w:p>
        </w:tc>
        <w:tc>
          <w:tcPr>
            <w:tcW w:w="1279" w:type="dxa"/>
            <w:vAlign w:val="center"/>
          </w:tcPr>
          <w:p>
            <w:pPr>
              <w:jc w:val="left"/>
              <w:rPr>
                <w:rFonts w:ascii="Times New Roman" w:hAnsi="Times New Roman" w:hint="default"/>
                <w:color w:val="auto"/>
                <w:szCs w:val="21"/>
              </w:rPr>
            </w:pPr>
            <w:r>
              <w:rPr>
                <w:rFonts w:ascii="Times New Roman" w:hAnsi="Times New Roman" w:cs="Times New Roman" w:hint="default"/>
                <w:color w:val="auto"/>
                <w:sz w:val="21"/>
                <w:szCs w:val="21"/>
                <w:lang w:val="en-US" w:eastAsia="zh-CN"/>
              </w:rPr>
              <w:t>防白水、油墨包装桶</w:t>
            </w:r>
          </w:p>
        </w:tc>
        <w:tc>
          <w:tcPr>
            <w:tcW w:w="1428"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化学品仓库</w:t>
            </w:r>
          </w:p>
        </w:tc>
        <w:tc>
          <w:tcPr>
            <w:tcW w:w="150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防白水、油墨等</w:t>
            </w:r>
          </w:p>
        </w:tc>
        <w:tc>
          <w:tcPr>
            <w:tcW w:w="111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可燃性</w:t>
            </w:r>
          </w:p>
        </w:tc>
        <w:tc>
          <w:tcPr>
            <w:tcW w:w="1173" w:type="dxa"/>
            <w:vAlign w:val="center"/>
          </w:tcPr>
          <w:p>
            <w:pPr>
              <w:jc w:val="center"/>
              <w:rPr>
                <w:rFonts w:ascii="Times New Roman" w:hAnsi="Times New Roman" w:hint="default"/>
                <w:color w:val="auto"/>
                <w:szCs w:val="21"/>
              </w:rPr>
            </w:pPr>
            <w:r>
              <w:rPr>
                <w:rFonts w:ascii="Times New Roman" w:hAnsi="Times New Roman" w:cs="Times New Roman" w:hint="default"/>
                <w:color w:val="auto"/>
                <w:sz w:val="21"/>
                <w:szCs w:val="21"/>
                <w:lang w:val="en-US" w:eastAsia="zh-CN"/>
              </w:rPr>
              <w:t>大气扩散</w:t>
            </w:r>
          </w:p>
        </w:tc>
        <w:tc>
          <w:tcPr>
            <w:tcW w:w="1646" w:type="dxa"/>
            <w:vAlign w:val="center"/>
          </w:tcPr>
          <w:p>
            <w:pPr>
              <w:keepNext w:val="0"/>
              <w:keepLines w:val="0"/>
              <w:pageBreakBefore w:val="0"/>
              <w:widowControl w:val="0"/>
              <w:kinsoku/>
              <w:wordWrap w:val="0"/>
              <w:overflowPunct/>
              <w:topLinePunct w:val="0"/>
              <w:autoSpaceDE/>
              <w:autoSpaceDN/>
              <w:bidi w:val="0"/>
              <w:adjustRightInd/>
              <w:snapToGrid/>
              <w:jc w:val="left"/>
              <w:textAlignment w:val="auto"/>
              <w:rPr>
                <w:rFonts w:ascii="Times New Roman" w:hAnsi="Times New Roman" w:hint="default"/>
                <w:color w:val="auto"/>
                <w:szCs w:val="21"/>
              </w:rPr>
            </w:pPr>
            <w:r>
              <w:rPr>
                <w:rFonts w:ascii="Times New Roman" w:hAnsi="Times New Roman" w:cs="Times New Roman" w:hint="default"/>
                <w:color w:val="auto"/>
                <w:sz w:val="21"/>
                <w:szCs w:val="21"/>
                <w:lang w:val="en-US" w:eastAsia="zh-CN"/>
              </w:rPr>
              <w:t>包装桶破裂，并遇电火源5.00</w:t>
            </w:r>
            <w:r>
              <w:rPr>
                <w:rFonts w:ascii="Times New Roman" w:hAnsi="Times New Roman" w:cs="Times New Roman" w:hint="default"/>
                <w:color w:val="auto"/>
                <w:sz w:val="21"/>
                <w:szCs w:val="21"/>
                <w:lang w:val="en-US" w:eastAsia="zh-CN"/>
              </w:rPr>
              <w:t>×</w:t>
            </w:r>
            <w:r>
              <w:rPr>
                <w:rFonts w:ascii="Times New Roman" w:hAnsi="Times New Roman" w:cs="Times New Roman" w:hint="default"/>
                <w:color w:val="auto"/>
                <w:lang w:val="en-US" w:eastAsia="zh-CN"/>
              </w:rPr>
              <w:t>10</w:t>
            </w:r>
            <w:r>
              <w:rPr>
                <w:rFonts w:ascii="Times New Roman" w:hAnsi="Times New Roman" w:cs="Times New Roman" w:hint="default"/>
                <w:color w:val="auto"/>
                <w:vertAlign w:val="superscript"/>
                <w:lang w:val="en-US" w:eastAsia="zh-CN"/>
              </w:rPr>
              <w:t>-6</w:t>
            </w:r>
            <w:r>
              <w:rPr>
                <w:rFonts w:ascii="Times New Roman" w:hAnsi="Times New Roman" w:cs="Times New Roman" w:hint="default"/>
                <w:color w:val="auto"/>
                <w:lang w:val="en-US" w:eastAsia="zh-CN"/>
              </w:rPr>
              <w:t>/a</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本项目拟设防渗层、围堰、导流渠、事故应急池等防范措施，发生泄漏事故时，危险物质能控制在各储存单元内或导向事故应急池；发生火灾时，关闭厂内雨水管网的排放口，消防废水将收集到消防废水池中暂存。化学品的泄漏可能随着大气的扩散污染环境空气，也有可能因防渗层破裂，下渗污染地下水；火灾事故伴生/次生产生的污染物可能随着大气的扩散污染环境空气。根据本项目各要素的评价等级和发生事故后对环境影响的程度和范围，确定本次风险评价对有毒有害物质在大气中的扩散进行预测分析，对有毒有害物质在地表水中的运移扩散进行定性分析说明，对有毒有害物质在地下水环境中的运移扩散进行简单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r>
        <w:rPr>
          <w:rFonts w:ascii="Times New Roman" w:hAnsi="Times New Roman" w:cs="Times New Roman" w:hint="default"/>
          <w:color w:val="auto"/>
          <w:sz w:val="24"/>
          <w:szCs w:val="24"/>
          <w:lang w:val="en-US" w:eastAsia="zh-CN"/>
        </w:rPr>
        <w:t>环境风险评价关注点是事故对厂界外环境的影响。本项目退锡水、硫酸、氢氧化钠、双氧水、硝酸、盐酸、氨水消耗量较大，综合泄漏后的危害性，选取退锡水（硝酸35</w:t>
      </w:r>
      <w:r>
        <w:rPr>
          <w:rFonts w:ascii="Times New Roman" w:eastAsia="宋体" w:hAnsi="Times New Roman" w:cs="Times New Roman" w:hint="default"/>
          <w:color w:val="auto"/>
          <w:sz w:val="24"/>
          <w:szCs w:val="24"/>
          <w:lang w:val="en-US" w:eastAsia="zh-CN"/>
        </w:rPr>
        <w:t>～</w:t>
      </w:r>
      <w:r>
        <w:rPr>
          <w:rFonts w:ascii="Times New Roman" w:hAnsi="Times New Roman" w:cs="Times New Roman" w:hint="default"/>
          <w:color w:val="auto"/>
          <w:sz w:val="24"/>
          <w:szCs w:val="24"/>
          <w:lang w:val="en-US" w:eastAsia="zh-CN"/>
        </w:rPr>
        <w:t>55%、硝酸铁15</w:t>
      </w:r>
      <w:r>
        <w:rPr>
          <w:rFonts w:ascii="Times New Roman" w:eastAsia="宋体" w:hAnsi="Times New Roman" w:cs="Times New Roman" w:hint="default"/>
          <w:color w:val="auto"/>
          <w:sz w:val="24"/>
          <w:szCs w:val="24"/>
          <w:lang w:val="en-US" w:eastAsia="zh-CN"/>
        </w:rPr>
        <w:t>～</w:t>
      </w:r>
      <w:r>
        <w:rPr>
          <w:rFonts w:ascii="Times New Roman" w:hAnsi="Times New Roman" w:hint="default"/>
          <w:color w:val="auto"/>
          <w:sz w:val="24"/>
        </w:rPr>
        <w:br/>
      </w:r>
      <w:r>
        <w:rPr>
          <w:rFonts w:ascii="Times New Roman" w:hAnsi="Times New Roman" w:hint="default"/>
          <w:color w:val="auto"/>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https://d.book118.com/097046110124006045</w:t>
        </w:r>
      </w:hyperlink>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imes New Roman" w:hAnsi="Times New Roman" w:hint="default"/>
          <w:color w:val="auto"/>
          <w:sz w:val="24"/>
        </w:rPr>
      </w:pPr>
    </w:p>
    <w:sectPr>
      <w:footerReference w:type="default" r:id="rId36"/>
      <w:type w:val="nextPage"/>
      <w:pgSz w:w="11906" w:h="16838"/>
      <w:pgMar w:top="1417" w:right="1417" w:bottom="1417" w:left="1417"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3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AFF" w:usb1="C0007841" w:usb2="00000009" w:usb3="00000000" w:csb0="400601FF" w:csb1="FFFF0000"/>
  </w:font>
  <w:font w:name="宋体">
    <w:panose1 w:val="02010600030101010101"/>
    <w:charset w:val="86"/>
    <w:family w:val="auto"/>
    <w:pitch w:val="default"/>
    <w:sig w:usb0="00000003" w:usb1="288F0000" w:usb2="00000006" w:usb3="00000000" w:csb0="00060001"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w:t>
                </w:r>
                <w:r>
                  <w:rPr>
                    <w:rFonts w:ascii="Times New Roman" w:hAnsi="Times New Roman" w:cs="Times New Roman" w:hint="default"/>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w:t>
                </w:r>
                <w:r>
                  <w:rPr>
                    <w:rFonts w:ascii="Times New Roman" w:hAnsi="Times New Roman" w:cs="Times New Roman" w:hint="default"/>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3</w:t>
                </w:r>
                <w:r>
                  <w:rPr>
                    <w:rFonts w:ascii="Times New Roman" w:hAnsi="Times New Roman" w:cs="Times New Roman" w:hint="default"/>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4</w:t>
                </w:r>
                <w:r>
                  <w:rPr>
                    <w:rFonts w:ascii="Times New Roman" w:hAnsi="Times New Roman" w:cs="Times New Roman" w:hint="default"/>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5</w:t>
                </w:r>
                <w:r>
                  <w:rPr>
                    <w:rFonts w:ascii="Times New Roman" w:hAnsi="Times New Roman" w:cs="Times New Roman" w:hint="default"/>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6</w:t>
                </w:r>
                <w:r>
                  <w:rPr>
                    <w:rFonts w:ascii="Times New Roman" w:hAnsi="Times New Roman" w:cs="Times New Roman" w:hint="default"/>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7</w:t>
                </w:r>
                <w:r>
                  <w:rPr>
                    <w:rFonts w:ascii="Times New Roman" w:hAnsi="Times New Roman" w:cs="Times New Roman" w:hint="default"/>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8</w:t>
                </w:r>
                <w:r>
                  <w:rPr>
                    <w:rFonts w:ascii="Times New Roman" w:hAnsi="Times New Roman" w:cs="Times New Roman" w:hint="default"/>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9</w:t>
                </w:r>
                <w:r>
                  <w:rPr>
                    <w:rFonts w:ascii="Times New Roman" w:hAnsi="Times New Roman" w:cs="Times New Roman" w:hint="default"/>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10</w:t>
                </w:r>
                <w:r>
                  <w:rPr>
                    <w:rFonts w:ascii="Times New Roman" w:hAnsi="Times New Roman" w:cs="Times New Roman" w:hint="default"/>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11</w:t>
                </w:r>
                <w:r>
                  <w:rPr>
                    <w:rFonts w:ascii="Times New Roman" w:hAnsi="Times New Roman" w:cs="Times New Roman" w:hint="default"/>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13</w:t>
                </w:r>
                <w:r>
                  <w:rPr>
                    <w:rFonts w:ascii="Times New Roman" w:hAnsi="Times New Roman" w:cs="Times New Roman" w:hint="default"/>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13</w:t>
                </w:r>
                <w:r>
                  <w:rPr>
                    <w:rFonts w:ascii="Times New Roman" w:hAnsi="Times New Roman" w:cs="Times New Roman" w:hint="default"/>
                    <w:lang w:eastAsia="zh-CN"/>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15</w:t>
                </w:r>
                <w:r>
                  <w:rPr>
                    <w:rFonts w:ascii="Times New Roman" w:hAnsi="Times New Roman" w:cs="Times New Roman" w:hint="default"/>
                    <w:lang w:eastAsia="zh-CN"/>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15</w:t>
                </w:r>
                <w:r>
                  <w:rPr>
                    <w:rFonts w:ascii="Times New Roman" w:hAnsi="Times New Roman" w:cs="Times New Roman" w:hint="default"/>
                    <w:lang w:eastAsia="zh-CN"/>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16</w:t>
                </w:r>
                <w:r>
                  <w:rPr>
                    <w:rFonts w:ascii="Times New Roman" w:hAnsi="Times New Roman" w:cs="Times New Roman" w:hint="default"/>
                    <w:lang w:eastAsia="zh-CN"/>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17</w:t>
                </w:r>
                <w:r>
                  <w:rPr>
                    <w:rFonts w:ascii="Times New Roman" w:hAnsi="Times New Roman" w:cs="Times New Roman" w:hint="default"/>
                    <w:lang w:eastAsia="zh-CN"/>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19</w:t>
                </w:r>
                <w:r>
                  <w:rPr>
                    <w:rFonts w:ascii="Times New Roman" w:hAnsi="Times New Roman" w:cs="Times New Roman" w:hint="default"/>
                    <w:lang w:eastAsia="zh-CN"/>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20</w:t>
                </w:r>
                <w:r>
                  <w:rPr>
                    <w:rFonts w:ascii="Times New Roman" w:hAnsi="Times New Roman" w:cs="Times New Roman" w:hint="default"/>
                    <w:lang w:eastAsia="zh-CN"/>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20</w:t>
                </w:r>
                <w:r>
                  <w:rPr>
                    <w:rFonts w:ascii="Times New Roman" w:hAnsi="Times New Roman" w:cs="Times New Roman" w:hint="default"/>
                    <w:lang w:eastAsia="zh-CN"/>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22</w:t>
                </w:r>
                <w:r>
                  <w:rPr>
                    <w:rFonts w:ascii="Times New Roman" w:hAnsi="Times New Roman" w:cs="Times New Roman" w:hint="default"/>
                    <w:lang w:eastAsia="zh-CN"/>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23</w:t>
                </w:r>
                <w:r>
                  <w:rPr>
                    <w:rFonts w:ascii="Times New Roman" w:hAnsi="Times New Roman" w:cs="Times New Roman" w:hint="default"/>
                    <w:lang w:eastAsia="zh-CN"/>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24</w:t>
                </w:r>
                <w:r>
                  <w:rPr>
                    <w:rFonts w:ascii="Times New Roman" w:hAnsi="Times New Roman" w:cs="Times New Roman" w:hint="default"/>
                    <w:lang w:eastAsia="zh-CN"/>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25</w:t>
                </w:r>
                <w:r>
                  <w:rPr>
                    <w:rFonts w:ascii="Times New Roman" w:hAnsi="Times New Roman" w:cs="Times New Roman" w:hint="default"/>
                    <w:lang w:eastAsia="zh-CN"/>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25</w:t>
                </w:r>
                <w:r>
                  <w:rPr>
                    <w:rFonts w:ascii="Times New Roman" w:hAnsi="Times New Roman" w:cs="Times New Roman" w:hint="default"/>
                    <w:lang w:eastAsia="zh-CN"/>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26</w:t>
                </w:r>
                <w:r>
                  <w:rPr>
                    <w:rFonts w:ascii="Times New Roman" w:hAnsi="Times New Roman" w:cs="Times New Roman" w:hint="default"/>
                    <w:lang w:eastAsia="zh-CN"/>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28</w:t>
                </w:r>
                <w:r>
                  <w:rPr>
                    <w:rFonts w:ascii="Times New Roman" w:hAnsi="Times New Roman" w:cs="Times New Roman" w:hint="default"/>
                    <w:lang w:eastAsia="zh-CN"/>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6"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28</w:t>
                </w:r>
                <w:r>
                  <w:rPr>
                    <w:rFonts w:ascii="Times New Roman" w:hAnsi="Times New Roman" w:cs="Times New Roman" w:hint="default"/>
                    <w:lang w:eastAsia="zh-CN"/>
                  </w:rPr>
                  <w:fldChar w:fldCharType="end"/>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7"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29</w:t>
                </w:r>
                <w:r>
                  <w:rPr>
                    <w:rFonts w:ascii="Times New Roman" w:hAnsi="Times New Roman" w:cs="Times New Roman" w:hint="default"/>
                    <w:lang w:eastAsia="zh-CN"/>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8"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30</w:t>
                </w:r>
                <w:r>
                  <w:rPr>
                    <w:rFonts w:ascii="Times New Roman" w:hAnsi="Times New Roman" w:cs="Times New Roman" w:hint="default"/>
                    <w:lang w:eastAsia="zh-CN"/>
                  </w:rPr>
                  <w:fldChar w:fldCharType="end"/>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79"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lang w:eastAsia="zh-CN"/>
                  </w:rPr>
                </w:pPr>
                <w:r>
                  <w:rPr>
                    <w:rFonts w:ascii="Times New Roman" w:hAnsi="Times New Roman" w:cs="Times New Roman" w:hint="default"/>
                    <w:lang w:eastAsia="zh-CN"/>
                  </w:rPr>
                  <w:fldChar w:fldCharType="begin"/>
                </w:r>
                <w:r>
                  <w:rPr>
                    <w:rFonts w:ascii="Times New Roman" w:hAnsi="Times New Roman" w:cs="Times New Roman" w:hint="default"/>
                    <w:lang w:eastAsia="zh-CN"/>
                  </w:rPr>
                  <w:instrText xml:space="preserve"> PAGE  \* MERGEFORMAT </w:instrText>
                </w:r>
                <w:r>
                  <w:rPr>
                    <w:rFonts w:ascii="Times New Roman" w:hAnsi="Times New Roman" w:cs="Times New Roman" w:hint="default"/>
                    <w:lang w:eastAsia="zh-CN"/>
                  </w:rPr>
                  <w:fldChar w:fldCharType="separate"/>
                </w:r>
                <w:r>
                  <w:rPr>
                    <w:rFonts w:ascii="Times New Roman" w:hAnsi="Times New Roman" w:cs="Times New Roman" w:hint="default"/>
                    <w:lang w:eastAsia="zh-CN"/>
                  </w:rPr>
                  <w:t>32</w:t>
                </w:r>
                <w:r>
                  <w:rPr>
                    <w:rFonts w:ascii="Times New Roman" w:hAnsi="Times New Roman" w:cs="Times New Roman" w:hint="default"/>
                    <w:lang w:eastAsia="zh-CN"/>
                  </w:rPr>
                  <w:fldChar w:fldCharType="end"/>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24A6B88"/>
    <w:rsid w:val="04004813"/>
    <w:rsid w:val="04B76805"/>
    <w:rsid w:val="05F620A8"/>
    <w:rsid w:val="080D29E7"/>
    <w:rsid w:val="08D12032"/>
    <w:rsid w:val="0CEF6031"/>
    <w:rsid w:val="0D3E44E3"/>
    <w:rsid w:val="0E62576B"/>
    <w:rsid w:val="12301C70"/>
    <w:rsid w:val="1334598F"/>
    <w:rsid w:val="13FC79DA"/>
    <w:rsid w:val="14FE110A"/>
    <w:rsid w:val="15CC09DD"/>
    <w:rsid w:val="1A6740D6"/>
    <w:rsid w:val="1B1C538E"/>
    <w:rsid w:val="1CC414C0"/>
    <w:rsid w:val="203765E1"/>
    <w:rsid w:val="20DF62D5"/>
    <w:rsid w:val="217A6A07"/>
    <w:rsid w:val="22AF0896"/>
    <w:rsid w:val="23BA6D89"/>
    <w:rsid w:val="25B52F3C"/>
    <w:rsid w:val="26680BC2"/>
    <w:rsid w:val="26703EC9"/>
    <w:rsid w:val="27621105"/>
    <w:rsid w:val="2A704DAF"/>
    <w:rsid w:val="2BE22FF4"/>
    <w:rsid w:val="2C1A30AD"/>
    <w:rsid w:val="2CBC2A75"/>
    <w:rsid w:val="2E58648B"/>
    <w:rsid w:val="3003035B"/>
    <w:rsid w:val="31BC77C8"/>
    <w:rsid w:val="33717808"/>
    <w:rsid w:val="34932663"/>
    <w:rsid w:val="357E2A76"/>
    <w:rsid w:val="36E01819"/>
    <w:rsid w:val="37835674"/>
    <w:rsid w:val="39124C59"/>
    <w:rsid w:val="3B29495B"/>
    <w:rsid w:val="3F171078"/>
    <w:rsid w:val="407D4CB6"/>
    <w:rsid w:val="41187E87"/>
    <w:rsid w:val="41196A0E"/>
    <w:rsid w:val="42835015"/>
    <w:rsid w:val="443F6297"/>
    <w:rsid w:val="48D2429D"/>
    <w:rsid w:val="4B804021"/>
    <w:rsid w:val="4E710F72"/>
    <w:rsid w:val="54DA16EF"/>
    <w:rsid w:val="572E061A"/>
    <w:rsid w:val="58A123AE"/>
    <w:rsid w:val="59371B26"/>
    <w:rsid w:val="5DB60DF9"/>
    <w:rsid w:val="5E0B6831"/>
    <w:rsid w:val="5E13074B"/>
    <w:rsid w:val="606F0E92"/>
    <w:rsid w:val="60801BD3"/>
    <w:rsid w:val="60B75499"/>
    <w:rsid w:val="63415DF0"/>
    <w:rsid w:val="677245F9"/>
    <w:rsid w:val="691C1CDB"/>
    <w:rsid w:val="6C3A6039"/>
    <w:rsid w:val="6D093FAF"/>
    <w:rsid w:val="6D405C13"/>
    <w:rsid w:val="6D8A68FF"/>
    <w:rsid w:val="6EA326D7"/>
    <w:rsid w:val="6FC13AD3"/>
    <w:rsid w:val="70115B38"/>
    <w:rsid w:val="707E0DD7"/>
    <w:rsid w:val="742B1782"/>
    <w:rsid w:val="752D14B1"/>
    <w:rsid w:val="79BE2360"/>
    <w:rsid w:val="7DBF4E7F"/>
  </w:rsids>
  <w:docVars>
    <w:docVar w:name="commondata" w:val="eyJoZGlkIjoiN2I2ZTA4NzE5OTY5M2Q5NmExZjRjMzc2MWNhYTI3OG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1"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qFormat/>
    <w:pPr>
      <w:widowControl w:val="0"/>
      <w:jc w:val="both"/>
    </w:pPr>
    <w:rPr>
      <w:rFonts w:ascii="宋体" w:eastAsia="宋体" w:hAnsi="宋体" w:cs="Times New Roman"/>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qFormat/>
    <w:pPr>
      <w:keepNext/>
      <w:keepLines/>
      <w:spacing w:before="120" w:after="120" w:line="240" w:lineRule="auto"/>
      <w:ind w:firstLine="0" w:firstLineChars="0"/>
      <w:outlineLvl w:val="1"/>
    </w:pPr>
    <w:rPr>
      <w:rFonts w:ascii="Times New Roman" w:eastAsia="宋体" w:hAnsi="Times New Roman"/>
      <w:b/>
      <w:bCs/>
      <w:kern w:val="0"/>
      <w:sz w:val="28"/>
      <w:szCs w:val="32"/>
    </w:rPr>
  </w:style>
  <w:style w:type="paragraph" w:styleId="Heading3">
    <w:name w:val="heading 3"/>
    <w:basedOn w:val="Normal"/>
    <w:next w:val="Normal"/>
    <w:qFormat/>
    <w:pPr>
      <w:keepNext/>
      <w:keepLines/>
      <w:spacing w:before="120" w:after="120" w:line="240" w:lineRule="auto"/>
      <w:ind w:firstLine="0" w:firstLineChars="0"/>
      <w:outlineLvl w:val="2"/>
    </w:pPr>
    <w:rPr>
      <w:rFonts w:ascii="Times New Roman" w:eastAsia="宋体" w:hAnsi="Times New Roman"/>
      <w:b/>
      <w:bCs/>
      <w:kern w:val="0"/>
      <w:szCs w:val="32"/>
    </w:rPr>
  </w:style>
  <w:style w:type="paragraph" w:styleId="Heading4">
    <w:name w:val="heading 4"/>
    <w:basedOn w:val="Normal"/>
    <w:next w:val="Normal"/>
    <w:qFormat/>
    <w:pPr>
      <w:keepNext/>
      <w:keepLines/>
      <w:spacing w:before="280" w:beforeLines="0" w:beforeAutospacing="0" w:after="290" w:afterLines="0" w:afterAutospacing="0" w:line="372" w:lineRule="auto"/>
      <w:outlineLvl w:val="3"/>
    </w:pPr>
    <w:rPr>
      <w:rFonts w:ascii="Arial" w:eastAsia="黑体" w:hAnsi="Arial"/>
      <w:b/>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FirstIndent2">
    <w:name w:val="Body Text First Indent 2"/>
    <w:basedOn w:val="BodyTextIndent"/>
    <w:next w:val="BodyTextFirstIndent"/>
    <w:pPr>
      <w:tabs>
        <w:tab w:val="left" w:pos="1021"/>
      </w:tabs>
      <w:ind w:firstLine="420" w:firstLineChars="200"/>
    </w:pPr>
  </w:style>
  <w:style w:type="paragraph" w:styleId="BodyTextIndent">
    <w:name w:val="Body Text Indent"/>
    <w:basedOn w:val="Normal"/>
    <w:next w:val="Normal"/>
    <w:qFormat/>
    <w:pPr>
      <w:spacing w:line="360" w:lineRule="auto"/>
      <w:ind w:firstLine="480" w:firstLineChars="200"/>
    </w:pPr>
    <w:rPr>
      <w:rFonts w:ascii="宋体" w:hAnsi="宋体"/>
      <w:color w:val="008000"/>
      <w:sz w:val="24"/>
    </w:rPr>
  </w:style>
  <w:style w:type="paragraph" w:styleId="BodyTextFirstIndent">
    <w:name w:val="Body Text First Indent"/>
    <w:basedOn w:val="BodyText"/>
    <w:next w:val="Normal"/>
    <w:pPr>
      <w:ind w:firstLine="420" w:firstLineChars="100"/>
    </w:pPr>
  </w:style>
  <w:style w:type="paragraph" w:styleId="BodyText">
    <w:name w:val="Body Text"/>
    <w:basedOn w:val="Normal"/>
    <w:next w:val="Normal"/>
    <w:uiPriority w:val="1"/>
    <w:qFormat/>
    <w:pPr>
      <w:spacing w:before="17"/>
      <w:ind w:left="141"/>
    </w:pPr>
    <w:rPr>
      <w:rFonts w:ascii="宋体" w:eastAsia="宋体" w:hAnsi="宋体"/>
      <w:sz w:val="28"/>
      <w:szCs w:val="28"/>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1">
    <w:name w:val="Default1"/>
    <w:unhideWhenUsed/>
    <w:qFormat/>
    <w:pPr>
      <w:widowControl w:val="0"/>
      <w:autoSpaceDE w:val="0"/>
      <w:autoSpaceDN w:val="0"/>
      <w:adjustRightInd w:val="0"/>
    </w:pPr>
    <w:rPr>
      <w:rFonts w:ascii="宋体" w:eastAsia="宋体" w:hAnsi="Times New Roman" w:cs="Times New Roman" w:hint="eastAsia"/>
      <w:color w:val="000000"/>
      <w:sz w:val="24"/>
      <w:szCs w:val="22"/>
      <w:lang w:val="en-US" w:eastAsia="zh-CN" w:bidi="ar-SA"/>
    </w:rPr>
  </w:style>
  <w:style w:type="paragraph" w:customStyle="1" w:styleId="a">
    <w:name w:val="表格正文"/>
    <w:basedOn w:val="Normal"/>
    <w:qFormat/>
    <w:pPr>
      <w:adjustRightInd w:val="0"/>
      <w:snapToGrid w:val="0"/>
      <w:spacing w:line="360" w:lineRule="exact"/>
      <w:ind w:firstLine="0" w:firstLineChars="0"/>
      <w:jc w:val="center"/>
    </w:pPr>
    <w:rPr>
      <w:sz w:val="21"/>
      <w:szCs w:val="24"/>
    </w:rPr>
  </w:style>
  <w:style w:type="paragraph" w:customStyle="1" w:styleId="TableParagraph">
    <w:name w:val="Table Paragraph"/>
    <w:basedOn w:val="Normal"/>
    <w:uiPriority w:val="1"/>
    <w:qFormat/>
  </w:style>
  <w:style w:type="paragraph" w:customStyle="1" w:styleId="a0">
    <w:name w:val="无样式"/>
    <w:basedOn w:val="Normal"/>
    <w:qFormat/>
    <w:pPr>
      <w:adjustRightInd w:val="0"/>
      <w:snapToGrid w:val="0"/>
      <w:spacing w:line="360" w:lineRule="auto"/>
      <w:ind w:firstLine="480" w:firstLineChars="200"/>
    </w:pPr>
    <w:rPr>
      <w:rFonts w:ascii="Times New Roman" w:hAnsi="Times New Roman"/>
      <w:szCs w:val="24"/>
    </w:rPr>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 w:type="table" w:customStyle="1" w:styleId="0">
    <w:name w:val="网格型_0"/>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网格型_8"/>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_9"/>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网格型_10"/>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网格型_11"/>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网格型_12"/>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网格型_13"/>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网格型_14"/>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网格型_15"/>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网格型_16"/>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_17"/>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网格型_18"/>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image" Target="media/image1.png"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footer" Target="footer29.xml" /><Relationship Id="rId34" Type="http://schemas.openxmlformats.org/officeDocument/2006/relationships/footer" Target="footer30.xml" /><Relationship Id="rId35" Type="http://schemas.openxmlformats.org/officeDocument/2006/relationships/hyperlink" Target="https://d.book118.com/097046110124006045" TargetMode="External" /><Relationship Id="rId36" Type="http://schemas.openxmlformats.org/officeDocument/2006/relationships/footer" Target="footer31.xml" /><Relationship Id="rId37" Type="http://schemas.openxmlformats.org/officeDocument/2006/relationships/theme" Target="theme/theme1.xml" /><Relationship Id="rId38"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157260480</TotalTime>
  <Pages>41</Pages>
  <Words>45222</Words>
  <Characters>63321</Characters>
  <Application>Microsoft Office Word</Application>
  <DocSecurity>0</DocSecurity>
  <Lines>0</Lines>
  <Paragraphs>0</Paragraphs>
  <ScaleCrop>false</ScaleCrop>
  <Company/>
  <LinksUpToDate>false</LinksUpToDate>
  <CharactersWithSpaces>65004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remember me</cp:lastModifiedBy>
  <cp:revision>0</cp:revision>
  <dcterms:created xsi:type="dcterms:W3CDTF">2022-02-25T09:18:55Z</dcterms:created>
  <dcterms:modified xsi:type="dcterms:W3CDTF">2023-04-04T07:00:11Z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5444BC12B168407B9D86E99385493AFA</vt:lpwstr>
  </property>
  <property fmtid="{D5CDD505-2E9C-101B-9397-08002B2CF9AE}" pid="3" name="KSOProductBuildVer">
    <vt:lpwstr>2052-11.1.0.13703</vt:lpwstr>
  </property>
</Properties>
</file>