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48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PAPTFE</w:t>
      </w:r>
      <w:r>
        <w:rPr>
          <w:rFonts w:ascii="SimSun" w:eastAsia="SimSun" w:hAnsi="SimSun" w:cs="SimSun"/>
          <w:spacing w:val="-11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7568196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PAPTFE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一)、PAPTFE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项目承办单位基本情况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、PAPTFE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三)、PAPTFE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项目评价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PAPTFE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一)、PAPTFE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二)、PAPTFE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项目运营期原辅材料供应及质量管理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二)、PAPTFE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项目总平面设计要求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)、PAPTFE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项目对环境的主要影响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51975295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五)、PAPTFE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一)、PAPTFE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二)、PAPTFE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69434186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)、用户反馈与质量改进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本项目商业计划</w:t>
      </w:r>
      <w:r>
        <w:rPr>
          <w:rFonts w:ascii="FangSong" w:eastAsia="FangSong" w:hAnsi="FangSong" w:cs="FangSong"/>
          <w:spacing w:val="-3"/>
          <w:sz w:val="28"/>
          <w:szCs w:val="28"/>
        </w:rPr>
        <w:t>书是一个系统性的文档，旨在规范和指导PAPTFE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项目的实</w:t>
      </w:r>
      <w:r>
        <w:rPr>
          <w:rFonts w:ascii="FangSong" w:eastAsia="FangSong" w:hAnsi="FangSong" w:cs="FangSong"/>
          <w:spacing w:val="-4"/>
          <w:sz w:val="28"/>
          <w:szCs w:val="28"/>
        </w:rPr>
        <w:t>施</w:t>
      </w:r>
      <w:r>
        <w:rPr>
          <w:rFonts w:ascii="FangSong" w:eastAsia="FangSong" w:hAnsi="FangSong" w:cs="FangSong"/>
          <w:spacing w:val="-3"/>
          <w:sz w:val="28"/>
          <w:szCs w:val="28"/>
        </w:rPr>
        <w:t>过程。本方案的开展将包括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19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10"/>
      <w:bookmarkEnd w:id="7"/>
      <w:bookmarkStart w:id="8" w:name="_bookmark8"/>
      <w:bookmarkEnd w:id="8"/>
      <w:bookmarkStart w:id="9" w:name="_bookmark9"/>
      <w:bookmarkEnd w:id="9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PAPTFE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(一)、PAPTF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E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项目承办单位基本情况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)、PAPTFE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PAPTFE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项目名称：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PAPTFE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</w:t>
      </w:r>
    </w:p>
    <w:p>
      <w:pPr>
        <w:spacing w:before="288" w:line="222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PAPTFE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9" w:line="222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PAPTFE</w:t>
      </w:r>
      <w:r>
        <w:rPr>
          <w:rFonts w:ascii="FangSong" w:eastAsia="FangSong" w:hAnsi="FangSong" w:cs="FangSong"/>
          <w:spacing w:val="-3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项目地点：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4" w:line="411" w:lineRule="auto"/>
        <w:ind w:left="32" w:right="14" w:firstLine="547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PAPTFE</w:t>
      </w:r>
      <w:r>
        <w:rPr>
          <w:rFonts w:ascii="FangSong" w:eastAsia="FangSong" w:hAnsi="FangSong" w:cs="FangSong"/>
          <w:spacing w:val="-3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万元，占地面积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line="222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PAPTFE</w:t>
      </w:r>
      <w:r>
        <w:rPr>
          <w:rFonts w:ascii="FangSong" w:eastAsia="FangSong" w:hAnsi="FangSong" w:cs="FangSong"/>
          <w:spacing w:val="-2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项</w:t>
      </w:r>
      <w:r>
        <w:rPr>
          <w:rFonts w:ascii="FangSong" w:eastAsia="FangSong" w:hAnsi="FangSong" w:cs="FangSong"/>
          <w:spacing w:val="-14"/>
          <w:sz w:val="28"/>
          <w:szCs w:val="28"/>
        </w:rPr>
        <w:t>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5" w:line="417" w:lineRule="auto"/>
        <w:ind w:left="33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PAPTFE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项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PAPTFE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>新的发展机遇。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)、PAPTFE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市</w:t>
      </w:r>
      <w:r>
        <w:rPr>
          <w:rFonts w:ascii="FangSong" w:eastAsia="FangSong" w:hAnsi="FangSong" w:cs="FangSong"/>
          <w:spacing w:val="-11"/>
          <w:sz w:val="28"/>
          <w:szCs w:val="28"/>
        </w:rPr>
        <w:t>场前景：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该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PAPTFE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项目处于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19" w:right="84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可行</w:t>
      </w:r>
      <w:r>
        <w:rPr>
          <w:rFonts w:ascii="FangSong" w:eastAsia="FangSong" w:hAnsi="FangSong" w:cs="FangSong"/>
          <w:spacing w:val="5"/>
          <w:sz w:val="28"/>
          <w:szCs w:val="28"/>
        </w:rPr>
        <w:t>性</w:t>
      </w:r>
      <w:r>
        <w:rPr>
          <w:rFonts w:ascii="FangSong" w:eastAsia="FangSong" w:hAnsi="FangSong" w:cs="FangSong"/>
          <w:spacing w:val="3"/>
          <w:sz w:val="28"/>
          <w:szCs w:val="28"/>
        </w:rPr>
        <w:t>分析：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经过全面的技术、市场和财务可行性分析，该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PAPTFE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PAPTFE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5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414" w:lineRule="auto"/>
        <w:ind w:left="34" w:right="5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0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(一)、PAPTFE</w:t>
      </w:r>
      <w:r>
        <w:rPr>
          <w:rFonts w:ascii="FangSong" w:eastAsia="FangSong" w:hAnsi="FangSong" w:cs="FangSong"/>
          <w:spacing w:val="-5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30" w:lineRule="auto"/>
        <w:rPr>
          <w:rFonts w:ascii="Arial"/>
          <w:sz w:val="21"/>
        </w:rPr>
      </w:pPr>
    </w:p>
    <w:p>
      <w:pPr>
        <w:spacing w:before="91" w:line="411" w:lineRule="auto"/>
        <w:ind w:left="3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设和运营过程中，原辅材料的供应是确保工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程顺利进</w:t>
      </w:r>
      <w:r>
        <w:rPr>
          <w:rFonts w:ascii="FangSong" w:eastAsia="FangSong" w:hAnsi="FangSong" w:cs="FangSong"/>
          <w:spacing w:val="-4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7.1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项目建设期原辅材料供应情况</w:t>
      </w:r>
    </w:p>
    <w:p>
      <w:pPr>
        <w:spacing w:before="292" w:line="411" w:lineRule="auto"/>
        <w:ind w:left="37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项目建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期间，原辅材料的及时供应对工程进度和质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量有着直接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项目建设期原辅材料供应情况的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5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56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PAPTFE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PAPTFE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项目进入运营期后，原辅材料的</w:t>
      </w:r>
      <w:r>
        <w:rPr>
          <w:rFonts w:ascii="FangSong" w:eastAsia="FangSong" w:hAnsi="FangSong" w:cs="FangSong"/>
          <w:spacing w:val="1"/>
          <w:sz w:val="28"/>
          <w:szCs w:val="28"/>
        </w:rPr>
        <w:t>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245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建</w:t>
      </w:r>
      <w:r>
        <w:rPr>
          <w:rFonts w:ascii="FangSong" w:eastAsia="FangSong" w:hAnsi="FangSong" w:cs="FangSong"/>
          <w:spacing w:val="-3"/>
          <w:sz w:val="28"/>
          <w:szCs w:val="28"/>
        </w:rPr>
        <w:t>筑工程设计过程中，我们将遵循以下基本设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计原则</w:t>
      </w:r>
      <w:r>
        <w:rPr>
          <w:rFonts w:ascii="FangSong" w:eastAsia="FangSong" w:hAnsi="FangSong" w:cs="FangSong"/>
          <w:spacing w:val="-7"/>
          <w:sz w:val="28"/>
          <w:szCs w:val="28"/>
        </w:rPr>
        <w:t>，</w:t>
      </w:r>
      <w:r>
        <w:rPr>
          <w:rFonts w:ascii="FangSong" w:eastAsia="FangSong" w:hAnsi="FangSong" w:cs="FangSong"/>
          <w:spacing w:val="-6"/>
          <w:sz w:val="28"/>
          <w:szCs w:val="28"/>
        </w:rPr>
        <w:t>以确保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PAPTFE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3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1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)、PAPTFE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目总平面设计将充分考虑以下要求，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以确保整体设计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满</w:t>
      </w:r>
      <w:r>
        <w:rPr>
          <w:rFonts w:ascii="FangSong" w:eastAsia="FangSong" w:hAnsi="FangSong" w:cs="FangSong"/>
          <w:spacing w:val="-5"/>
          <w:sz w:val="28"/>
          <w:szCs w:val="28"/>
        </w:rPr>
        <w:t>足工程的需要并符合相关规范：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4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>适应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PAPTFE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所处地区的地质条件和地震风险，确定适当的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抗震设防烈度。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3"/>
          <w:sz w:val="28"/>
          <w:szCs w:val="28"/>
        </w:rPr>
        <w:t>构将被设计以保证在地震发生时能够安全稳定地承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受</w:t>
      </w:r>
      <w:r>
        <w:rPr>
          <w:rFonts w:ascii="FangSong" w:eastAsia="FangSong" w:hAnsi="FangSong" w:cs="FangSong"/>
          <w:spacing w:val="-7"/>
          <w:sz w:val="28"/>
          <w:szCs w:val="28"/>
        </w:rPr>
        <w:t>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结合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5"/>
          <w:sz w:val="28"/>
          <w:szCs w:val="28"/>
        </w:rPr>
        <w:t>实</w:t>
      </w:r>
      <w:r>
        <w:rPr>
          <w:rFonts w:ascii="FangSong" w:eastAsia="FangSong" w:hAnsi="FangSong" w:cs="FangSong"/>
          <w:spacing w:val="-3"/>
          <w:sz w:val="28"/>
          <w:szCs w:val="28"/>
        </w:rPr>
        <w:t>际需求和环境条件，确定土建工程的耐久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2" w:line="416" w:lineRule="auto"/>
        <w:ind w:left="33" w:right="10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保持良</w:t>
      </w:r>
      <w:r>
        <w:rPr>
          <w:rFonts w:ascii="FangSong" w:eastAsia="FangSong" w:hAnsi="FangSong" w:cs="FangSong"/>
          <w:spacing w:val="-3"/>
          <w:sz w:val="28"/>
          <w:szCs w:val="28"/>
        </w:rPr>
        <w:t>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建筑工程的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计总体要求是确保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项目实现预期功能、安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全</w:t>
      </w:r>
      <w:r>
        <w:rPr>
          <w:rFonts w:ascii="FangSong" w:eastAsia="FangSong" w:hAnsi="FangSong" w:cs="FangSong"/>
          <w:spacing w:val="-20"/>
          <w:sz w:val="28"/>
          <w:szCs w:val="28"/>
        </w:rPr>
        <w:t>稳</w:t>
      </w:r>
      <w:r>
        <w:rPr>
          <w:rFonts w:ascii="FangSong" w:eastAsia="FangSong" w:hAnsi="FangSong" w:cs="FangSong"/>
          <w:spacing w:val="-13"/>
          <w:sz w:val="28"/>
          <w:szCs w:val="28"/>
        </w:rPr>
        <w:t>定、符合法规标准，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并在美学、经济和可持续性等方面取得平衡。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下面</w:t>
      </w:r>
      <w:r>
        <w:rPr>
          <w:rFonts w:ascii="FangSong" w:eastAsia="FangSong" w:hAnsi="FangSong" w:cs="FangSong"/>
          <w:spacing w:val="-6"/>
          <w:sz w:val="28"/>
          <w:szCs w:val="28"/>
        </w:rPr>
        <w:t>是</w:t>
      </w:r>
      <w:r>
        <w:rPr>
          <w:rFonts w:ascii="FangSong" w:eastAsia="FangSong" w:hAnsi="FangSong" w:cs="FangSong"/>
          <w:spacing w:val="-4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4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确保建筑的功能布</w:t>
      </w:r>
      <w:r>
        <w:rPr>
          <w:rFonts w:ascii="FangSong" w:eastAsia="FangSong" w:hAnsi="FangSong" w:cs="FangSong"/>
          <w:spacing w:val="-3"/>
          <w:sz w:val="28"/>
          <w:szCs w:val="28"/>
        </w:rPr>
        <w:t>局满足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项目需求，各功能区域合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理分布，形成高效的空间利用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34" w:right="7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4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102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10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11"/>
          <w:sz w:val="28"/>
          <w:szCs w:val="28"/>
        </w:rPr>
        <w:t>够</w:t>
      </w:r>
      <w:r>
        <w:rPr>
          <w:rFonts w:ascii="FangSong" w:eastAsia="FangSong" w:hAnsi="FangSong" w:cs="FangSong"/>
          <w:spacing w:val="-7"/>
          <w:sz w:val="28"/>
          <w:szCs w:val="28"/>
        </w:rPr>
        <w:t>达到高标准，满足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PAPTFE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22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19" w:right="24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PAPTFE</w:t>
      </w:r>
      <w:r>
        <w:rPr>
          <w:rFonts w:ascii="FangSong" w:eastAsia="FangSong" w:hAnsi="FangSong" w:cs="FangSong"/>
          <w:spacing w:val="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8"/>
          <w:sz w:val="28"/>
          <w:szCs w:val="28"/>
        </w:rPr>
        <w:t>项目</w:t>
      </w:r>
      <w:r>
        <w:rPr>
          <w:rFonts w:ascii="FangSong" w:eastAsia="FangSong" w:hAnsi="FangSong" w:cs="FangSong"/>
          <w:spacing w:val="6"/>
          <w:sz w:val="28"/>
          <w:szCs w:val="28"/>
        </w:rPr>
        <w:t>规</w:t>
      </w:r>
      <w:r>
        <w:rPr>
          <w:rFonts w:ascii="FangSong" w:eastAsia="FangSong" w:hAnsi="FangSong" w:cs="FangSong"/>
          <w:spacing w:val="4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充分考虑到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3"/>
          <w:sz w:val="28"/>
          <w:szCs w:val="28"/>
        </w:rPr>
        <w:t>功能布局和需求，确保各功能区域得到合理的利用。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占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PAPTFE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项目总投资比例：</w:t>
      </w:r>
    </w:p>
    <w:p>
      <w:pPr>
        <w:spacing w:before="287" w:line="411" w:lineRule="auto"/>
        <w:ind w:left="38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建筑</w:t>
      </w:r>
      <w:r>
        <w:rPr>
          <w:rFonts w:ascii="FangSong" w:eastAsia="FangSong" w:hAnsi="FangSong" w:cs="FangSong"/>
          <w:spacing w:val="1"/>
          <w:sz w:val="28"/>
          <w:szCs w:val="28"/>
        </w:rPr>
        <w:t>工程投资占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PAPTFE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项目总投资的比例为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>%，在整体投资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结构中占有合理比</w:t>
      </w:r>
      <w:r>
        <w:rPr>
          <w:rFonts w:ascii="FangSong" w:eastAsia="FangSong" w:hAnsi="FangSong" w:cs="FangSong"/>
          <w:spacing w:val="-3"/>
          <w:sz w:val="28"/>
          <w:szCs w:val="28"/>
        </w:rPr>
        <w:t>例</w:t>
      </w:r>
      <w:r>
        <w:rPr>
          <w:rFonts w:ascii="FangSong" w:eastAsia="FangSong" w:hAnsi="FangSong" w:cs="FangSong"/>
          <w:spacing w:val="-2"/>
          <w:sz w:val="28"/>
          <w:szCs w:val="28"/>
        </w:rPr>
        <w:t>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满足</w:t>
      </w:r>
      <w:r>
        <w:rPr>
          <w:rFonts w:ascii="FangSong" w:eastAsia="FangSong" w:hAnsi="FangSong" w:cs="FangSong"/>
          <w:spacing w:val="-8"/>
          <w:sz w:val="28"/>
          <w:szCs w:val="28"/>
        </w:rPr>
        <w:t>未</w:t>
      </w:r>
      <w:r>
        <w:rPr>
          <w:rFonts w:ascii="FangSong" w:eastAsia="FangSong" w:hAnsi="FangSong" w:cs="FangSong"/>
          <w:spacing w:val="-6"/>
          <w:sz w:val="28"/>
          <w:szCs w:val="28"/>
        </w:rPr>
        <w:t>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PAPTFE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PAPTFE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项目整体布局：</w:t>
      </w:r>
    </w:p>
    <w:p>
      <w:pPr>
        <w:spacing w:before="291" w:line="417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注重建筑与周</w:t>
      </w:r>
      <w:r>
        <w:rPr>
          <w:rFonts w:ascii="FangSong" w:eastAsia="FangSong" w:hAnsi="FangSong" w:cs="FangSong"/>
          <w:spacing w:val="-4"/>
          <w:sz w:val="28"/>
          <w:szCs w:val="28"/>
        </w:rPr>
        <w:t>边</w:t>
      </w:r>
      <w:r>
        <w:rPr>
          <w:rFonts w:ascii="FangSong" w:eastAsia="FangSong" w:hAnsi="FangSong" w:cs="FangSong"/>
          <w:spacing w:val="-3"/>
          <w:sz w:val="28"/>
          <w:szCs w:val="28"/>
        </w:rPr>
        <w:t>环境的融合，使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PAPTFE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项目更好地适应当地的自然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https://d.book118.com/097061121020006053</w:t>
        </w:r>
      </w:hyperlink>
    </w:p>
    <w:p/>
    <w:sectPr>
      <w:pgSz w:w="11906" w:h="16839"/>
      <w:pgMar w:top="1431" w:right="1623" w:bottom="0" w:left="1785" w:header="0" w:footer="0" w:gutter="0"/>
      <w:pgNumType w:start="2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97061121020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2024-03-13T12:58:20Z</vt:filetime>
  </property>
  <property fmtid="{D5CDD505-2E9C-101B-9397-08002B2CF9AE}" pid="3" name="CRO">
    <vt:lpwstr>wqlLaW5nc29mdCBQREYgdG8gV1BTIDgw</vt:lpwstr>
  </property>
</Properties>
</file>