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阳离子染料项目计划设计方案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77" w:history="1">
        <w:r>
          <w:rPr>
            <w:rFonts w:ascii="仿宋" w:eastAsia="仿宋" w:hAnsi="仿宋" w:cs="仿宋" w:hint="eastAsia"/>
            <w:lang w:eastAsia="zh-CN"/>
          </w:rPr>
          <w:t>概论</w:t>
        </w:r>
        <w:r>
          <w:tab/>
        </w:r>
        <w:r>
          <w:fldChar w:fldCharType="begin"/>
        </w:r>
        <w:r>
          <w:instrText xml:space="preserve"> PAGEREF _Toc21877 \h </w:instrText>
        </w:r>
        <w:r>
          <w:fldChar w:fldCharType="separate"/>
        </w:r>
        <w:r>
          <w:t>3</w:t>
        </w:r>
        <w:r>
          <w:fldChar w:fldCharType="end"/>
        </w:r>
      </w:hyperlink>
    </w:p>
    <w:p>
      <w:pPr>
        <w:pStyle w:val="TOC1"/>
        <w:tabs>
          <w:tab w:val="right" w:leader="dot" w:pos="8306"/>
        </w:tabs>
      </w:pPr>
      <w:hyperlink w:anchor="_Toc20521" w:history="1">
        <w:r>
          <w:rPr>
            <w:rFonts w:ascii="仿宋" w:eastAsia="仿宋" w:hAnsi="仿宋" w:cs="仿宋" w:hint="eastAsia"/>
            <w:lang w:eastAsia="zh-CN"/>
          </w:rPr>
          <w:t>一、阳离子染料项目文档管理</w:t>
        </w:r>
        <w:r>
          <w:tab/>
        </w:r>
        <w:r>
          <w:fldChar w:fldCharType="begin"/>
        </w:r>
        <w:r>
          <w:instrText xml:space="preserve"> PAGEREF _Toc20521 \h </w:instrText>
        </w:r>
        <w:r>
          <w:fldChar w:fldCharType="separate"/>
        </w:r>
        <w:r>
          <w:t>3</w:t>
        </w:r>
        <w:r>
          <w:fldChar w:fldCharType="end"/>
        </w:r>
      </w:hyperlink>
    </w:p>
    <w:p>
      <w:pPr>
        <w:pStyle w:val="TOC2"/>
        <w:tabs>
          <w:tab w:val="right" w:leader="dot" w:pos="8306"/>
        </w:tabs>
      </w:pPr>
      <w:hyperlink w:anchor="_Toc22371" w:history="1">
        <w:r>
          <w:rPr>
            <w:rFonts w:ascii="仿宋" w:eastAsia="仿宋" w:hAnsi="仿宋" w:cs="仿宋" w:hint="eastAsia"/>
            <w:lang w:eastAsia="zh-CN"/>
          </w:rPr>
          <w:t>(一)、文档编制与审查</w:t>
        </w:r>
        <w:r>
          <w:tab/>
        </w:r>
        <w:r>
          <w:fldChar w:fldCharType="begin"/>
        </w:r>
        <w:r>
          <w:instrText xml:space="preserve"> PAGEREF _Toc22371 \h </w:instrText>
        </w:r>
        <w:r>
          <w:fldChar w:fldCharType="separate"/>
        </w:r>
        <w:r>
          <w:t>3</w:t>
        </w:r>
        <w:r>
          <w:fldChar w:fldCharType="end"/>
        </w:r>
      </w:hyperlink>
    </w:p>
    <w:p>
      <w:pPr>
        <w:pStyle w:val="TOC2"/>
        <w:tabs>
          <w:tab w:val="right" w:leader="dot" w:pos="8306"/>
        </w:tabs>
      </w:pPr>
      <w:hyperlink w:anchor="_Toc7205" w:history="1">
        <w:r>
          <w:rPr>
            <w:rFonts w:ascii="仿宋" w:eastAsia="仿宋" w:hAnsi="仿宋" w:cs="仿宋" w:hint="eastAsia"/>
            <w:lang w:eastAsia="zh-CN"/>
          </w:rPr>
          <w:t>(二)、文档发布与分发</w:t>
        </w:r>
        <w:r>
          <w:tab/>
        </w:r>
        <w:r>
          <w:fldChar w:fldCharType="begin"/>
        </w:r>
        <w:r>
          <w:instrText xml:space="preserve"> PAGEREF _Toc7205 \h </w:instrText>
        </w:r>
        <w:r>
          <w:fldChar w:fldCharType="separate"/>
        </w:r>
        <w:r>
          <w:t>4</w:t>
        </w:r>
        <w:r>
          <w:fldChar w:fldCharType="end"/>
        </w:r>
      </w:hyperlink>
    </w:p>
    <w:p>
      <w:pPr>
        <w:pStyle w:val="TOC2"/>
        <w:tabs>
          <w:tab w:val="right" w:leader="dot" w:pos="8306"/>
        </w:tabs>
      </w:pPr>
      <w:hyperlink w:anchor="_Toc15680" w:history="1">
        <w:r>
          <w:rPr>
            <w:rFonts w:ascii="仿宋" w:eastAsia="仿宋" w:hAnsi="仿宋" w:cs="仿宋" w:hint="eastAsia"/>
            <w:lang w:eastAsia="zh-CN"/>
          </w:rPr>
          <w:t>(三)、文档存档与归档</w:t>
        </w:r>
        <w:r>
          <w:tab/>
        </w:r>
        <w:r>
          <w:fldChar w:fldCharType="begin"/>
        </w:r>
        <w:r>
          <w:instrText xml:space="preserve"> PAGEREF _Toc15680 \h </w:instrText>
        </w:r>
        <w:r>
          <w:fldChar w:fldCharType="separate"/>
        </w:r>
        <w:r>
          <w:t>5</w:t>
        </w:r>
        <w:r>
          <w:fldChar w:fldCharType="end"/>
        </w:r>
      </w:hyperlink>
    </w:p>
    <w:p>
      <w:pPr>
        <w:pStyle w:val="TOC1"/>
        <w:tabs>
          <w:tab w:val="right" w:leader="dot" w:pos="8306"/>
        </w:tabs>
      </w:pPr>
      <w:hyperlink w:anchor="_Toc20412" w:history="1">
        <w:r>
          <w:rPr>
            <w:rFonts w:ascii="仿宋" w:eastAsia="仿宋" w:hAnsi="仿宋" w:cs="仿宋" w:hint="eastAsia"/>
            <w:lang w:eastAsia="zh-CN"/>
          </w:rPr>
          <w:t>二、阳离子染料项目可持续发展</w:t>
        </w:r>
        <w:r>
          <w:tab/>
        </w:r>
        <w:r>
          <w:fldChar w:fldCharType="begin"/>
        </w:r>
        <w:r>
          <w:instrText xml:space="preserve"> PAGEREF _Toc20412 \h </w:instrText>
        </w:r>
        <w:r>
          <w:fldChar w:fldCharType="separate"/>
        </w:r>
        <w:r>
          <w:t>6</w:t>
        </w:r>
        <w:r>
          <w:fldChar w:fldCharType="end"/>
        </w:r>
      </w:hyperlink>
    </w:p>
    <w:p>
      <w:pPr>
        <w:pStyle w:val="TOC2"/>
        <w:tabs>
          <w:tab w:val="right" w:leader="dot" w:pos="8306"/>
        </w:tabs>
      </w:pPr>
      <w:hyperlink w:anchor="_Toc11018" w:history="1">
        <w:r>
          <w:rPr>
            <w:rFonts w:ascii="仿宋" w:eastAsia="仿宋" w:hAnsi="仿宋" w:cs="仿宋" w:hint="eastAsia"/>
            <w:lang w:eastAsia="zh-CN"/>
          </w:rPr>
          <w:t>(一)、可持续战略与实践</w:t>
        </w:r>
        <w:r>
          <w:tab/>
        </w:r>
        <w:r>
          <w:fldChar w:fldCharType="begin"/>
        </w:r>
        <w:r>
          <w:instrText xml:space="preserve"> PAGEREF _Toc11018 \h </w:instrText>
        </w:r>
        <w:r>
          <w:fldChar w:fldCharType="separate"/>
        </w:r>
        <w:r>
          <w:t>6</w:t>
        </w:r>
        <w:r>
          <w:fldChar w:fldCharType="end"/>
        </w:r>
      </w:hyperlink>
    </w:p>
    <w:p>
      <w:pPr>
        <w:pStyle w:val="TOC2"/>
        <w:tabs>
          <w:tab w:val="right" w:leader="dot" w:pos="8306"/>
        </w:tabs>
      </w:pPr>
      <w:hyperlink w:anchor="_Toc17483" w:history="1">
        <w:r>
          <w:rPr>
            <w:rFonts w:ascii="仿宋" w:eastAsia="仿宋" w:hAnsi="仿宋" w:cs="仿宋" w:hint="eastAsia"/>
            <w:lang w:eastAsia="zh-CN"/>
          </w:rPr>
          <w:t>(二)、环保与社会责任</w:t>
        </w:r>
        <w:r>
          <w:tab/>
        </w:r>
        <w:r>
          <w:fldChar w:fldCharType="begin"/>
        </w:r>
        <w:r>
          <w:instrText xml:space="preserve"> PAGEREF _Toc17483 \h </w:instrText>
        </w:r>
        <w:r>
          <w:fldChar w:fldCharType="separate"/>
        </w:r>
        <w:r>
          <w:t>7</w:t>
        </w:r>
        <w:r>
          <w:fldChar w:fldCharType="end"/>
        </w:r>
      </w:hyperlink>
    </w:p>
    <w:p>
      <w:pPr>
        <w:pStyle w:val="TOC1"/>
        <w:tabs>
          <w:tab w:val="right" w:leader="dot" w:pos="8306"/>
        </w:tabs>
      </w:pPr>
      <w:hyperlink w:anchor="_Toc3259" w:history="1">
        <w:r>
          <w:rPr>
            <w:rFonts w:ascii="仿宋" w:eastAsia="仿宋" w:hAnsi="仿宋" w:cs="仿宋" w:hint="eastAsia"/>
            <w:lang w:eastAsia="zh-CN"/>
          </w:rPr>
          <w:t>三、阳离子染料项目危机管理</w:t>
        </w:r>
        <w:r>
          <w:tab/>
        </w:r>
        <w:r>
          <w:fldChar w:fldCharType="begin"/>
        </w:r>
        <w:r>
          <w:instrText xml:space="preserve"> PAGEREF _Toc3259 \h </w:instrText>
        </w:r>
        <w:r>
          <w:fldChar w:fldCharType="separate"/>
        </w:r>
        <w:r>
          <w:t>8</w:t>
        </w:r>
        <w:r>
          <w:fldChar w:fldCharType="end"/>
        </w:r>
      </w:hyperlink>
    </w:p>
    <w:p>
      <w:pPr>
        <w:pStyle w:val="TOC2"/>
        <w:tabs>
          <w:tab w:val="right" w:leader="dot" w:pos="8306"/>
        </w:tabs>
      </w:pPr>
      <w:hyperlink w:anchor="_Toc30147" w:history="1">
        <w:r>
          <w:rPr>
            <w:rFonts w:ascii="仿宋" w:eastAsia="仿宋" w:hAnsi="仿宋" w:cs="仿宋" w:hint="eastAsia"/>
            <w:lang w:eastAsia="zh-CN"/>
          </w:rPr>
          <w:t>(一)、危机预警与识别</w:t>
        </w:r>
        <w:r>
          <w:tab/>
        </w:r>
        <w:r>
          <w:fldChar w:fldCharType="begin"/>
        </w:r>
        <w:r>
          <w:instrText xml:space="preserve"> PAGEREF _Toc30147 \h </w:instrText>
        </w:r>
        <w:r>
          <w:fldChar w:fldCharType="separate"/>
        </w:r>
        <w:r>
          <w:t>8</w:t>
        </w:r>
        <w:r>
          <w:fldChar w:fldCharType="end"/>
        </w:r>
      </w:hyperlink>
    </w:p>
    <w:p>
      <w:pPr>
        <w:pStyle w:val="TOC2"/>
        <w:tabs>
          <w:tab w:val="right" w:leader="dot" w:pos="8306"/>
        </w:tabs>
      </w:pPr>
      <w:hyperlink w:anchor="_Toc14038" w:history="1">
        <w:r>
          <w:rPr>
            <w:rFonts w:ascii="仿宋" w:eastAsia="仿宋" w:hAnsi="仿宋" w:cs="仿宋" w:hint="eastAsia"/>
            <w:lang w:eastAsia="zh-CN"/>
          </w:rPr>
          <w:t>(二)、危机应对与恢复</w:t>
        </w:r>
        <w:r>
          <w:tab/>
        </w:r>
        <w:r>
          <w:fldChar w:fldCharType="begin"/>
        </w:r>
        <w:r>
          <w:instrText xml:space="preserve"> PAGEREF _Toc14038 \h </w:instrText>
        </w:r>
        <w:r>
          <w:fldChar w:fldCharType="separate"/>
        </w:r>
        <w:r>
          <w:t>9</w:t>
        </w:r>
        <w:r>
          <w:fldChar w:fldCharType="end"/>
        </w:r>
      </w:hyperlink>
    </w:p>
    <w:p>
      <w:pPr>
        <w:pStyle w:val="TOC1"/>
        <w:tabs>
          <w:tab w:val="right" w:leader="dot" w:pos="8306"/>
        </w:tabs>
      </w:pPr>
      <w:hyperlink w:anchor="_Toc30092" w:history="1">
        <w:r>
          <w:rPr>
            <w:rFonts w:ascii="仿宋" w:eastAsia="仿宋" w:hAnsi="仿宋" w:cs="仿宋" w:hint="eastAsia"/>
            <w:lang w:eastAsia="zh-CN"/>
          </w:rPr>
          <w:t>四、阳离子染料项目土建工程</w:t>
        </w:r>
        <w:r>
          <w:tab/>
        </w:r>
        <w:r>
          <w:fldChar w:fldCharType="begin"/>
        </w:r>
        <w:r>
          <w:instrText xml:space="preserve"> PAGEREF _Toc30092 \h </w:instrText>
        </w:r>
        <w:r>
          <w:fldChar w:fldCharType="separate"/>
        </w:r>
        <w:r>
          <w:t>10</w:t>
        </w:r>
        <w:r>
          <w:fldChar w:fldCharType="end"/>
        </w:r>
      </w:hyperlink>
    </w:p>
    <w:p>
      <w:pPr>
        <w:pStyle w:val="TOC2"/>
        <w:tabs>
          <w:tab w:val="right" w:leader="dot" w:pos="8306"/>
        </w:tabs>
      </w:pPr>
      <w:hyperlink w:anchor="_Toc4171" w:history="1">
        <w:r>
          <w:rPr>
            <w:rFonts w:ascii="仿宋" w:eastAsia="仿宋" w:hAnsi="仿宋" w:cs="仿宋" w:hint="eastAsia"/>
            <w:lang w:eastAsia="zh-CN"/>
          </w:rPr>
          <w:t>(一)、建筑工程设计原则</w:t>
        </w:r>
        <w:r>
          <w:tab/>
        </w:r>
        <w:r>
          <w:fldChar w:fldCharType="begin"/>
        </w:r>
        <w:r>
          <w:instrText xml:space="preserve"> PAGEREF _Toc4171 \h </w:instrText>
        </w:r>
        <w:r>
          <w:fldChar w:fldCharType="separate"/>
        </w:r>
        <w:r>
          <w:t>10</w:t>
        </w:r>
        <w:r>
          <w:fldChar w:fldCharType="end"/>
        </w:r>
      </w:hyperlink>
    </w:p>
    <w:p>
      <w:pPr>
        <w:pStyle w:val="TOC2"/>
        <w:tabs>
          <w:tab w:val="right" w:leader="dot" w:pos="8306"/>
        </w:tabs>
      </w:pPr>
      <w:hyperlink w:anchor="_Toc25946" w:history="1">
        <w:r>
          <w:rPr>
            <w:rFonts w:ascii="仿宋" w:eastAsia="仿宋" w:hAnsi="仿宋" w:cs="仿宋" w:hint="eastAsia"/>
            <w:lang w:eastAsia="zh-CN"/>
          </w:rPr>
          <w:t>(二)、土建工程设计年限及安全等级</w:t>
        </w:r>
        <w:r>
          <w:tab/>
        </w:r>
        <w:r>
          <w:fldChar w:fldCharType="begin"/>
        </w:r>
        <w:r>
          <w:instrText xml:space="preserve"> PAGEREF _Toc25946 \h </w:instrText>
        </w:r>
        <w:r>
          <w:fldChar w:fldCharType="separate"/>
        </w:r>
        <w:r>
          <w:t>12</w:t>
        </w:r>
        <w:r>
          <w:fldChar w:fldCharType="end"/>
        </w:r>
      </w:hyperlink>
    </w:p>
    <w:p>
      <w:pPr>
        <w:pStyle w:val="TOC2"/>
        <w:tabs>
          <w:tab w:val="right" w:leader="dot" w:pos="8306"/>
        </w:tabs>
      </w:pPr>
      <w:hyperlink w:anchor="_Toc14459" w:history="1">
        <w:r>
          <w:rPr>
            <w:rFonts w:ascii="仿宋" w:eastAsia="仿宋" w:hAnsi="仿宋" w:cs="仿宋" w:hint="eastAsia"/>
            <w:lang w:eastAsia="zh-CN"/>
          </w:rPr>
          <w:t>(三)、建筑工程设计总体要求</w:t>
        </w:r>
        <w:r>
          <w:tab/>
        </w:r>
        <w:r>
          <w:fldChar w:fldCharType="begin"/>
        </w:r>
        <w:r>
          <w:instrText xml:space="preserve"> PAGEREF _Toc14459 \h </w:instrText>
        </w:r>
        <w:r>
          <w:fldChar w:fldCharType="separate"/>
        </w:r>
        <w:r>
          <w:t>13</w:t>
        </w:r>
        <w:r>
          <w:fldChar w:fldCharType="end"/>
        </w:r>
      </w:hyperlink>
    </w:p>
    <w:p>
      <w:pPr>
        <w:pStyle w:val="TOC2"/>
        <w:tabs>
          <w:tab w:val="right" w:leader="dot" w:pos="8306"/>
        </w:tabs>
      </w:pPr>
      <w:hyperlink w:anchor="_Toc16795" w:history="1">
        <w:r>
          <w:rPr>
            <w:rFonts w:ascii="仿宋" w:eastAsia="仿宋" w:hAnsi="仿宋" w:cs="仿宋" w:hint="eastAsia"/>
            <w:lang w:eastAsia="zh-CN"/>
          </w:rPr>
          <w:t>(四)、土建工程建设指标</w:t>
        </w:r>
        <w:r>
          <w:tab/>
        </w:r>
        <w:r>
          <w:fldChar w:fldCharType="begin"/>
        </w:r>
        <w:r>
          <w:instrText xml:space="preserve"> PAGEREF _Toc16795 \h </w:instrText>
        </w:r>
        <w:r>
          <w:fldChar w:fldCharType="separate"/>
        </w:r>
        <w:r>
          <w:t>13</w:t>
        </w:r>
        <w:r>
          <w:fldChar w:fldCharType="end"/>
        </w:r>
      </w:hyperlink>
    </w:p>
    <w:p>
      <w:pPr>
        <w:pStyle w:val="TOC1"/>
        <w:tabs>
          <w:tab w:val="right" w:leader="dot" w:pos="8306"/>
        </w:tabs>
      </w:pPr>
      <w:hyperlink w:anchor="_Toc29288" w:history="1">
        <w:r>
          <w:rPr>
            <w:rFonts w:ascii="仿宋" w:eastAsia="仿宋" w:hAnsi="仿宋" w:cs="仿宋" w:hint="eastAsia"/>
            <w:lang w:eastAsia="zh-CN"/>
          </w:rPr>
          <w:t>五、产品规划分析</w:t>
        </w:r>
        <w:r>
          <w:tab/>
        </w:r>
        <w:r>
          <w:fldChar w:fldCharType="begin"/>
        </w:r>
        <w:r>
          <w:instrText xml:space="preserve"> PAGEREF _Toc29288 \h </w:instrText>
        </w:r>
        <w:r>
          <w:fldChar w:fldCharType="separate"/>
        </w:r>
        <w:r>
          <w:t>14</w:t>
        </w:r>
        <w:r>
          <w:fldChar w:fldCharType="end"/>
        </w:r>
      </w:hyperlink>
    </w:p>
    <w:p>
      <w:pPr>
        <w:pStyle w:val="TOC2"/>
        <w:tabs>
          <w:tab w:val="right" w:leader="dot" w:pos="8306"/>
        </w:tabs>
      </w:pPr>
      <w:hyperlink w:anchor="_Toc16491" w:history="1">
        <w:r>
          <w:rPr>
            <w:rFonts w:ascii="仿宋" w:eastAsia="仿宋" w:hAnsi="仿宋" w:cs="仿宋" w:hint="eastAsia"/>
            <w:lang w:eastAsia="zh-CN"/>
          </w:rPr>
          <w:t>(一)、产品规划</w:t>
        </w:r>
        <w:r>
          <w:tab/>
        </w:r>
        <w:r>
          <w:fldChar w:fldCharType="begin"/>
        </w:r>
        <w:r>
          <w:instrText xml:space="preserve"> PAGEREF _Toc16491 \h </w:instrText>
        </w:r>
        <w:r>
          <w:fldChar w:fldCharType="separate"/>
        </w:r>
        <w:r>
          <w:t>14</w:t>
        </w:r>
        <w:r>
          <w:fldChar w:fldCharType="end"/>
        </w:r>
      </w:hyperlink>
    </w:p>
    <w:p>
      <w:pPr>
        <w:pStyle w:val="TOC2"/>
        <w:tabs>
          <w:tab w:val="right" w:leader="dot" w:pos="8306"/>
        </w:tabs>
      </w:pPr>
      <w:hyperlink w:anchor="_Toc9810" w:history="1">
        <w:r>
          <w:rPr>
            <w:rFonts w:ascii="仿宋" w:eastAsia="仿宋" w:hAnsi="仿宋" w:cs="仿宋" w:hint="eastAsia"/>
            <w:lang w:eastAsia="zh-CN"/>
          </w:rPr>
          <w:t>(二)、建设规模</w:t>
        </w:r>
        <w:r>
          <w:tab/>
        </w:r>
        <w:r>
          <w:fldChar w:fldCharType="begin"/>
        </w:r>
        <w:r>
          <w:instrText xml:space="preserve"> PAGEREF _Toc9810 \h </w:instrText>
        </w:r>
        <w:r>
          <w:fldChar w:fldCharType="separate"/>
        </w:r>
        <w:r>
          <w:t>14</w:t>
        </w:r>
        <w:r>
          <w:fldChar w:fldCharType="end"/>
        </w:r>
      </w:hyperlink>
    </w:p>
    <w:p>
      <w:pPr>
        <w:pStyle w:val="TOC1"/>
        <w:tabs>
          <w:tab w:val="right" w:leader="dot" w:pos="8306"/>
        </w:tabs>
      </w:pPr>
      <w:hyperlink w:anchor="_Toc28988" w:history="1">
        <w:r>
          <w:rPr>
            <w:rFonts w:ascii="仿宋" w:eastAsia="仿宋" w:hAnsi="仿宋" w:cs="仿宋" w:hint="eastAsia"/>
            <w:lang w:eastAsia="zh-CN"/>
          </w:rPr>
          <w:t>六、阳离子染料项目建设单位说明</w:t>
        </w:r>
        <w:r>
          <w:tab/>
        </w:r>
        <w:r>
          <w:fldChar w:fldCharType="begin"/>
        </w:r>
        <w:r>
          <w:instrText xml:space="preserve"> PAGEREF _Toc28988 \h </w:instrText>
        </w:r>
        <w:r>
          <w:fldChar w:fldCharType="separate"/>
        </w:r>
        <w:r>
          <w:t>16</w:t>
        </w:r>
        <w:r>
          <w:fldChar w:fldCharType="end"/>
        </w:r>
      </w:hyperlink>
    </w:p>
    <w:p>
      <w:pPr>
        <w:pStyle w:val="TOC2"/>
        <w:tabs>
          <w:tab w:val="right" w:leader="dot" w:pos="8306"/>
        </w:tabs>
      </w:pPr>
      <w:hyperlink w:anchor="_Toc5456" w:history="1">
        <w:r>
          <w:rPr>
            <w:rFonts w:ascii="仿宋" w:eastAsia="仿宋" w:hAnsi="仿宋" w:cs="仿宋" w:hint="eastAsia"/>
            <w:lang w:eastAsia="zh-CN"/>
          </w:rPr>
          <w:t>(一)、阳离子染料项目承办单位基本情况</w:t>
        </w:r>
        <w:r>
          <w:tab/>
        </w:r>
        <w:r>
          <w:fldChar w:fldCharType="begin"/>
        </w:r>
        <w:r>
          <w:instrText xml:space="preserve"> PAGEREF _Toc5456 \h </w:instrText>
        </w:r>
        <w:r>
          <w:fldChar w:fldCharType="separate"/>
        </w:r>
        <w:r>
          <w:t>16</w:t>
        </w:r>
        <w:r>
          <w:fldChar w:fldCharType="end"/>
        </w:r>
      </w:hyperlink>
    </w:p>
    <w:p>
      <w:pPr>
        <w:pStyle w:val="TOC2"/>
        <w:tabs>
          <w:tab w:val="right" w:leader="dot" w:pos="8306"/>
        </w:tabs>
      </w:pPr>
      <w:hyperlink w:anchor="_Toc27273" w:history="1">
        <w:r>
          <w:rPr>
            <w:rFonts w:ascii="仿宋" w:eastAsia="仿宋" w:hAnsi="仿宋" w:cs="仿宋" w:hint="eastAsia"/>
            <w:lang w:eastAsia="zh-CN"/>
          </w:rPr>
          <w:t>(二)、公司经济效益分析</w:t>
        </w:r>
        <w:r>
          <w:tab/>
        </w:r>
        <w:r>
          <w:fldChar w:fldCharType="begin"/>
        </w:r>
        <w:r>
          <w:instrText xml:space="preserve"> PAGEREF _Toc27273 \h </w:instrText>
        </w:r>
        <w:r>
          <w:fldChar w:fldCharType="separate"/>
        </w:r>
        <w:r>
          <w:t>16</w:t>
        </w:r>
        <w:r>
          <w:fldChar w:fldCharType="end"/>
        </w:r>
      </w:hyperlink>
    </w:p>
    <w:p>
      <w:pPr>
        <w:pStyle w:val="TOC1"/>
        <w:tabs>
          <w:tab w:val="right" w:leader="dot" w:pos="8306"/>
        </w:tabs>
      </w:pPr>
      <w:hyperlink w:anchor="_Toc30380" w:history="1">
        <w:r>
          <w:rPr>
            <w:rFonts w:ascii="仿宋" w:eastAsia="仿宋" w:hAnsi="仿宋" w:cs="仿宋" w:hint="eastAsia"/>
            <w:lang w:eastAsia="zh-CN"/>
          </w:rPr>
          <w:t>七、阳离子染料项目环境影响分析</w:t>
        </w:r>
        <w:r>
          <w:tab/>
        </w:r>
        <w:r>
          <w:fldChar w:fldCharType="begin"/>
        </w:r>
        <w:r>
          <w:instrText xml:space="preserve"> PAGEREF _Toc30380 \h </w:instrText>
        </w:r>
        <w:r>
          <w:fldChar w:fldCharType="separate"/>
        </w:r>
        <w:r>
          <w:t>17</w:t>
        </w:r>
        <w:r>
          <w:fldChar w:fldCharType="end"/>
        </w:r>
      </w:hyperlink>
    </w:p>
    <w:p>
      <w:pPr>
        <w:pStyle w:val="TOC2"/>
        <w:tabs>
          <w:tab w:val="right" w:leader="dot" w:pos="8306"/>
        </w:tabs>
      </w:pPr>
      <w:hyperlink w:anchor="_Toc32334" w:history="1">
        <w:r>
          <w:rPr>
            <w:rFonts w:ascii="仿宋" w:eastAsia="仿宋" w:hAnsi="仿宋" w:cs="仿宋" w:hint="eastAsia"/>
            <w:lang w:eastAsia="zh-CN"/>
          </w:rPr>
          <w:t>(一)、建设区域环境质量现状</w:t>
        </w:r>
        <w:r>
          <w:tab/>
        </w:r>
        <w:r>
          <w:fldChar w:fldCharType="begin"/>
        </w:r>
        <w:r>
          <w:instrText xml:space="preserve"> PAGEREF _Toc32334 \h </w:instrText>
        </w:r>
        <w:r>
          <w:fldChar w:fldCharType="separate"/>
        </w:r>
        <w:r>
          <w:t>17</w:t>
        </w:r>
        <w:r>
          <w:fldChar w:fldCharType="end"/>
        </w:r>
      </w:hyperlink>
    </w:p>
    <w:p>
      <w:pPr>
        <w:pStyle w:val="TOC2"/>
        <w:tabs>
          <w:tab w:val="right" w:leader="dot" w:pos="8306"/>
        </w:tabs>
      </w:pPr>
      <w:hyperlink w:anchor="_Toc13565" w:history="1">
        <w:r>
          <w:rPr>
            <w:rFonts w:ascii="仿宋" w:eastAsia="仿宋" w:hAnsi="仿宋" w:cs="仿宋" w:hint="eastAsia"/>
            <w:lang w:eastAsia="zh-CN"/>
          </w:rPr>
          <w:t>(二)、建设期环境保护</w:t>
        </w:r>
        <w:r>
          <w:tab/>
        </w:r>
        <w:r>
          <w:fldChar w:fldCharType="begin"/>
        </w:r>
        <w:r>
          <w:instrText xml:space="preserve"> PAGEREF _Toc13565 \h </w:instrText>
        </w:r>
        <w:r>
          <w:fldChar w:fldCharType="separate"/>
        </w:r>
        <w:r>
          <w:t>19</w:t>
        </w:r>
        <w:r>
          <w:fldChar w:fldCharType="end"/>
        </w:r>
      </w:hyperlink>
    </w:p>
    <w:p>
      <w:pPr>
        <w:pStyle w:val="TOC2"/>
        <w:tabs>
          <w:tab w:val="right" w:leader="dot" w:pos="8306"/>
        </w:tabs>
      </w:pPr>
      <w:hyperlink w:anchor="_Toc29468" w:history="1">
        <w:r>
          <w:rPr>
            <w:rFonts w:ascii="仿宋" w:eastAsia="仿宋" w:hAnsi="仿宋" w:cs="仿宋" w:hint="eastAsia"/>
            <w:lang w:eastAsia="zh-CN"/>
          </w:rPr>
          <w:t>(三)、运营期环境保护</w:t>
        </w:r>
        <w:r>
          <w:tab/>
        </w:r>
        <w:r>
          <w:fldChar w:fldCharType="begin"/>
        </w:r>
        <w:r>
          <w:instrText xml:space="preserve"> PAGEREF _Toc29468 \h </w:instrText>
        </w:r>
        <w:r>
          <w:fldChar w:fldCharType="separate"/>
        </w:r>
        <w:r>
          <w:t>20</w:t>
        </w:r>
        <w:r>
          <w:fldChar w:fldCharType="end"/>
        </w:r>
      </w:hyperlink>
    </w:p>
    <w:p>
      <w:pPr>
        <w:pStyle w:val="TOC2"/>
        <w:tabs>
          <w:tab w:val="right" w:leader="dot" w:pos="8306"/>
        </w:tabs>
      </w:pPr>
      <w:hyperlink w:anchor="_Toc29030" w:history="1">
        <w:r>
          <w:rPr>
            <w:rFonts w:ascii="仿宋" w:eastAsia="仿宋" w:hAnsi="仿宋" w:cs="仿宋" w:hint="eastAsia"/>
            <w:lang w:eastAsia="zh-CN"/>
          </w:rPr>
          <w:t>(四)、阳离子染料项目建设对区域经济的影响</w:t>
        </w:r>
        <w:r>
          <w:tab/>
        </w:r>
        <w:r>
          <w:fldChar w:fldCharType="begin"/>
        </w:r>
        <w:r>
          <w:instrText xml:space="preserve"> PAGEREF _Toc29030 \h </w:instrText>
        </w:r>
        <w:r>
          <w:fldChar w:fldCharType="separate"/>
        </w:r>
        <w:r>
          <w:t>21</w:t>
        </w:r>
        <w:r>
          <w:fldChar w:fldCharType="end"/>
        </w:r>
      </w:hyperlink>
    </w:p>
    <w:p>
      <w:pPr>
        <w:pStyle w:val="TOC2"/>
        <w:tabs>
          <w:tab w:val="right" w:leader="dot" w:pos="8306"/>
        </w:tabs>
      </w:pPr>
      <w:hyperlink w:anchor="_Toc28424" w:history="1">
        <w:r>
          <w:rPr>
            <w:rFonts w:ascii="仿宋" w:eastAsia="仿宋" w:hAnsi="仿宋" w:cs="仿宋" w:hint="eastAsia"/>
            <w:lang w:eastAsia="zh-CN"/>
          </w:rPr>
          <w:t>(五)、废弃物处理</w:t>
        </w:r>
        <w:r>
          <w:tab/>
        </w:r>
        <w:r>
          <w:fldChar w:fldCharType="begin"/>
        </w:r>
        <w:r>
          <w:instrText xml:space="preserve"> PAGEREF _Toc28424 \h </w:instrText>
        </w:r>
        <w:r>
          <w:fldChar w:fldCharType="separate"/>
        </w:r>
        <w:r>
          <w:t>23</w:t>
        </w:r>
        <w:r>
          <w:fldChar w:fldCharType="end"/>
        </w:r>
      </w:hyperlink>
    </w:p>
    <w:p>
      <w:pPr>
        <w:pStyle w:val="TOC2"/>
        <w:tabs>
          <w:tab w:val="right" w:leader="dot" w:pos="8306"/>
        </w:tabs>
      </w:pPr>
      <w:hyperlink w:anchor="_Toc25941" w:history="1">
        <w:r>
          <w:rPr>
            <w:rFonts w:ascii="仿宋" w:eastAsia="仿宋" w:hAnsi="仿宋" w:cs="仿宋" w:hint="eastAsia"/>
            <w:lang w:eastAsia="zh-CN"/>
          </w:rPr>
          <w:t>(六)、特殊环境影响分析</w:t>
        </w:r>
        <w:r>
          <w:tab/>
        </w:r>
        <w:r>
          <w:fldChar w:fldCharType="begin"/>
        </w:r>
        <w:r>
          <w:instrText xml:space="preserve"> PAGEREF _Toc25941 \h </w:instrText>
        </w:r>
        <w:r>
          <w:fldChar w:fldCharType="separate"/>
        </w:r>
        <w:r>
          <w:t>24</w:t>
        </w:r>
        <w:r>
          <w:fldChar w:fldCharType="end"/>
        </w:r>
      </w:hyperlink>
    </w:p>
    <w:p>
      <w:pPr>
        <w:pStyle w:val="TOC2"/>
        <w:tabs>
          <w:tab w:val="right" w:leader="dot" w:pos="8306"/>
        </w:tabs>
      </w:pPr>
      <w:hyperlink w:anchor="_Toc27327" w:history="1">
        <w:r>
          <w:rPr>
            <w:rFonts w:ascii="仿宋" w:eastAsia="仿宋" w:hAnsi="仿宋" w:cs="仿宋" w:hint="eastAsia"/>
            <w:lang w:eastAsia="zh-CN"/>
          </w:rPr>
          <w:t>(七)、清洁生产</w:t>
        </w:r>
        <w:r>
          <w:tab/>
        </w:r>
        <w:r>
          <w:fldChar w:fldCharType="begin"/>
        </w:r>
        <w:r>
          <w:instrText xml:space="preserve"> PAGEREF _Toc27327 \h </w:instrText>
        </w:r>
        <w:r>
          <w:fldChar w:fldCharType="separate"/>
        </w:r>
        <w:r>
          <w:t>26</w:t>
        </w:r>
        <w:r>
          <w:fldChar w:fldCharType="end"/>
        </w:r>
      </w:hyperlink>
    </w:p>
    <w:p>
      <w:pPr>
        <w:pStyle w:val="TOC2"/>
        <w:tabs>
          <w:tab w:val="right" w:leader="dot" w:pos="8306"/>
        </w:tabs>
      </w:pPr>
      <w:hyperlink w:anchor="_Toc16317" w:history="1">
        <w:r>
          <w:rPr>
            <w:rFonts w:ascii="仿宋" w:eastAsia="仿宋" w:hAnsi="仿宋" w:cs="仿宋" w:hint="eastAsia"/>
            <w:lang w:eastAsia="zh-CN"/>
          </w:rPr>
          <w:t>(八)、环境保护综合评价</w:t>
        </w:r>
        <w:r>
          <w:tab/>
        </w:r>
        <w:r>
          <w:fldChar w:fldCharType="begin"/>
        </w:r>
        <w:r>
          <w:instrText xml:space="preserve"> PAGEREF _Toc16317 \h </w:instrText>
        </w:r>
        <w:r>
          <w:fldChar w:fldCharType="separate"/>
        </w:r>
        <w:r>
          <w:t>27</w:t>
        </w:r>
        <w:r>
          <w:fldChar w:fldCharType="end"/>
        </w:r>
      </w:hyperlink>
    </w:p>
    <w:p>
      <w:pPr>
        <w:pStyle w:val="TOC1"/>
        <w:tabs>
          <w:tab w:val="right" w:leader="dot" w:pos="8306"/>
        </w:tabs>
      </w:pPr>
      <w:hyperlink w:anchor="_Toc30339" w:history="1">
        <w:r>
          <w:rPr>
            <w:rFonts w:ascii="仿宋" w:eastAsia="仿宋" w:hAnsi="仿宋" w:cs="仿宋" w:hint="eastAsia"/>
            <w:lang w:eastAsia="zh-CN"/>
          </w:rPr>
          <w:t>八、阳离子染料项目人力资源培养与发展</w:t>
        </w:r>
        <w:r>
          <w:tab/>
        </w:r>
        <w:r>
          <w:fldChar w:fldCharType="begin"/>
        </w:r>
        <w:r>
          <w:instrText xml:space="preserve"> PAGEREF _Toc30339 \h </w:instrText>
        </w:r>
        <w:r>
          <w:fldChar w:fldCharType="separate"/>
        </w:r>
        <w:r>
          <w:t>28</w:t>
        </w:r>
        <w:r>
          <w:fldChar w:fldCharType="end"/>
        </w:r>
      </w:hyperlink>
    </w:p>
    <w:p>
      <w:pPr>
        <w:pStyle w:val="TOC2"/>
        <w:tabs>
          <w:tab w:val="right" w:leader="dot" w:pos="8306"/>
        </w:tabs>
      </w:pPr>
      <w:hyperlink w:anchor="_Toc16546" w:history="1">
        <w:r>
          <w:rPr>
            <w:rFonts w:ascii="仿宋" w:eastAsia="仿宋" w:hAnsi="仿宋" w:cs="仿宋" w:hint="eastAsia"/>
            <w:lang w:eastAsia="zh-CN"/>
          </w:rPr>
          <w:t>(一)、人才需求与规划</w:t>
        </w:r>
        <w:r>
          <w:tab/>
        </w:r>
        <w:r>
          <w:fldChar w:fldCharType="begin"/>
        </w:r>
        <w:r>
          <w:instrText xml:space="preserve"> PAGEREF _Toc16546 \h </w:instrText>
        </w:r>
        <w:r>
          <w:fldChar w:fldCharType="separate"/>
        </w:r>
        <w:r>
          <w:t>28</w:t>
        </w:r>
        <w:r>
          <w:fldChar w:fldCharType="end"/>
        </w:r>
      </w:hyperlink>
    </w:p>
    <w:p>
      <w:pPr>
        <w:pStyle w:val="TOC2"/>
        <w:tabs>
          <w:tab w:val="right" w:leader="dot" w:pos="8306"/>
        </w:tabs>
      </w:pPr>
      <w:hyperlink w:anchor="_Toc10214" w:history="1">
        <w:r>
          <w:rPr>
            <w:rFonts w:ascii="仿宋" w:eastAsia="仿宋" w:hAnsi="仿宋" w:cs="仿宋" w:hint="eastAsia"/>
            <w:lang w:eastAsia="zh-CN"/>
          </w:rPr>
          <w:t>(二)、培训与发展计划</w:t>
        </w:r>
        <w:r>
          <w:tab/>
        </w:r>
        <w:r>
          <w:fldChar w:fldCharType="begin"/>
        </w:r>
        <w:r>
          <w:instrText xml:space="preserve"> PAGEREF _Toc10214 \h </w:instrText>
        </w:r>
        <w:r>
          <w:fldChar w:fldCharType="separate"/>
        </w:r>
        <w:r>
          <w:t>28</w:t>
        </w:r>
        <w:r>
          <w:fldChar w:fldCharType="end"/>
        </w:r>
      </w:hyperlink>
    </w:p>
    <w:p>
      <w:pPr>
        <w:pStyle w:val="TOC1"/>
        <w:tabs>
          <w:tab w:val="right" w:leader="dot" w:pos="8306"/>
        </w:tabs>
      </w:pPr>
      <w:hyperlink w:anchor="_Toc11876" w:history="1">
        <w:r>
          <w:rPr>
            <w:rFonts w:ascii="仿宋" w:eastAsia="仿宋" w:hAnsi="仿宋" w:cs="仿宋" w:hint="eastAsia"/>
            <w:lang w:eastAsia="zh-CN"/>
          </w:rPr>
          <w:t>九、阳离子染料项目人力资源管理</w:t>
        </w:r>
        <w:r>
          <w:tab/>
        </w:r>
        <w:r>
          <w:fldChar w:fldCharType="begin"/>
        </w:r>
        <w:r>
          <w:instrText xml:space="preserve"> PAGEREF _Toc11876 \h </w:instrText>
        </w:r>
        <w:r>
          <w:fldChar w:fldCharType="separate"/>
        </w:r>
        <w:r>
          <w:t>29</w:t>
        </w:r>
        <w:r>
          <w:fldChar w:fldCharType="end"/>
        </w:r>
      </w:hyperlink>
    </w:p>
    <w:p>
      <w:pPr>
        <w:pStyle w:val="TOC2"/>
        <w:tabs>
          <w:tab w:val="right" w:leader="dot" w:pos="8306"/>
        </w:tabs>
      </w:pPr>
      <w:hyperlink w:anchor="_Toc32376" w:history="1">
        <w:r>
          <w:rPr>
            <w:rFonts w:ascii="仿宋" w:eastAsia="仿宋" w:hAnsi="仿宋" w:cs="仿宋" w:hint="eastAsia"/>
            <w:lang w:eastAsia="zh-CN"/>
          </w:rPr>
          <w:t>(一)、建立健全的预算管理制度</w:t>
        </w:r>
        <w:r>
          <w:tab/>
        </w:r>
        <w:r>
          <w:fldChar w:fldCharType="begin"/>
        </w:r>
        <w:r>
          <w:instrText xml:space="preserve"> PAGEREF _Toc32376 \h </w:instrText>
        </w:r>
        <w:r>
          <w:fldChar w:fldCharType="separate"/>
        </w:r>
        <w:r>
          <w:t>29</w:t>
        </w:r>
        <w:r>
          <w:fldChar w:fldCharType="end"/>
        </w:r>
      </w:hyperlink>
    </w:p>
    <w:p>
      <w:pPr>
        <w:pStyle w:val="TOC2"/>
        <w:tabs>
          <w:tab w:val="right" w:leader="dot" w:pos="8306"/>
        </w:tabs>
      </w:pPr>
      <w:hyperlink w:anchor="_Toc23105" w:history="1">
        <w:r>
          <w:rPr>
            <w:rFonts w:ascii="仿宋" w:eastAsia="仿宋" w:hAnsi="仿宋" w:cs="仿宋" w:hint="eastAsia"/>
            <w:lang w:eastAsia="zh-CN"/>
          </w:rPr>
          <w:t>(二)、加强资金流动监控</w:t>
        </w:r>
        <w:r>
          <w:tab/>
        </w:r>
        <w:r>
          <w:fldChar w:fldCharType="begin"/>
        </w:r>
        <w:r>
          <w:instrText xml:space="preserve"> PAGEREF _Toc23105 \h </w:instrText>
        </w:r>
        <w:r>
          <w:fldChar w:fldCharType="separate"/>
        </w:r>
        <w:r>
          <w:t>31</w:t>
        </w:r>
        <w:r>
          <w:fldChar w:fldCharType="end"/>
        </w:r>
      </w:hyperlink>
    </w:p>
    <w:p>
      <w:pPr>
        <w:pStyle w:val="TOC2"/>
        <w:tabs>
          <w:tab w:val="right" w:leader="dot" w:pos="8306"/>
        </w:tabs>
      </w:pPr>
      <w:hyperlink w:anchor="_Toc16068" w:history="1">
        <w:r>
          <w:rPr>
            <w:rFonts w:ascii="仿宋" w:eastAsia="仿宋" w:hAnsi="仿宋" w:cs="仿宋" w:hint="eastAsia"/>
            <w:lang w:eastAsia="zh-CN"/>
          </w:rPr>
          <w:t>(三)、制定完善的风险控制机制</w:t>
        </w:r>
        <w:r>
          <w:tab/>
        </w:r>
        <w:r>
          <w:fldChar w:fldCharType="begin"/>
        </w:r>
        <w:r>
          <w:instrText xml:space="preserve"> PAGEREF _Toc16068 \h </w:instrText>
        </w:r>
        <w:r>
          <w:fldChar w:fldCharType="separate"/>
        </w:r>
        <w:r>
          <w:t>32</w:t>
        </w:r>
        <w:r>
          <w:fldChar w:fldCharType="end"/>
        </w:r>
      </w:hyperlink>
    </w:p>
    <w:p>
      <w:pPr>
        <w:pStyle w:val="TOC2"/>
        <w:tabs>
          <w:tab w:val="right" w:leader="dot" w:pos="8306"/>
        </w:tabs>
      </w:pPr>
      <w:hyperlink w:anchor="_Toc21972" w:history="1">
        <w:r>
          <w:rPr>
            <w:rFonts w:ascii="仿宋" w:eastAsia="仿宋" w:hAnsi="仿宋" w:cs="仿宋" w:hint="eastAsia"/>
            <w:lang w:eastAsia="zh-CN"/>
          </w:rPr>
          <w:t>(四)、优化成本管理</w:t>
        </w:r>
        <w:r>
          <w:tab/>
        </w:r>
        <w:r>
          <w:fldChar w:fldCharType="begin"/>
        </w:r>
        <w:r>
          <w:instrText xml:space="preserve"> PAGEREF _Toc21972 \h </w:instrText>
        </w:r>
        <w:r>
          <w:fldChar w:fldCharType="separate"/>
        </w:r>
        <w:r>
          <w:t>33</w:t>
        </w:r>
        <w:r>
          <w:fldChar w:fldCharType="end"/>
        </w:r>
      </w:hyperlink>
    </w:p>
    <w:p>
      <w:pPr>
        <w:pStyle w:val="TOC1"/>
        <w:tabs>
          <w:tab w:val="right" w:leader="dot" w:pos="8306"/>
        </w:tabs>
      </w:pPr>
      <w:hyperlink w:anchor="_Toc32332" w:history="1">
        <w:r>
          <w:rPr>
            <w:rFonts w:ascii="仿宋" w:eastAsia="仿宋" w:hAnsi="仿宋" w:cs="仿宋" w:hint="eastAsia"/>
            <w:lang w:eastAsia="zh-CN"/>
          </w:rPr>
          <w:t>十、阳离子染料项目技术管理</w:t>
        </w:r>
        <w:r>
          <w:tab/>
        </w:r>
        <w:r>
          <w:fldChar w:fldCharType="begin"/>
        </w:r>
        <w:r>
          <w:instrText xml:space="preserve"> PAGEREF _Toc32332 \h </w:instrText>
        </w:r>
        <w:r>
          <w:fldChar w:fldCharType="separate"/>
        </w:r>
        <w:r>
          <w:t>34</w:t>
        </w:r>
        <w:r>
          <w:fldChar w:fldCharType="end"/>
        </w:r>
      </w:hyperlink>
    </w:p>
    <w:p>
      <w:pPr>
        <w:pStyle w:val="TOC2"/>
        <w:tabs>
          <w:tab w:val="right" w:leader="dot" w:pos="8306"/>
        </w:tabs>
      </w:pPr>
      <w:hyperlink w:anchor="_Toc18846" w:history="1">
        <w:r>
          <w:rPr>
            <w:rFonts w:ascii="仿宋" w:eastAsia="仿宋" w:hAnsi="仿宋" w:cs="仿宋" w:hint="eastAsia"/>
            <w:lang w:eastAsia="zh-CN"/>
          </w:rPr>
          <w:t>(一)、技术方案选用方向</w:t>
        </w:r>
        <w:r>
          <w:tab/>
        </w:r>
        <w:r>
          <w:fldChar w:fldCharType="begin"/>
        </w:r>
        <w:r>
          <w:instrText xml:space="preserve"> PAGEREF _Toc18846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96" w:history="1">
        <w:r>
          <w:rPr>
            <w:rFonts w:ascii="仿宋" w:eastAsia="仿宋" w:hAnsi="仿宋" w:cs="仿宋" w:hint="eastAsia"/>
            <w:lang w:eastAsia="zh-CN"/>
          </w:rPr>
          <w:t>(二)、工艺技术方案选用原则</w:t>
        </w:r>
        <w:r>
          <w:tab/>
        </w:r>
        <w:r>
          <w:fldChar w:fldCharType="begin"/>
        </w:r>
        <w:r>
          <w:instrText xml:space="preserve"> PAGEREF _Toc12396 \h </w:instrText>
        </w:r>
        <w:r>
          <w:fldChar w:fldCharType="separate"/>
        </w:r>
        <w:r>
          <w:t>36</w:t>
        </w:r>
        <w:r>
          <w:fldChar w:fldCharType="end"/>
        </w:r>
      </w:hyperlink>
    </w:p>
    <w:p>
      <w:pPr>
        <w:pStyle w:val="TOC2"/>
        <w:tabs>
          <w:tab w:val="right" w:leader="dot" w:pos="8306"/>
        </w:tabs>
      </w:pPr>
      <w:hyperlink w:anchor="_Toc7396" w:history="1">
        <w:r>
          <w:rPr>
            <w:rFonts w:ascii="仿宋" w:eastAsia="仿宋" w:hAnsi="仿宋" w:cs="仿宋" w:hint="eastAsia"/>
            <w:lang w:eastAsia="zh-CN"/>
          </w:rPr>
          <w:t>(三)、工艺技术方案要求</w:t>
        </w:r>
        <w:r>
          <w:tab/>
        </w:r>
        <w:r>
          <w:fldChar w:fldCharType="begin"/>
        </w:r>
        <w:r>
          <w:instrText xml:space="preserve"> PAGEREF _Toc7396 \h </w:instrText>
        </w:r>
        <w:r>
          <w:fldChar w:fldCharType="separate"/>
        </w:r>
        <w:r>
          <w:t>38</w:t>
        </w:r>
        <w:r>
          <w:fldChar w:fldCharType="end"/>
        </w:r>
      </w:hyperlink>
    </w:p>
    <w:p>
      <w:pPr>
        <w:pStyle w:val="TOC1"/>
        <w:tabs>
          <w:tab w:val="right" w:leader="dot" w:pos="8306"/>
        </w:tabs>
      </w:pPr>
      <w:hyperlink w:anchor="_Toc17225" w:history="1">
        <w:r>
          <w:rPr>
            <w:rFonts w:ascii="仿宋" w:eastAsia="仿宋" w:hAnsi="仿宋" w:cs="仿宋" w:hint="eastAsia"/>
            <w:lang w:eastAsia="zh-CN"/>
          </w:rPr>
          <w:t>十一、阳离子染料项目社会影响</w:t>
        </w:r>
        <w:r>
          <w:tab/>
        </w:r>
        <w:r>
          <w:fldChar w:fldCharType="begin"/>
        </w:r>
        <w:r>
          <w:instrText xml:space="preserve"> PAGEREF _Toc17225 \h </w:instrText>
        </w:r>
        <w:r>
          <w:fldChar w:fldCharType="separate"/>
        </w:r>
        <w:r>
          <w:t>41</w:t>
        </w:r>
        <w:r>
          <w:fldChar w:fldCharType="end"/>
        </w:r>
      </w:hyperlink>
    </w:p>
    <w:p>
      <w:pPr>
        <w:pStyle w:val="TOC2"/>
        <w:tabs>
          <w:tab w:val="right" w:leader="dot" w:pos="8306"/>
        </w:tabs>
      </w:pPr>
      <w:hyperlink w:anchor="_Toc24928" w:history="1">
        <w:r>
          <w:rPr>
            <w:rFonts w:ascii="仿宋" w:eastAsia="仿宋" w:hAnsi="仿宋" w:cs="仿宋" w:hint="eastAsia"/>
            <w:lang w:eastAsia="zh-CN"/>
          </w:rPr>
          <w:t>(一)、社会责任与义务</w:t>
        </w:r>
        <w:r>
          <w:tab/>
        </w:r>
        <w:r>
          <w:fldChar w:fldCharType="begin"/>
        </w:r>
        <w:r>
          <w:instrText xml:space="preserve"> PAGEREF _Toc24928 \h </w:instrText>
        </w:r>
        <w:r>
          <w:fldChar w:fldCharType="separate"/>
        </w:r>
        <w:r>
          <w:t>41</w:t>
        </w:r>
        <w:r>
          <w:fldChar w:fldCharType="end"/>
        </w:r>
      </w:hyperlink>
    </w:p>
    <w:p>
      <w:pPr>
        <w:pStyle w:val="TOC2"/>
        <w:tabs>
          <w:tab w:val="right" w:leader="dot" w:pos="8306"/>
        </w:tabs>
      </w:pPr>
      <w:hyperlink w:anchor="_Toc5430" w:history="1">
        <w:r>
          <w:rPr>
            <w:rFonts w:ascii="仿宋" w:eastAsia="仿宋" w:hAnsi="仿宋" w:cs="仿宋" w:hint="eastAsia"/>
            <w:lang w:eastAsia="zh-CN"/>
          </w:rPr>
          <w:t>(二)、社会参与与沟通</w:t>
        </w:r>
        <w:r>
          <w:tab/>
        </w:r>
        <w:r>
          <w:fldChar w:fldCharType="begin"/>
        </w:r>
        <w:r>
          <w:instrText xml:space="preserve"> PAGEREF _Toc5430 \h </w:instrText>
        </w:r>
        <w:r>
          <w:fldChar w:fldCharType="separate"/>
        </w:r>
        <w:r>
          <w:t>41</w:t>
        </w:r>
        <w:r>
          <w:fldChar w:fldCharType="end"/>
        </w:r>
      </w:hyperlink>
    </w:p>
    <w:p>
      <w:pPr>
        <w:pStyle w:val="TOC1"/>
        <w:tabs>
          <w:tab w:val="right" w:leader="dot" w:pos="8306"/>
        </w:tabs>
      </w:pPr>
      <w:hyperlink w:anchor="_Toc18841" w:history="1">
        <w:r>
          <w:rPr>
            <w:rFonts w:ascii="仿宋" w:eastAsia="仿宋" w:hAnsi="仿宋" w:cs="仿宋" w:hint="eastAsia"/>
            <w:lang w:eastAsia="zh-CN"/>
          </w:rPr>
          <w:t>十二、生产安全保护</w:t>
        </w:r>
        <w:r>
          <w:tab/>
        </w:r>
        <w:r>
          <w:fldChar w:fldCharType="begin"/>
        </w:r>
        <w:r>
          <w:instrText xml:space="preserve"> PAGEREF _Toc18841 \h </w:instrText>
        </w:r>
        <w:r>
          <w:fldChar w:fldCharType="separate"/>
        </w:r>
        <w:r>
          <w:t>42</w:t>
        </w:r>
        <w:r>
          <w:fldChar w:fldCharType="end"/>
        </w:r>
      </w:hyperlink>
    </w:p>
    <w:p>
      <w:pPr>
        <w:pStyle w:val="TOC2"/>
        <w:tabs>
          <w:tab w:val="right" w:leader="dot" w:pos="8306"/>
        </w:tabs>
      </w:pPr>
      <w:hyperlink w:anchor="_Toc3631" w:history="1">
        <w:r>
          <w:rPr>
            <w:rFonts w:ascii="仿宋" w:eastAsia="仿宋" w:hAnsi="仿宋" w:cs="仿宋" w:hint="eastAsia"/>
            <w:lang w:eastAsia="zh-CN"/>
          </w:rPr>
          <w:t>(一)、消防安全</w:t>
        </w:r>
        <w:r>
          <w:tab/>
        </w:r>
        <w:r>
          <w:fldChar w:fldCharType="begin"/>
        </w:r>
        <w:r>
          <w:instrText xml:space="preserve"> PAGEREF _Toc3631 \h </w:instrText>
        </w:r>
        <w:r>
          <w:fldChar w:fldCharType="separate"/>
        </w:r>
        <w:r>
          <w:t>42</w:t>
        </w:r>
        <w:r>
          <w:fldChar w:fldCharType="end"/>
        </w:r>
      </w:hyperlink>
    </w:p>
    <w:p>
      <w:pPr>
        <w:pStyle w:val="TOC2"/>
        <w:tabs>
          <w:tab w:val="right" w:leader="dot" w:pos="8306"/>
        </w:tabs>
      </w:pPr>
      <w:hyperlink w:anchor="_Toc26336" w:history="1">
        <w:r>
          <w:rPr>
            <w:rFonts w:ascii="仿宋" w:eastAsia="仿宋" w:hAnsi="仿宋" w:cs="仿宋" w:hint="eastAsia"/>
            <w:lang w:eastAsia="zh-CN"/>
          </w:rPr>
          <w:t>(二)、防火防爆总图布置措施</w:t>
        </w:r>
        <w:r>
          <w:tab/>
        </w:r>
        <w:r>
          <w:fldChar w:fldCharType="begin"/>
        </w:r>
        <w:r>
          <w:instrText xml:space="preserve"> PAGEREF _Toc26336 \h </w:instrText>
        </w:r>
        <w:r>
          <w:fldChar w:fldCharType="separate"/>
        </w:r>
        <w:r>
          <w:t>44</w:t>
        </w:r>
        <w:r>
          <w:fldChar w:fldCharType="end"/>
        </w:r>
      </w:hyperlink>
    </w:p>
    <w:p>
      <w:pPr>
        <w:pStyle w:val="TOC2"/>
        <w:tabs>
          <w:tab w:val="right" w:leader="dot" w:pos="8306"/>
        </w:tabs>
      </w:pPr>
      <w:hyperlink w:anchor="_Toc18020" w:history="1">
        <w:r>
          <w:rPr>
            <w:rFonts w:ascii="仿宋" w:eastAsia="仿宋" w:hAnsi="仿宋" w:cs="仿宋" w:hint="eastAsia"/>
            <w:lang w:eastAsia="zh-CN"/>
          </w:rPr>
          <w:t>(三)、自然灾害防范措施</w:t>
        </w:r>
        <w:r>
          <w:tab/>
        </w:r>
        <w:r>
          <w:fldChar w:fldCharType="begin"/>
        </w:r>
        <w:r>
          <w:instrText xml:space="preserve"> PAGEREF _Toc18020 \h </w:instrText>
        </w:r>
        <w:r>
          <w:fldChar w:fldCharType="separate"/>
        </w:r>
        <w:r>
          <w:t>45</w:t>
        </w:r>
        <w:r>
          <w:fldChar w:fldCharType="end"/>
        </w:r>
      </w:hyperlink>
    </w:p>
    <w:p>
      <w:pPr>
        <w:pStyle w:val="TOC2"/>
        <w:tabs>
          <w:tab w:val="right" w:leader="dot" w:pos="8306"/>
        </w:tabs>
      </w:pPr>
      <w:hyperlink w:anchor="_Toc5183" w:history="1">
        <w:r>
          <w:rPr>
            <w:rFonts w:ascii="仿宋" w:eastAsia="仿宋" w:hAnsi="仿宋" w:cs="仿宋" w:hint="eastAsia"/>
            <w:lang w:eastAsia="zh-CN"/>
          </w:rPr>
          <w:t>(四)、安全色及安全标志使用要求</w:t>
        </w:r>
        <w:r>
          <w:tab/>
        </w:r>
        <w:r>
          <w:fldChar w:fldCharType="begin"/>
        </w:r>
        <w:r>
          <w:instrText xml:space="preserve"> PAGEREF _Toc5183 \h </w:instrText>
        </w:r>
        <w:r>
          <w:fldChar w:fldCharType="separate"/>
        </w:r>
        <w:r>
          <w:t>46</w:t>
        </w:r>
        <w:r>
          <w:fldChar w:fldCharType="end"/>
        </w:r>
      </w:hyperlink>
    </w:p>
    <w:p>
      <w:pPr>
        <w:pStyle w:val="TOC2"/>
        <w:tabs>
          <w:tab w:val="right" w:leader="dot" w:pos="8306"/>
        </w:tabs>
      </w:pPr>
      <w:hyperlink w:anchor="_Toc10731" w:history="1">
        <w:r>
          <w:rPr>
            <w:rFonts w:ascii="仿宋" w:eastAsia="仿宋" w:hAnsi="仿宋" w:cs="仿宋" w:hint="eastAsia"/>
            <w:lang w:eastAsia="zh-CN"/>
          </w:rPr>
          <w:t>(五)、防尘防毒措施</w:t>
        </w:r>
        <w:r>
          <w:tab/>
        </w:r>
        <w:r>
          <w:fldChar w:fldCharType="begin"/>
        </w:r>
        <w:r>
          <w:instrText xml:space="preserve"> PAGEREF _Toc10731 \h </w:instrText>
        </w:r>
        <w:r>
          <w:fldChar w:fldCharType="separate"/>
        </w:r>
        <w:r>
          <w:t>47</w:t>
        </w:r>
        <w:r>
          <w:fldChar w:fldCharType="end"/>
        </w:r>
      </w:hyperlink>
    </w:p>
    <w:p>
      <w:pPr>
        <w:pStyle w:val="TOC2"/>
        <w:tabs>
          <w:tab w:val="right" w:leader="dot" w:pos="8306"/>
        </w:tabs>
      </w:pPr>
      <w:hyperlink w:anchor="_Toc24032" w:history="1">
        <w:r>
          <w:rPr>
            <w:rFonts w:ascii="仿宋" w:eastAsia="仿宋" w:hAnsi="仿宋" w:cs="仿宋" w:hint="eastAsia"/>
            <w:lang w:eastAsia="zh-CN"/>
          </w:rPr>
          <w:t>(六)、防静电、触电防护及防雷措施</w:t>
        </w:r>
        <w:r>
          <w:tab/>
        </w:r>
        <w:r>
          <w:fldChar w:fldCharType="begin"/>
        </w:r>
        <w:r>
          <w:instrText xml:space="preserve"> PAGEREF _Toc24032 \h </w:instrText>
        </w:r>
        <w:r>
          <w:fldChar w:fldCharType="separate"/>
        </w:r>
        <w:r>
          <w:t>47</w:t>
        </w:r>
        <w:r>
          <w:fldChar w:fldCharType="end"/>
        </w:r>
      </w:hyperlink>
    </w:p>
    <w:p>
      <w:pPr>
        <w:pStyle w:val="TOC2"/>
        <w:tabs>
          <w:tab w:val="right" w:leader="dot" w:pos="8306"/>
        </w:tabs>
      </w:pPr>
      <w:hyperlink w:anchor="_Toc19205" w:history="1">
        <w:r>
          <w:rPr>
            <w:rFonts w:ascii="仿宋" w:eastAsia="仿宋" w:hAnsi="仿宋" w:cs="仿宋" w:hint="eastAsia"/>
            <w:lang w:eastAsia="zh-CN"/>
          </w:rPr>
          <w:t>(七)、机械设备安全保障措施</w:t>
        </w:r>
        <w:r>
          <w:tab/>
        </w:r>
        <w:r>
          <w:fldChar w:fldCharType="begin"/>
        </w:r>
        <w:r>
          <w:instrText xml:space="preserve"> PAGEREF _Toc19205 \h </w:instrText>
        </w:r>
        <w:r>
          <w:fldChar w:fldCharType="separate"/>
        </w:r>
        <w:r>
          <w:t>49</w:t>
        </w:r>
        <w:r>
          <w:fldChar w:fldCharType="end"/>
        </w:r>
      </w:hyperlink>
    </w:p>
    <w:p>
      <w:pPr>
        <w:pStyle w:val="TOC1"/>
        <w:tabs>
          <w:tab w:val="right" w:leader="dot" w:pos="8306"/>
        </w:tabs>
      </w:pPr>
      <w:hyperlink w:anchor="_Toc28856" w:history="1">
        <w:r>
          <w:rPr>
            <w:rFonts w:ascii="仿宋" w:eastAsia="仿宋" w:hAnsi="仿宋" w:cs="仿宋" w:hint="eastAsia"/>
            <w:lang w:eastAsia="zh-CN"/>
          </w:rPr>
          <w:t>十三、供应链管理</w:t>
        </w:r>
        <w:r>
          <w:tab/>
        </w:r>
        <w:r>
          <w:fldChar w:fldCharType="begin"/>
        </w:r>
        <w:r>
          <w:instrText xml:space="preserve"> PAGEREF _Toc28856 \h </w:instrText>
        </w:r>
        <w:r>
          <w:fldChar w:fldCharType="separate"/>
        </w:r>
        <w:r>
          <w:t>50</w:t>
        </w:r>
        <w:r>
          <w:fldChar w:fldCharType="end"/>
        </w:r>
      </w:hyperlink>
    </w:p>
    <w:p>
      <w:pPr>
        <w:pStyle w:val="TOC2"/>
        <w:tabs>
          <w:tab w:val="right" w:leader="dot" w:pos="8306"/>
        </w:tabs>
      </w:pPr>
      <w:hyperlink w:anchor="_Toc24486" w:history="1">
        <w:r>
          <w:rPr>
            <w:rFonts w:ascii="仿宋" w:eastAsia="仿宋" w:hAnsi="仿宋" w:cs="仿宋" w:hint="eastAsia"/>
            <w:lang w:eastAsia="zh-CN"/>
          </w:rPr>
          <w:t>(一)、供应链战略规划</w:t>
        </w:r>
        <w:r>
          <w:tab/>
        </w:r>
        <w:r>
          <w:fldChar w:fldCharType="begin"/>
        </w:r>
        <w:r>
          <w:instrText xml:space="preserve"> PAGEREF _Toc24486 \h </w:instrText>
        </w:r>
        <w:r>
          <w:fldChar w:fldCharType="separate"/>
        </w:r>
        <w:r>
          <w:t>50</w:t>
        </w:r>
        <w:r>
          <w:fldChar w:fldCharType="end"/>
        </w:r>
      </w:hyperlink>
    </w:p>
    <w:p>
      <w:pPr>
        <w:pStyle w:val="TOC2"/>
        <w:tabs>
          <w:tab w:val="right" w:leader="dot" w:pos="8306"/>
        </w:tabs>
      </w:pPr>
      <w:hyperlink w:anchor="_Toc15482" w:history="1">
        <w:r>
          <w:rPr>
            <w:rFonts w:ascii="仿宋" w:eastAsia="仿宋" w:hAnsi="仿宋" w:cs="仿宋" w:hint="eastAsia"/>
            <w:lang w:eastAsia="zh-CN"/>
          </w:rPr>
          <w:t>(二)、供应商选择与合作</w:t>
        </w:r>
        <w:r>
          <w:tab/>
        </w:r>
        <w:r>
          <w:fldChar w:fldCharType="begin"/>
        </w:r>
        <w:r>
          <w:instrText xml:space="preserve"> PAGEREF _Toc15482 \h </w:instrText>
        </w:r>
        <w:r>
          <w:fldChar w:fldCharType="separate"/>
        </w:r>
        <w:r>
          <w:t>52</w:t>
        </w:r>
        <w:r>
          <w:fldChar w:fldCharType="end"/>
        </w:r>
      </w:hyperlink>
    </w:p>
    <w:p>
      <w:pPr>
        <w:pStyle w:val="TOC2"/>
        <w:tabs>
          <w:tab w:val="right" w:leader="dot" w:pos="8306"/>
        </w:tabs>
      </w:pPr>
      <w:hyperlink w:anchor="_Toc3098" w:history="1">
        <w:r>
          <w:rPr>
            <w:rFonts w:ascii="仿宋" w:eastAsia="仿宋" w:hAnsi="仿宋" w:cs="仿宋" w:hint="eastAsia"/>
            <w:lang w:eastAsia="zh-CN"/>
          </w:rPr>
          <w:t>(三)、物流与库存管理</w:t>
        </w:r>
        <w:r>
          <w:tab/>
        </w:r>
        <w:r>
          <w:fldChar w:fldCharType="begin"/>
        </w:r>
        <w:r>
          <w:instrText xml:space="preserve"> PAGEREF _Toc3098 \h </w:instrText>
        </w:r>
        <w:r>
          <w:fldChar w:fldCharType="separate"/>
        </w:r>
        <w:r>
          <w:t>53</w:t>
        </w:r>
        <w:r>
          <w:fldChar w:fldCharType="end"/>
        </w:r>
      </w:hyperlink>
    </w:p>
    <w:p>
      <w:pPr>
        <w:pStyle w:val="TOC1"/>
        <w:tabs>
          <w:tab w:val="right" w:leader="dot" w:pos="8306"/>
        </w:tabs>
      </w:pPr>
      <w:hyperlink w:anchor="_Toc533" w:history="1">
        <w:r>
          <w:rPr>
            <w:rFonts w:ascii="仿宋" w:eastAsia="仿宋" w:hAnsi="仿宋" w:cs="仿宋" w:hint="eastAsia"/>
            <w:lang w:eastAsia="zh-CN"/>
          </w:rPr>
          <w:t>十四、利益相关者分析与沟通计划</w:t>
        </w:r>
        <w:r>
          <w:tab/>
        </w:r>
        <w:r>
          <w:fldChar w:fldCharType="begin"/>
        </w:r>
        <w:r>
          <w:instrText xml:space="preserve"> PAGEREF _Toc533 \h </w:instrText>
        </w:r>
        <w:r>
          <w:fldChar w:fldCharType="separate"/>
        </w:r>
        <w:r>
          <w:t>54</w:t>
        </w:r>
        <w:r>
          <w:fldChar w:fldCharType="end"/>
        </w:r>
      </w:hyperlink>
    </w:p>
    <w:p>
      <w:pPr>
        <w:pStyle w:val="TOC2"/>
        <w:tabs>
          <w:tab w:val="right" w:leader="dot" w:pos="8306"/>
        </w:tabs>
      </w:pPr>
      <w:hyperlink w:anchor="_Toc27649" w:history="1">
        <w:r>
          <w:rPr>
            <w:rFonts w:ascii="仿宋" w:eastAsia="仿宋" w:hAnsi="仿宋" w:cs="仿宋" w:hint="eastAsia"/>
            <w:lang w:eastAsia="zh-CN"/>
          </w:rPr>
          <w:t>(一)、利益相关者分析</w:t>
        </w:r>
        <w:r>
          <w:tab/>
        </w:r>
        <w:r>
          <w:fldChar w:fldCharType="begin"/>
        </w:r>
        <w:r>
          <w:instrText xml:space="preserve"> PAGEREF _Toc27649 \h </w:instrText>
        </w:r>
        <w:r>
          <w:fldChar w:fldCharType="separate"/>
        </w:r>
        <w:r>
          <w:t>54</w:t>
        </w:r>
        <w:r>
          <w:fldChar w:fldCharType="end"/>
        </w:r>
      </w:hyperlink>
    </w:p>
    <w:p>
      <w:pPr>
        <w:pStyle w:val="TOC2"/>
        <w:tabs>
          <w:tab w:val="right" w:leader="dot" w:pos="8306"/>
        </w:tabs>
      </w:pPr>
      <w:hyperlink w:anchor="_Toc6998" w:history="1">
        <w:r>
          <w:rPr>
            <w:rFonts w:ascii="仿宋" w:eastAsia="仿宋" w:hAnsi="仿宋" w:cs="仿宋" w:hint="eastAsia"/>
            <w:lang w:eastAsia="zh-CN"/>
          </w:rPr>
          <w:t>(二)、沟通计划</w:t>
        </w:r>
        <w:r>
          <w:tab/>
        </w:r>
        <w:r>
          <w:fldChar w:fldCharType="begin"/>
        </w:r>
        <w:r>
          <w:instrText xml:space="preserve"> PAGEREF _Toc6998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21"/>
      <w:r>
        <w:rPr>
          <w:rFonts w:ascii="仿宋" w:eastAsia="仿宋" w:hAnsi="仿宋" w:cs="仿宋" w:hint="eastAsia"/>
          <w:sz w:val="28"/>
          <w:lang w:eastAsia="zh-CN"/>
        </w:rPr>
        <w:t>一、阳离子染料项目文档管理</w:t>
      </w:r>
      <w:bookmarkEnd w:id="2"/>
    </w:p>
    <w:p>
      <w:pPr>
        <w:pStyle w:val="Heading2"/>
        <w:rPr>
          <w:rFonts w:ascii="仿宋" w:eastAsia="仿宋" w:hAnsi="仿宋" w:cs="仿宋" w:hint="eastAsia"/>
          <w:lang w:eastAsia="zh-CN"/>
        </w:rPr>
      </w:pPr>
      <w:bookmarkStart w:id="3" w:name="_Toc223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阳离子染料项目高度重视文档的质量和准确性，以支持阳离子染料项目的各项活动和决策。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文档的编制始于阳离子染料项目计划的初期，我们制定了详细的文档编制计划，明确了每个文档的内容、格式和编写责任人。在阳离子染料项目启动阶段，我们首先编制了阳离子染料项目章程，明确定义了阳离子染料项目的目标、范围、风险等关键要素。随后，阳离子染料项目团队根据计划陆续编制了需求文档、设计文档、测试文档等各类文档，确保阳离子染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阳离子染料项目管理中的重要环节，旨在确保阳离子染料项目文档符合质量标准和阳离子染料项目需求。在阳离子染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阳离子染料项目相关利益方和专业领域的专家对文档进行独立审查。这有助于获取更全面、客观的反馈，确保阳离子染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阳离子染料项目在文档编制与审查方面建立了严格的管理机制，通过规范的流程和多维度的审查，确保阳离子染料项目文档的质量、准确性和可靠性，为阳离子染料项目的顺利推进提供了有力支持。</w:t>
      </w:r>
    </w:p>
    <w:p>
      <w:pPr>
        <w:pStyle w:val="Heading2"/>
        <w:ind w:firstLine="560" w:firstLineChars="200"/>
        <w:rPr>
          <w:rFonts w:ascii="仿宋" w:eastAsia="仿宋" w:hAnsi="仿宋" w:cs="仿宋" w:hint="eastAsia"/>
          <w:sz w:val="28"/>
          <w:lang w:eastAsia="zh-CN"/>
        </w:rPr>
      </w:pPr>
      <w:bookmarkStart w:id="4" w:name="_Toc720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我们通过多渠道发布文档，包括电子邮件、阳离子染料项目管理平台、内部网站等，以满足不同团队成员的偏好和需求。多渠道发布确保了信息的全面覆盖。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我们采用了精细的权限控制，确保只有授权人员可以访问敏感信息。这种安全措施保护了阳离子染料项目文档的机密性，防止了未经授权的信息泄露。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68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文档存档与归档是阳离子染料项目生命周期中一个至关重要的环节，直接关系到阳离子染料项目信息的长期保存和历史记录的完整性。在阳离子染料项目中，我们实施了一系列有效的文档存档与归档管理策略：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412"/>
      <w:r>
        <w:rPr>
          <w:rFonts w:ascii="仿宋" w:eastAsia="仿宋" w:hAnsi="仿宋" w:cs="仿宋" w:hint="eastAsia"/>
          <w:sz w:val="28"/>
          <w:lang w:eastAsia="zh-CN"/>
        </w:rPr>
        <w:t>二、阳离子染料项目可持续发展</w:t>
      </w:r>
      <w:bookmarkEnd w:id="6"/>
    </w:p>
    <w:p>
      <w:pPr>
        <w:pStyle w:val="Heading2"/>
        <w:rPr>
          <w:rFonts w:ascii="仿宋" w:eastAsia="仿宋" w:hAnsi="仿宋" w:cs="仿宋" w:hint="eastAsia"/>
          <w:lang w:eastAsia="zh-CN"/>
        </w:rPr>
      </w:pPr>
      <w:bookmarkStart w:id="7" w:name="_Toc1101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中，阳离子染料项目团队着眼于未来，明确了可持续发展的战略方向。制定的具体可持续发展目标包括降低资源使用、采用环保技术、最大化社会效益等。这一步骤不仅有助于阳离子染料项目在环保和社会责任方面达到最高标准，也为未来提供了明确的指引，确保阳离子染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可持续实践的融入阳离子染料项目管理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阳离子染料项目管理周期。从阳离子染料项目规划开始，阳离子染料项目团队就考虑了环境和社会的因素。在执行阶段，阳离子染料项目团队积极推动绿色技术的应用，优化资源利用。此外，关注员工的社会责任，通过培训和沟通活动提高员工对可持续发展的认知，使他们能够在日常工作中践行可持续实践。这些举措不仅为阳离子染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748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扎根于阳离子染料项目的可持续发展理念，我们深信环保与社会责任是阳离子染料项目成功的关键支柱。在阳离子染料项目的每一步，我们都致力于通过创新和实践，履行对环境和社会的坚定责任。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团队通过引入先进的环保技术、建立高效的废物处理系统以及推动能源节约措施，积极履行环保责任。定期的环保监测和评估确保阳离子染料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不仅致力于自身可持续发展，还注重对社会的回馈。通过支持社区阳离子染料项目、参与慈善事业、提供培训机会等方式，阳离子染料项目积极履行社会责任。与当地社区建立积极互动，关注员工的工作与生活平衡，以及员工的身心健康，是阳离子染料项目在社会责任层面的关键举措。这样的实践不仅增强了阳离子染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259"/>
      <w:r>
        <w:rPr>
          <w:rFonts w:ascii="仿宋" w:eastAsia="仿宋" w:hAnsi="仿宋" w:cs="仿宋" w:hint="eastAsia"/>
          <w:sz w:val="28"/>
          <w:lang w:eastAsia="zh-CN"/>
        </w:rPr>
        <w:t>三、阳离子染料项目危机管理</w:t>
      </w:r>
      <w:bookmarkEnd w:id="9"/>
    </w:p>
    <w:p>
      <w:pPr>
        <w:pStyle w:val="Heading2"/>
        <w:rPr>
          <w:rFonts w:ascii="仿宋" w:eastAsia="仿宋" w:hAnsi="仿宋" w:cs="仿宋" w:hint="eastAsia"/>
          <w:lang w:eastAsia="zh-CN"/>
        </w:rPr>
      </w:pPr>
      <w:bookmarkStart w:id="10" w:name="_Toc3014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危机管理中，危机预警与识别是确保阳离子染料项目稳健运行的核心步骤。通过建立全面的监测机制，阳离子染料项目团队旨在及时发现和理解潜在的风险和危机因素，以便采取及时的预防和应对措施，确保阳离子染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首先，通过深入的风险评估，阳离子染料项目团队全面分析了整个阳离子染料项目和各个阶段可能存在的威胁。这包括准确评估每个潜在风险的发生概率和可能影响的程度，为后续危机预警提供了有力支持。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阳离子染料项目团队着重于明确定义阳离子染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阳离子染料项目进展的持续监控，团队能够及时发现潜在问题并作出迅速反应。阳离子染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在这一阶段，团队的专业素养和反应速度将发挥至关重要的作用，以确保潜在危机能够在初期得到有效的处理，最大程度地减轻负面影响。通过危机预警与识别，阳离子染料项目得以更有序、可控地推进。</w:t>
      </w:r>
    </w:p>
    <w:p>
      <w:pPr>
        <w:pStyle w:val="Heading2"/>
        <w:ind w:firstLine="560" w:firstLineChars="200"/>
        <w:rPr>
          <w:rFonts w:ascii="仿宋" w:eastAsia="仿宋" w:hAnsi="仿宋" w:cs="仿宋" w:hint="eastAsia"/>
          <w:sz w:val="28"/>
          <w:lang w:eastAsia="zh-CN"/>
        </w:rPr>
      </w:pPr>
      <w:bookmarkStart w:id="11" w:name="_Toc1403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在危机发生时，阳离子染料项目团队立即行动，成立了应急小组。该小组的任务是迅速制定并实施紧急应对措施，以最小化潜在损失。以下是采取的主要措施：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暂停阳离子染料项目进度：为遏制危机蔓延，阳离子染料项目暂时停止进行，以便全面评估当前状况。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资源重新分配：重新评估阳离子染料项目资源的分配，确保最大限度地减小损失。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实时沟通：与关键利益相关者建立实时沟通机制，向他们传递阳离子染料项目危机的实际状况，保障阳离子染料项目核心利益。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在紧急应对的同时，阳离子染料项目团队强调了团队协作和有效沟通的重要性。以下是团队协作的关键举措：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信息共享机制：建立了信息共享平台，确保团队成员能够及时获取阳离子染料项目危机的实时信息。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领导者沟通：阳离子染料项目领导者通过定期会议和即时沟通工具，指导团队应对危机，保持团队稳定运行。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随着危机得到初步控制，阳离子染料项目团队转向制定恢复计划，以确保阳离子染料项目能够从中迅速恢复。主要恢复计划包括：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修复受损的进度计划：重新评估阳离子染料项目进度，制定修复计划，确保阳离子染料项目尽快回归正常进程。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重新调整资源分配：优化资源分配，确保阳离子染料项目在有限资源下高效运转。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风险管理机制加强：对阳离子染料项目风险进行全面评估，制定更强化的风险管理策略，以预防未来可能的危机。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0092"/>
      <w:r>
        <w:rPr>
          <w:rFonts w:ascii="仿宋" w:eastAsia="仿宋" w:hAnsi="仿宋" w:cs="仿宋" w:hint="eastAsia"/>
          <w:sz w:val="28"/>
          <w:lang w:eastAsia="zh-CN"/>
        </w:rPr>
        <w:t>四、阳离子染料项目土建工程</w:t>
      </w:r>
      <w:bookmarkEnd w:id="12"/>
    </w:p>
    <w:p>
      <w:pPr>
        <w:pStyle w:val="Heading2"/>
        <w:rPr>
          <w:rFonts w:ascii="仿宋" w:eastAsia="仿宋" w:hAnsi="仿宋" w:cs="仿宋" w:hint="eastAsia"/>
          <w:lang w:eastAsia="zh-CN"/>
        </w:rPr>
      </w:pPr>
      <w:bookmarkStart w:id="13" w:name="_Toc417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在阳离子染料项目的建筑工程设计中，我们将秉承一系列重要的设计原则，以确保阳离子染料项目建筑在功能、美观、可持续性等方面达到最佳效果。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首要原则是确保建筑的功能性得到最大化的发挥。我们将充分理解阳离子染料项目的实际需求，合理布局各个功能区域，保证建筑在满足业务需求的同时，提供高效的工作环境。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在建筑设计中，我们将综合考虑建设和运营成本。通过精细的经济效益分析，确保设计方案在高效利用资源的同时，对阳离子染料项目的长期盈利能力有积极的贡献。</w:t>
      </w:r>
    </w:p>
    <w:p>
      <w:pPr>
        <w:pStyle w:val="Heading2"/>
        <w:ind w:firstLine="560" w:firstLineChars="200"/>
        <w:rPr>
          <w:rFonts w:ascii="仿宋" w:eastAsia="仿宋" w:hAnsi="仿宋" w:cs="仿宋" w:hint="eastAsia"/>
          <w:sz w:val="28"/>
          <w:lang w:eastAsia="zh-CN"/>
        </w:rPr>
      </w:pPr>
      <w:bookmarkStart w:id="14" w:name="_Toc2594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的土建工程设计中，我们将精准设定设计年限，结合阳离子染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阳离子染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445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阳离子染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阳离子染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阳离子染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679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本期工程阳离子染料项目预计总建筑面积XXX平方米，其中：计容建筑面积XXX平方米，计划建筑工程投资XX万元，占阳离子染料项目总投资的XX%。</w:t>
      </w:r>
    </w:p>
    <w:p>
      <w:pPr>
        <w:pStyle w:val="Heading1"/>
        <w:ind w:firstLine="560" w:firstLineChars="200"/>
        <w:rPr>
          <w:rFonts w:ascii="仿宋" w:eastAsia="仿宋" w:hAnsi="仿宋" w:cs="仿宋" w:hint="eastAsia"/>
          <w:sz w:val="28"/>
          <w:lang w:eastAsia="zh-CN"/>
        </w:rPr>
      </w:pPr>
      <w:bookmarkStart w:id="17" w:name="_Toc29288"/>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649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阳离子染料项目的主要产品是XXXX，预计年产值为XXX万元。这一产品在市场中占据着重要的地位，其广泛的应用范围使得该阳离子染料项目的市场前景非常广阔。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阳离子染料项目的xxx产品作为重要的原材料之一，将在多个领域发挥关键作用。其在建筑、交通、能源等方面的广泛应用将为整个产业链提供强大的支持，形成产业协同效应。阳离子染料项目的年产值XXX万XXX万XXX万万元不仅反映了其在市场上的巨大潜力，更预示着它对国民经济的积极贡献。这种关联度高、涉及面广的产业关系，使得该阳离子染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981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总征地面积为XXXX平方米，相当于约XX.XX亩，其中净用地面积为XXXX平方米，红线范围内相当于约XX.XX亩。这一用地规模充分考虑了阳离子染料项目的建设需求，保障了阳离子染料项目在合适的空间内得以充分发展。阳离子染料项目规划的总建筑面积为XXXX平方米，其中主体工程建设占XXXX平方米，计容建筑面积达XXXX平方米。预计建筑工程的投资将达到XXXX万元，为阳离子染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计划购置的设备共计XXXX台（套），设备购置费用为XXXX万元。这一设备购置计划充分考虑到阳离子染料项目的生产需求和技术要求，确保了阳离子染料项目在生产运营中具备先进的技术装备和高效的生产能力。设备的合理配置将为阳离子染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阳离子染料项目计划总投资为XXXX万元，预计年实现营业收入为XXXX万元。这一产能规模的设定旨在确保阳离子染料项目能够在投资与回报之间取得平衡，实现长期可持续的发展。阳离子染料项目的总投资充分考虑到各个方面的需求，包括用地建设、设备购置等多个环节，以确保阳离子染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8988"/>
      <w:r>
        <w:rPr>
          <w:rFonts w:ascii="仿宋" w:eastAsia="仿宋" w:hAnsi="仿宋" w:cs="仿宋" w:hint="eastAsia"/>
          <w:sz w:val="28"/>
          <w:lang w:eastAsia="zh-CN"/>
        </w:rPr>
        <w:t>六、阳离子染料项目建设单位说明</w:t>
      </w:r>
      <w:bookmarkEnd w:id="20"/>
    </w:p>
    <w:p>
      <w:pPr>
        <w:pStyle w:val="Heading2"/>
        <w:rPr>
          <w:rFonts w:ascii="仿宋" w:eastAsia="仿宋" w:hAnsi="仿宋" w:cs="仿宋" w:hint="eastAsia"/>
          <w:lang w:eastAsia="zh-CN"/>
        </w:rPr>
      </w:pPr>
      <w:bookmarkStart w:id="21" w:name="_Toc5456"/>
      <w:r>
        <w:rPr>
          <w:rFonts w:ascii="仿宋" w:eastAsia="仿宋" w:hAnsi="仿宋" w:cs="仿宋" w:hint="eastAsia"/>
          <w:lang w:eastAsia="zh-CN"/>
        </w:rPr>
        <w:t>(一)、阳离子染料项目承办单位基本情况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27273"/>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阳离子染料项目承办单位的XXXX，我们着眼于实现可持续的经济效益。通过技术创新和解决方案的提供，公司预计在阳离子染料项目执行期间将获得可观的收入增长。这一收入来源主要包括阳离子染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https://d.book118.com/097100115063006035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540832"/>
    <w:rsid w:val="695408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0011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2024-01-28T02:45:00Z</dcterms:created>
  <dcterms:modified xsi:type="dcterms:W3CDTF">2024-01-28T02:45:52Z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4E3DCA1F8F69441F8B163A83E6D385B9_11</vt:lpwstr>
  </property>
  <property fmtid="{D5CDD505-2E9C-101B-9397-08002B2CF9AE}" pid="3" name="KSOProductBuildVer">
    <vt:lpwstr>2052-12.1.0.16120</vt:lpwstr>
  </property>
</Properties>
</file>