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化肥农药项目规划设计方案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3591" w:history="1">
        <w:r>
          <w:rPr>
            <w:rFonts w:ascii="仿宋" w:eastAsia="仿宋" w:hAnsi="仿宋" w:cs="仿宋" w:hint="eastAsia"/>
            <w:lang w:eastAsia="zh-CN"/>
          </w:rPr>
          <w:t>序言</w:t>
        </w:r>
        <w:r>
          <w:tab/>
        </w:r>
        <w:r>
          <w:fldChar w:fldCharType="begin"/>
        </w:r>
        <w:r>
          <w:instrText xml:space="preserve"> PAGEREF _Toc13591 \h </w:instrText>
        </w:r>
        <w:r>
          <w:fldChar w:fldCharType="separate"/>
        </w:r>
        <w:r>
          <w:t>3</w:t>
        </w:r>
        <w:r>
          <w:fldChar w:fldCharType="end"/>
        </w:r>
      </w:hyperlink>
    </w:p>
    <w:p>
      <w:pPr>
        <w:pStyle w:val="TOC1"/>
        <w:tabs>
          <w:tab w:val="right" w:leader="dot" w:pos="8306"/>
        </w:tabs>
      </w:pPr>
      <w:hyperlink w:anchor="_Toc17125" w:history="1">
        <w:r>
          <w:rPr>
            <w:rFonts w:ascii="仿宋" w:eastAsia="仿宋" w:hAnsi="仿宋" w:cs="仿宋" w:hint="eastAsia"/>
            <w:lang w:eastAsia="zh-CN"/>
          </w:rPr>
          <w:t>一、化肥农药项目可持续发展</w:t>
        </w:r>
        <w:r>
          <w:tab/>
        </w:r>
        <w:r>
          <w:fldChar w:fldCharType="begin"/>
        </w:r>
        <w:r>
          <w:instrText xml:space="preserve"> PAGEREF _Toc17125 \h </w:instrText>
        </w:r>
        <w:r>
          <w:fldChar w:fldCharType="separate"/>
        </w:r>
        <w:r>
          <w:t>3</w:t>
        </w:r>
        <w:r>
          <w:fldChar w:fldCharType="end"/>
        </w:r>
      </w:hyperlink>
    </w:p>
    <w:p>
      <w:pPr>
        <w:pStyle w:val="TOC2"/>
        <w:tabs>
          <w:tab w:val="right" w:leader="dot" w:pos="8306"/>
        </w:tabs>
      </w:pPr>
      <w:hyperlink w:anchor="_Toc14350" w:history="1">
        <w:r>
          <w:rPr>
            <w:rFonts w:ascii="仿宋" w:eastAsia="仿宋" w:hAnsi="仿宋" w:cs="仿宋" w:hint="eastAsia"/>
            <w:lang w:eastAsia="zh-CN"/>
          </w:rPr>
          <w:t>(一)、可持续战略与实践</w:t>
        </w:r>
        <w:r>
          <w:tab/>
        </w:r>
        <w:r>
          <w:fldChar w:fldCharType="begin"/>
        </w:r>
        <w:r>
          <w:instrText xml:space="preserve"> PAGEREF _Toc14350 \h </w:instrText>
        </w:r>
        <w:r>
          <w:fldChar w:fldCharType="separate"/>
        </w:r>
        <w:r>
          <w:t>3</w:t>
        </w:r>
        <w:r>
          <w:fldChar w:fldCharType="end"/>
        </w:r>
      </w:hyperlink>
    </w:p>
    <w:p>
      <w:pPr>
        <w:pStyle w:val="TOC2"/>
        <w:tabs>
          <w:tab w:val="right" w:leader="dot" w:pos="8306"/>
        </w:tabs>
      </w:pPr>
      <w:hyperlink w:anchor="_Toc1606" w:history="1">
        <w:r>
          <w:rPr>
            <w:rFonts w:ascii="仿宋" w:eastAsia="仿宋" w:hAnsi="仿宋" w:cs="仿宋" w:hint="eastAsia"/>
            <w:lang w:eastAsia="zh-CN"/>
          </w:rPr>
          <w:t>(二)、环保与社会责任</w:t>
        </w:r>
        <w:r>
          <w:tab/>
        </w:r>
        <w:r>
          <w:fldChar w:fldCharType="begin"/>
        </w:r>
        <w:r>
          <w:instrText xml:space="preserve"> PAGEREF _Toc1606 \h </w:instrText>
        </w:r>
        <w:r>
          <w:fldChar w:fldCharType="separate"/>
        </w:r>
        <w:r>
          <w:t>4</w:t>
        </w:r>
        <w:r>
          <w:fldChar w:fldCharType="end"/>
        </w:r>
      </w:hyperlink>
    </w:p>
    <w:p>
      <w:pPr>
        <w:pStyle w:val="TOC1"/>
        <w:tabs>
          <w:tab w:val="right" w:leader="dot" w:pos="8306"/>
        </w:tabs>
      </w:pPr>
      <w:hyperlink w:anchor="_Toc13871" w:history="1">
        <w:r>
          <w:rPr>
            <w:rFonts w:ascii="仿宋" w:eastAsia="仿宋" w:hAnsi="仿宋" w:cs="仿宋" w:hint="eastAsia"/>
            <w:lang w:eastAsia="zh-CN"/>
          </w:rPr>
          <w:t>二、产品规划分析</w:t>
        </w:r>
        <w:r>
          <w:tab/>
        </w:r>
        <w:r>
          <w:fldChar w:fldCharType="begin"/>
        </w:r>
        <w:r>
          <w:instrText xml:space="preserve"> PAGEREF _Toc13871 \h </w:instrText>
        </w:r>
        <w:r>
          <w:fldChar w:fldCharType="separate"/>
        </w:r>
        <w:r>
          <w:t>4</w:t>
        </w:r>
        <w:r>
          <w:fldChar w:fldCharType="end"/>
        </w:r>
      </w:hyperlink>
    </w:p>
    <w:p>
      <w:pPr>
        <w:pStyle w:val="TOC2"/>
        <w:tabs>
          <w:tab w:val="right" w:leader="dot" w:pos="8306"/>
        </w:tabs>
      </w:pPr>
      <w:hyperlink w:anchor="_Toc11188" w:history="1">
        <w:r>
          <w:rPr>
            <w:rFonts w:ascii="仿宋" w:eastAsia="仿宋" w:hAnsi="仿宋" w:cs="仿宋" w:hint="eastAsia"/>
            <w:lang w:eastAsia="zh-CN"/>
          </w:rPr>
          <w:t>(一)、产品规划</w:t>
        </w:r>
        <w:r>
          <w:tab/>
        </w:r>
        <w:r>
          <w:fldChar w:fldCharType="begin"/>
        </w:r>
        <w:r>
          <w:instrText xml:space="preserve"> PAGEREF _Toc11188 \h </w:instrText>
        </w:r>
        <w:r>
          <w:fldChar w:fldCharType="separate"/>
        </w:r>
        <w:r>
          <w:t>4</w:t>
        </w:r>
        <w:r>
          <w:fldChar w:fldCharType="end"/>
        </w:r>
      </w:hyperlink>
    </w:p>
    <w:p>
      <w:pPr>
        <w:pStyle w:val="TOC2"/>
        <w:tabs>
          <w:tab w:val="right" w:leader="dot" w:pos="8306"/>
        </w:tabs>
      </w:pPr>
      <w:hyperlink w:anchor="_Toc31896" w:history="1">
        <w:r>
          <w:rPr>
            <w:rFonts w:ascii="仿宋" w:eastAsia="仿宋" w:hAnsi="仿宋" w:cs="仿宋" w:hint="eastAsia"/>
            <w:lang w:eastAsia="zh-CN"/>
          </w:rPr>
          <w:t>(二)、建设规模</w:t>
        </w:r>
        <w:r>
          <w:tab/>
        </w:r>
        <w:r>
          <w:fldChar w:fldCharType="begin"/>
        </w:r>
        <w:r>
          <w:instrText xml:space="preserve"> PAGEREF _Toc31896 \h </w:instrText>
        </w:r>
        <w:r>
          <w:fldChar w:fldCharType="separate"/>
        </w:r>
        <w:r>
          <w:t>5</w:t>
        </w:r>
        <w:r>
          <w:fldChar w:fldCharType="end"/>
        </w:r>
      </w:hyperlink>
    </w:p>
    <w:p>
      <w:pPr>
        <w:pStyle w:val="TOC1"/>
        <w:tabs>
          <w:tab w:val="right" w:leader="dot" w:pos="8306"/>
        </w:tabs>
      </w:pPr>
      <w:hyperlink w:anchor="_Toc29185" w:history="1">
        <w:r>
          <w:rPr>
            <w:rFonts w:ascii="仿宋" w:eastAsia="仿宋" w:hAnsi="仿宋" w:cs="仿宋" w:hint="eastAsia"/>
            <w:lang w:eastAsia="zh-CN"/>
          </w:rPr>
          <w:t>三、化肥农药项目绩效评估</w:t>
        </w:r>
        <w:r>
          <w:tab/>
        </w:r>
        <w:r>
          <w:fldChar w:fldCharType="begin"/>
        </w:r>
        <w:r>
          <w:instrText xml:space="preserve"> PAGEREF _Toc29185 \h </w:instrText>
        </w:r>
        <w:r>
          <w:fldChar w:fldCharType="separate"/>
        </w:r>
        <w:r>
          <w:t>6</w:t>
        </w:r>
        <w:r>
          <w:fldChar w:fldCharType="end"/>
        </w:r>
      </w:hyperlink>
    </w:p>
    <w:p>
      <w:pPr>
        <w:pStyle w:val="TOC2"/>
        <w:tabs>
          <w:tab w:val="right" w:leader="dot" w:pos="8306"/>
        </w:tabs>
      </w:pPr>
      <w:hyperlink w:anchor="_Toc9276" w:history="1">
        <w:r>
          <w:rPr>
            <w:rFonts w:ascii="仿宋" w:eastAsia="仿宋" w:hAnsi="仿宋" w:cs="仿宋" w:hint="eastAsia"/>
            <w:lang w:eastAsia="zh-CN"/>
          </w:rPr>
          <w:t>(一)、绩效评估指标</w:t>
        </w:r>
        <w:r>
          <w:tab/>
        </w:r>
        <w:r>
          <w:fldChar w:fldCharType="begin"/>
        </w:r>
        <w:r>
          <w:instrText xml:space="preserve"> PAGEREF _Toc9276 \h </w:instrText>
        </w:r>
        <w:r>
          <w:fldChar w:fldCharType="separate"/>
        </w:r>
        <w:r>
          <w:t>6</w:t>
        </w:r>
        <w:r>
          <w:fldChar w:fldCharType="end"/>
        </w:r>
      </w:hyperlink>
    </w:p>
    <w:p>
      <w:pPr>
        <w:pStyle w:val="TOC2"/>
        <w:tabs>
          <w:tab w:val="right" w:leader="dot" w:pos="8306"/>
        </w:tabs>
      </w:pPr>
      <w:hyperlink w:anchor="_Toc13845" w:history="1">
        <w:r>
          <w:rPr>
            <w:rFonts w:ascii="仿宋" w:eastAsia="仿宋" w:hAnsi="仿宋" w:cs="仿宋" w:hint="eastAsia"/>
            <w:lang w:eastAsia="zh-CN"/>
          </w:rPr>
          <w:t>(二)、绩效评估方法</w:t>
        </w:r>
        <w:r>
          <w:tab/>
        </w:r>
        <w:r>
          <w:fldChar w:fldCharType="begin"/>
        </w:r>
        <w:r>
          <w:instrText xml:space="preserve"> PAGEREF _Toc13845 \h </w:instrText>
        </w:r>
        <w:r>
          <w:fldChar w:fldCharType="separate"/>
        </w:r>
        <w:r>
          <w:t>7</w:t>
        </w:r>
        <w:r>
          <w:fldChar w:fldCharType="end"/>
        </w:r>
      </w:hyperlink>
    </w:p>
    <w:p>
      <w:pPr>
        <w:pStyle w:val="TOC2"/>
        <w:tabs>
          <w:tab w:val="right" w:leader="dot" w:pos="8306"/>
        </w:tabs>
      </w:pPr>
      <w:hyperlink w:anchor="_Toc10012" w:history="1">
        <w:r>
          <w:rPr>
            <w:rFonts w:ascii="仿宋" w:eastAsia="仿宋" w:hAnsi="仿宋" w:cs="仿宋" w:hint="eastAsia"/>
            <w:lang w:eastAsia="zh-CN"/>
          </w:rPr>
          <w:t>(三)、绩效评估周期</w:t>
        </w:r>
        <w:r>
          <w:tab/>
        </w:r>
        <w:r>
          <w:fldChar w:fldCharType="begin"/>
        </w:r>
        <w:r>
          <w:instrText xml:space="preserve"> PAGEREF _Toc10012 \h </w:instrText>
        </w:r>
        <w:r>
          <w:fldChar w:fldCharType="separate"/>
        </w:r>
        <w:r>
          <w:t>8</w:t>
        </w:r>
        <w:r>
          <w:fldChar w:fldCharType="end"/>
        </w:r>
      </w:hyperlink>
    </w:p>
    <w:p>
      <w:pPr>
        <w:pStyle w:val="TOC1"/>
        <w:tabs>
          <w:tab w:val="right" w:leader="dot" w:pos="8306"/>
        </w:tabs>
      </w:pPr>
      <w:hyperlink w:anchor="_Toc16325" w:history="1">
        <w:r>
          <w:rPr>
            <w:rFonts w:ascii="仿宋" w:eastAsia="仿宋" w:hAnsi="仿宋" w:cs="仿宋" w:hint="eastAsia"/>
            <w:lang w:eastAsia="zh-CN"/>
          </w:rPr>
          <w:t>四、市场分析、调研</w:t>
        </w:r>
        <w:r>
          <w:tab/>
        </w:r>
        <w:r>
          <w:fldChar w:fldCharType="begin"/>
        </w:r>
        <w:r>
          <w:instrText xml:space="preserve"> PAGEREF _Toc16325 \h </w:instrText>
        </w:r>
        <w:r>
          <w:fldChar w:fldCharType="separate"/>
        </w:r>
        <w:r>
          <w:t>9</w:t>
        </w:r>
        <w:r>
          <w:fldChar w:fldCharType="end"/>
        </w:r>
      </w:hyperlink>
    </w:p>
    <w:p>
      <w:pPr>
        <w:pStyle w:val="TOC2"/>
        <w:tabs>
          <w:tab w:val="right" w:leader="dot" w:pos="8306"/>
        </w:tabs>
      </w:pPr>
      <w:hyperlink w:anchor="_Toc21572" w:history="1">
        <w:r>
          <w:rPr>
            <w:rFonts w:ascii="仿宋" w:eastAsia="仿宋" w:hAnsi="仿宋" w:cs="仿宋" w:hint="eastAsia"/>
            <w:lang w:eastAsia="zh-CN"/>
          </w:rPr>
          <w:t>(一)、化肥农药行业分析</w:t>
        </w:r>
        <w:r>
          <w:tab/>
        </w:r>
        <w:r>
          <w:fldChar w:fldCharType="begin"/>
        </w:r>
        <w:r>
          <w:instrText xml:space="preserve"> PAGEREF _Toc21572 \h </w:instrText>
        </w:r>
        <w:r>
          <w:fldChar w:fldCharType="separate"/>
        </w:r>
        <w:r>
          <w:t>9</w:t>
        </w:r>
        <w:r>
          <w:fldChar w:fldCharType="end"/>
        </w:r>
      </w:hyperlink>
    </w:p>
    <w:p>
      <w:pPr>
        <w:pStyle w:val="TOC2"/>
        <w:tabs>
          <w:tab w:val="right" w:leader="dot" w:pos="8306"/>
        </w:tabs>
      </w:pPr>
      <w:hyperlink w:anchor="_Toc22089" w:history="1">
        <w:r>
          <w:rPr>
            <w:rFonts w:ascii="仿宋" w:eastAsia="仿宋" w:hAnsi="仿宋" w:cs="仿宋" w:hint="eastAsia"/>
            <w:lang w:eastAsia="zh-CN"/>
          </w:rPr>
          <w:t>(二)、化肥农药市场分析预测</w:t>
        </w:r>
        <w:r>
          <w:tab/>
        </w:r>
        <w:r>
          <w:fldChar w:fldCharType="begin"/>
        </w:r>
        <w:r>
          <w:instrText xml:space="preserve"> PAGEREF _Toc22089 \h </w:instrText>
        </w:r>
        <w:r>
          <w:fldChar w:fldCharType="separate"/>
        </w:r>
        <w:r>
          <w:t>10</w:t>
        </w:r>
        <w:r>
          <w:fldChar w:fldCharType="end"/>
        </w:r>
      </w:hyperlink>
    </w:p>
    <w:p>
      <w:pPr>
        <w:pStyle w:val="TOC1"/>
        <w:tabs>
          <w:tab w:val="right" w:leader="dot" w:pos="8306"/>
        </w:tabs>
      </w:pPr>
      <w:hyperlink w:anchor="_Toc16611" w:history="1">
        <w:r>
          <w:rPr>
            <w:rFonts w:ascii="仿宋" w:eastAsia="仿宋" w:hAnsi="仿宋" w:cs="仿宋" w:hint="eastAsia"/>
            <w:lang w:eastAsia="zh-CN"/>
          </w:rPr>
          <w:t>五、化肥农药项目土建工程</w:t>
        </w:r>
        <w:r>
          <w:tab/>
        </w:r>
        <w:r>
          <w:fldChar w:fldCharType="begin"/>
        </w:r>
        <w:r>
          <w:instrText xml:space="preserve"> PAGEREF _Toc16611 \h </w:instrText>
        </w:r>
        <w:r>
          <w:fldChar w:fldCharType="separate"/>
        </w:r>
        <w:r>
          <w:t>11</w:t>
        </w:r>
        <w:r>
          <w:fldChar w:fldCharType="end"/>
        </w:r>
      </w:hyperlink>
    </w:p>
    <w:p>
      <w:pPr>
        <w:pStyle w:val="TOC2"/>
        <w:tabs>
          <w:tab w:val="right" w:leader="dot" w:pos="8306"/>
        </w:tabs>
      </w:pPr>
      <w:hyperlink w:anchor="_Toc24966" w:history="1">
        <w:r>
          <w:rPr>
            <w:rFonts w:ascii="仿宋" w:eastAsia="仿宋" w:hAnsi="仿宋" w:cs="仿宋" w:hint="eastAsia"/>
            <w:lang w:eastAsia="zh-CN"/>
          </w:rPr>
          <w:t>(一)、建筑工程设计原则</w:t>
        </w:r>
        <w:r>
          <w:tab/>
        </w:r>
        <w:r>
          <w:fldChar w:fldCharType="begin"/>
        </w:r>
        <w:r>
          <w:instrText xml:space="preserve"> PAGEREF _Toc24966 \h </w:instrText>
        </w:r>
        <w:r>
          <w:fldChar w:fldCharType="separate"/>
        </w:r>
        <w:r>
          <w:t>11</w:t>
        </w:r>
        <w:r>
          <w:fldChar w:fldCharType="end"/>
        </w:r>
      </w:hyperlink>
    </w:p>
    <w:p>
      <w:pPr>
        <w:pStyle w:val="TOC2"/>
        <w:tabs>
          <w:tab w:val="right" w:leader="dot" w:pos="8306"/>
        </w:tabs>
      </w:pPr>
      <w:hyperlink w:anchor="_Toc1784" w:history="1">
        <w:r>
          <w:rPr>
            <w:rFonts w:ascii="仿宋" w:eastAsia="仿宋" w:hAnsi="仿宋" w:cs="仿宋" w:hint="eastAsia"/>
            <w:lang w:eastAsia="zh-CN"/>
          </w:rPr>
          <w:t>(二)、土建工程设计年限及安全等级</w:t>
        </w:r>
        <w:r>
          <w:tab/>
        </w:r>
        <w:r>
          <w:fldChar w:fldCharType="begin"/>
        </w:r>
        <w:r>
          <w:instrText xml:space="preserve"> PAGEREF _Toc1784 \h </w:instrText>
        </w:r>
        <w:r>
          <w:fldChar w:fldCharType="separate"/>
        </w:r>
        <w:r>
          <w:t>12</w:t>
        </w:r>
        <w:r>
          <w:fldChar w:fldCharType="end"/>
        </w:r>
      </w:hyperlink>
    </w:p>
    <w:p>
      <w:pPr>
        <w:pStyle w:val="TOC2"/>
        <w:tabs>
          <w:tab w:val="right" w:leader="dot" w:pos="8306"/>
        </w:tabs>
      </w:pPr>
      <w:hyperlink w:anchor="_Toc18055" w:history="1">
        <w:r>
          <w:rPr>
            <w:rFonts w:ascii="仿宋" w:eastAsia="仿宋" w:hAnsi="仿宋" w:cs="仿宋" w:hint="eastAsia"/>
            <w:lang w:eastAsia="zh-CN"/>
          </w:rPr>
          <w:t>(三)、建筑工程设计总体要求</w:t>
        </w:r>
        <w:r>
          <w:tab/>
        </w:r>
        <w:r>
          <w:fldChar w:fldCharType="begin"/>
        </w:r>
        <w:r>
          <w:instrText xml:space="preserve"> PAGEREF _Toc18055 \h </w:instrText>
        </w:r>
        <w:r>
          <w:fldChar w:fldCharType="separate"/>
        </w:r>
        <w:r>
          <w:t>13</w:t>
        </w:r>
        <w:r>
          <w:fldChar w:fldCharType="end"/>
        </w:r>
      </w:hyperlink>
    </w:p>
    <w:p>
      <w:pPr>
        <w:pStyle w:val="TOC2"/>
        <w:tabs>
          <w:tab w:val="right" w:leader="dot" w:pos="8306"/>
        </w:tabs>
      </w:pPr>
      <w:hyperlink w:anchor="_Toc26200" w:history="1">
        <w:r>
          <w:rPr>
            <w:rFonts w:ascii="仿宋" w:eastAsia="仿宋" w:hAnsi="仿宋" w:cs="仿宋" w:hint="eastAsia"/>
            <w:lang w:eastAsia="zh-CN"/>
          </w:rPr>
          <w:t>(四)、土建工程建设指标</w:t>
        </w:r>
        <w:r>
          <w:tab/>
        </w:r>
        <w:r>
          <w:fldChar w:fldCharType="begin"/>
        </w:r>
        <w:r>
          <w:instrText xml:space="preserve"> PAGEREF _Toc26200 \h </w:instrText>
        </w:r>
        <w:r>
          <w:fldChar w:fldCharType="separate"/>
        </w:r>
        <w:r>
          <w:t>14</w:t>
        </w:r>
        <w:r>
          <w:fldChar w:fldCharType="end"/>
        </w:r>
      </w:hyperlink>
    </w:p>
    <w:p>
      <w:pPr>
        <w:pStyle w:val="TOC1"/>
        <w:tabs>
          <w:tab w:val="right" w:leader="dot" w:pos="8306"/>
        </w:tabs>
      </w:pPr>
      <w:hyperlink w:anchor="_Toc24792" w:history="1">
        <w:r>
          <w:rPr>
            <w:rFonts w:ascii="仿宋" w:eastAsia="仿宋" w:hAnsi="仿宋" w:cs="仿宋" w:hint="eastAsia"/>
            <w:lang w:eastAsia="zh-CN"/>
          </w:rPr>
          <w:t>六、化肥农药项目文档管理</w:t>
        </w:r>
        <w:r>
          <w:tab/>
        </w:r>
        <w:r>
          <w:fldChar w:fldCharType="begin"/>
        </w:r>
        <w:r>
          <w:instrText xml:space="preserve"> PAGEREF _Toc24792 \h </w:instrText>
        </w:r>
        <w:r>
          <w:fldChar w:fldCharType="separate"/>
        </w:r>
        <w:r>
          <w:t>14</w:t>
        </w:r>
        <w:r>
          <w:fldChar w:fldCharType="end"/>
        </w:r>
      </w:hyperlink>
    </w:p>
    <w:p>
      <w:pPr>
        <w:pStyle w:val="TOC2"/>
        <w:tabs>
          <w:tab w:val="right" w:leader="dot" w:pos="8306"/>
        </w:tabs>
      </w:pPr>
      <w:hyperlink w:anchor="_Toc17198" w:history="1">
        <w:r>
          <w:rPr>
            <w:rFonts w:ascii="仿宋" w:eastAsia="仿宋" w:hAnsi="仿宋" w:cs="仿宋" w:hint="eastAsia"/>
            <w:lang w:eastAsia="zh-CN"/>
          </w:rPr>
          <w:t>(一)、文档编制与审查</w:t>
        </w:r>
        <w:r>
          <w:tab/>
        </w:r>
        <w:r>
          <w:fldChar w:fldCharType="begin"/>
        </w:r>
        <w:r>
          <w:instrText xml:space="preserve"> PAGEREF _Toc17198 \h </w:instrText>
        </w:r>
        <w:r>
          <w:fldChar w:fldCharType="separate"/>
        </w:r>
        <w:r>
          <w:t>14</w:t>
        </w:r>
        <w:r>
          <w:fldChar w:fldCharType="end"/>
        </w:r>
      </w:hyperlink>
    </w:p>
    <w:p>
      <w:pPr>
        <w:pStyle w:val="TOC2"/>
        <w:tabs>
          <w:tab w:val="right" w:leader="dot" w:pos="8306"/>
        </w:tabs>
      </w:pPr>
      <w:hyperlink w:anchor="_Toc18336" w:history="1">
        <w:r>
          <w:rPr>
            <w:rFonts w:ascii="仿宋" w:eastAsia="仿宋" w:hAnsi="仿宋" w:cs="仿宋" w:hint="eastAsia"/>
            <w:lang w:eastAsia="zh-CN"/>
          </w:rPr>
          <w:t>(二)、文档发布与分发</w:t>
        </w:r>
        <w:r>
          <w:tab/>
        </w:r>
        <w:r>
          <w:fldChar w:fldCharType="begin"/>
        </w:r>
        <w:r>
          <w:instrText xml:space="preserve"> PAGEREF _Toc18336 \h </w:instrText>
        </w:r>
        <w:r>
          <w:fldChar w:fldCharType="separate"/>
        </w:r>
        <w:r>
          <w:t>16</w:t>
        </w:r>
        <w:r>
          <w:fldChar w:fldCharType="end"/>
        </w:r>
      </w:hyperlink>
    </w:p>
    <w:p>
      <w:pPr>
        <w:pStyle w:val="TOC2"/>
        <w:tabs>
          <w:tab w:val="right" w:leader="dot" w:pos="8306"/>
        </w:tabs>
      </w:pPr>
      <w:hyperlink w:anchor="_Toc5401" w:history="1">
        <w:r>
          <w:rPr>
            <w:rFonts w:ascii="仿宋" w:eastAsia="仿宋" w:hAnsi="仿宋" w:cs="仿宋" w:hint="eastAsia"/>
            <w:lang w:eastAsia="zh-CN"/>
          </w:rPr>
          <w:t>(三)、文档存档与归档</w:t>
        </w:r>
        <w:r>
          <w:tab/>
        </w:r>
        <w:r>
          <w:fldChar w:fldCharType="begin"/>
        </w:r>
        <w:r>
          <w:instrText xml:space="preserve"> PAGEREF _Toc5401 \h </w:instrText>
        </w:r>
        <w:r>
          <w:fldChar w:fldCharType="separate"/>
        </w:r>
        <w:r>
          <w:t>16</w:t>
        </w:r>
        <w:r>
          <w:fldChar w:fldCharType="end"/>
        </w:r>
      </w:hyperlink>
    </w:p>
    <w:p>
      <w:pPr>
        <w:pStyle w:val="TOC1"/>
        <w:tabs>
          <w:tab w:val="right" w:leader="dot" w:pos="8306"/>
        </w:tabs>
      </w:pPr>
      <w:hyperlink w:anchor="_Toc17585" w:history="1">
        <w:r>
          <w:rPr>
            <w:rFonts w:ascii="仿宋" w:eastAsia="仿宋" w:hAnsi="仿宋" w:cs="仿宋" w:hint="eastAsia"/>
            <w:lang w:eastAsia="zh-CN"/>
          </w:rPr>
          <w:t>七、化肥农药项目计划安排</w:t>
        </w:r>
        <w:r>
          <w:tab/>
        </w:r>
        <w:r>
          <w:fldChar w:fldCharType="begin"/>
        </w:r>
        <w:r>
          <w:instrText xml:space="preserve"> PAGEREF _Toc17585 \h </w:instrText>
        </w:r>
        <w:r>
          <w:fldChar w:fldCharType="separate"/>
        </w:r>
        <w:r>
          <w:t>18</w:t>
        </w:r>
        <w:r>
          <w:fldChar w:fldCharType="end"/>
        </w:r>
      </w:hyperlink>
    </w:p>
    <w:p>
      <w:pPr>
        <w:pStyle w:val="TOC2"/>
        <w:tabs>
          <w:tab w:val="right" w:leader="dot" w:pos="8306"/>
        </w:tabs>
      </w:pPr>
      <w:hyperlink w:anchor="_Toc13457" w:history="1">
        <w:r>
          <w:rPr>
            <w:rFonts w:ascii="仿宋" w:eastAsia="仿宋" w:hAnsi="仿宋" w:cs="仿宋" w:hint="eastAsia"/>
            <w:lang w:eastAsia="zh-CN"/>
          </w:rPr>
          <w:t>(一)、建设周期</w:t>
        </w:r>
        <w:r>
          <w:tab/>
        </w:r>
        <w:r>
          <w:fldChar w:fldCharType="begin"/>
        </w:r>
        <w:r>
          <w:instrText xml:space="preserve"> PAGEREF _Toc13457 \h </w:instrText>
        </w:r>
        <w:r>
          <w:fldChar w:fldCharType="separate"/>
        </w:r>
        <w:r>
          <w:t>18</w:t>
        </w:r>
        <w:r>
          <w:fldChar w:fldCharType="end"/>
        </w:r>
      </w:hyperlink>
    </w:p>
    <w:p>
      <w:pPr>
        <w:pStyle w:val="TOC2"/>
        <w:tabs>
          <w:tab w:val="right" w:leader="dot" w:pos="8306"/>
        </w:tabs>
      </w:pPr>
      <w:hyperlink w:anchor="_Toc21731" w:history="1">
        <w:r>
          <w:rPr>
            <w:rFonts w:ascii="仿宋" w:eastAsia="仿宋" w:hAnsi="仿宋" w:cs="仿宋" w:hint="eastAsia"/>
            <w:lang w:eastAsia="zh-CN"/>
          </w:rPr>
          <w:t>(二)、建设进度</w:t>
        </w:r>
        <w:r>
          <w:tab/>
        </w:r>
        <w:r>
          <w:fldChar w:fldCharType="begin"/>
        </w:r>
        <w:r>
          <w:instrText xml:space="preserve"> PAGEREF _Toc21731 \h </w:instrText>
        </w:r>
        <w:r>
          <w:fldChar w:fldCharType="separate"/>
        </w:r>
        <w:r>
          <w:t>18</w:t>
        </w:r>
        <w:r>
          <w:fldChar w:fldCharType="end"/>
        </w:r>
      </w:hyperlink>
    </w:p>
    <w:p>
      <w:pPr>
        <w:pStyle w:val="TOC2"/>
        <w:tabs>
          <w:tab w:val="right" w:leader="dot" w:pos="8306"/>
        </w:tabs>
      </w:pPr>
      <w:hyperlink w:anchor="_Toc8266" w:history="1">
        <w:r>
          <w:rPr>
            <w:rFonts w:ascii="仿宋" w:eastAsia="仿宋" w:hAnsi="仿宋" w:cs="仿宋" w:hint="eastAsia"/>
            <w:lang w:eastAsia="zh-CN"/>
          </w:rPr>
          <w:t>(三)、进度安排注意事项</w:t>
        </w:r>
        <w:r>
          <w:tab/>
        </w:r>
        <w:r>
          <w:fldChar w:fldCharType="begin"/>
        </w:r>
        <w:r>
          <w:instrText xml:space="preserve"> PAGEREF _Toc8266 \h </w:instrText>
        </w:r>
        <w:r>
          <w:fldChar w:fldCharType="separate"/>
        </w:r>
        <w:r>
          <w:t>19</w:t>
        </w:r>
        <w:r>
          <w:fldChar w:fldCharType="end"/>
        </w:r>
      </w:hyperlink>
    </w:p>
    <w:p>
      <w:pPr>
        <w:pStyle w:val="TOC2"/>
        <w:tabs>
          <w:tab w:val="right" w:leader="dot" w:pos="8306"/>
        </w:tabs>
      </w:pPr>
      <w:hyperlink w:anchor="_Toc1137" w:history="1">
        <w:r>
          <w:rPr>
            <w:rFonts w:ascii="仿宋" w:eastAsia="仿宋" w:hAnsi="仿宋" w:cs="仿宋" w:hint="eastAsia"/>
            <w:lang w:eastAsia="zh-CN"/>
          </w:rPr>
          <w:t>(四)、人力资源配置</w:t>
        </w:r>
        <w:r>
          <w:tab/>
        </w:r>
        <w:r>
          <w:fldChar w:fldCharType="begin"/>
        </w:r>
        <w:r>
          <w:instrText xml:space="preserve"> PAGEREF _Toc1137 \h </w:instrText>
        </w:r>
        <w:r>
          <w:fldChar w:fldCharType="separate"/>
        </w:r>
        <w:r>
          <w:t>21</w:t>
        </w:r>
        <w:r>
          <w:fldChar w:fldCharType="end"/>
        </w:r>
      </w:hyperlink>
    </w:p>
    <w:p>
      <w:pPr>
        <w:pStyle w:val="TOC1"/>
        <w:tabs>
          <w:tab w:val="right" w:leader="dot" w:pos="8306"/>
        </w:tabs>
      </w:pPr>
      <w:hyperlink w:anchor="_Toc25239" w:history="1">
        <w:r>
          <w:rPr>
            <w:rFonts w:ascii="仿宋" w:eastAsia="仿宋" w:hAnsi="仿宋" w:cs="仿宋" w:hint="eastAsia"/>
            <w:lang w:eastAsia="zh-CN"/>
          </w:rPr>
          <w:t>八、生产安全保护</w:t>
        </w:r>
        <w:r>
          <w:tab/>
        </w:r>
        <w:r>
          <w:fldChar w:fldCharType="begin"/>
        </w:r>
        <w:r>
          <w:instrText xml:space="preserve"> PAGEREF _Toc25239 \h </w:instrText>
        </w:r>
        <w:r>
          <w:fldChar w:fldCharType="separate"/>
        </w:r>
        <w:r>
          <w:t>22</w:t>
        </w:r>
        <w:r>
          <w:fldChar w:fldCharType="end"/>
        </w:r>
      </w:hyperlink>
    </w:p>
    <w:p>
      <w:pPr>
        <w:pStyle w:val="TOC2"/>
        <w:tabs>
          <w:tab w:val="right" w:leader="dot" w:pos="8306"/>
        </w:tabs>
      </w:pPr>
      <w:hyperlink w:anchor="_Toc20286" w:history="1">
        <w:r>
          <w:rPr>
            <w:rFonts w:ascii="仿宋" w:eastAsia="仿宋" w:hAnsi="仿宋" w:cs="仿宋" w:hint="eastAsia"/>
            <w:lang w:eastAsia="zh-CN"/>
          </w:rPr>
          <w:t>(一)、消防安全</w:t>
        </w:r>
        <w:r>
          <w:tab/>
        </w:r>
        <w:r>
          <w:fldChar w:fldCharType="begin"/>
        </w:r>
        <w:r>
          <w:instrText xml:space="preserve"> PAGEREF _Toc20286 \h </w:instrText>
        </w:r>
        <w:r>
          <w:fldChar w:fldCharType="separate"/>
        </w:r>
        <w:r>
          <w:t>22</w:t>
        </w:r>
        <w:r>
          <w:fldChar w:fldCharType="end"/>
        </w:r>
      </w:hyperlink>
    </w:p>
    <w:p>
      <w:pPr>
        <w:pStyle w:val="TOC2"/>
        <w:tabs>
          <w:tab w:val="right" w:leader="dot" w:pos="8306"/>
        </w:tabs>
      </w:pPr>
      <w:hyperlink w:anchor="_Toc16174" w:history="1">
        <w:r>
          <w:rPr>
            <w:rFonts w:ascii="仿宋" w:eastAsia="仿宋" w:hAnsi="仿宋" w:cs="仿宋" w:hint="eastAsia"/>
            <w:lang w:eastAsia="zh-CN"/>
          </w:rPr>
          <w:t>(二)、防火防爆总图布置措施</w:t>
        </w:r>
        <w:r>
          <w:tab/>
        </w:r>
        <w:r>
          <w:fldChar w:fldCharType="begin"/>
        </w:r>
        <w:r>
          <w:instrText xml:space="preserve"> PAGEREF _Toc16174 \h </w:instrText>
        </w:r>
        <w:r>
          <w:fldChar w:fldCharType="separate"/>
        </w:r>
        <w:r>
          <w:t>23</w:t>
        </w:r>
        <w:r>
          <w:fldChar w:fldCharType="end"/>
        </w:r>
      </w:hyperlink>
    </w:p>
    <w:p>
      <w:pPr>
        <w:pStyle w:val="TOC2"/>
        <w:tabs>
          <w:tab w:val="right" w:leader="dot" w:pos="8306"/>
        </w:tabs>
      </w:pPr>
      <w:hyperlink w:anchor="_Toc11297" w:history="1">
        <w:r>
          <w:rPr>
            <w:rFonts w:ascii="仿宋" w:eastAsia="仿宋" w:hAnsi="仿宋" w:cs="仿宋" w:hint="eastAsia"/>
            <w:lang w:eastAsia="zh-CN"/>
          </w:rPr>
          <w:t>(三)、自然灾害防范措施</w:t>
        </w:r>
        <w:r>
          <w:tab/>
        </w:r>
        <w:r>
          <w:fldChar w:fldCharType="begin"/>
        </w:r>
        <w:r>
          <w:instrText xml:space="preserve"> PAGEREF _Toc11297 \h </w:instrText>
        </w:r>
        <w:r>
          <w:fldChar w:fldCharType="separate"/>
        </w:r>
        <w:r>
          <w:t>24</w:t>
        </w:r>
        <w:r>
          <w:fldChar w:fldCharType="end"/>
        </w:r>
      </w:hyperlink>
    </w:p>
    <w:p>
      <w:pPr>
        <w:pStyle w:val="TOC2"/>
        <w:tabs>
          <w:tab w:val="right" w:leader="dot" w:pos="8306"/>
        </w:tabs>
      </w:pPr>
      <w:hyperlink w:anchor="_Toc21428" w:history="1">
        <w:r>
          <w:rPr>
            <w:rFonts w:ascii="仿宋" w:eastAsia="仿宋" w:hAnsi="仿宋" w:cs="仿宋" w:hint="eastAsia"/>
            <w:lang w:eastAsia="zh-CN"/>
          </w:rPr>
          <w:t>(四)、安全色及安全标志使用要求</w:t>
        </w:r>
        <w:r>
          <w:tab/>
        </w:r>
        <w:r>
          <w:fldChar w:fldCharType="begin"/>
        </w:r>
        <w:r>
          <w:instrText xml:space="preserve"> PAGEREF _Toc21428 \h </w:instrText>
        </w:r>
        <w:r>
          <w:fldChar w:fldCharType="separate"/>
        </w:r>
        <w:r>
          <w:t>25</w:t>
        </w:r>
        <w:r>
          <w:fldChar w:fldCharType="end"/>
        </w:r>
      </w:hyperlink>
    </w:p>
    <w:p>
      <w:pPr>
        <w:pStyle w:val="TOC2"/>
        <w:tabs>
          <w:tab w:val="right" w:leader="dot" w:pos="8306"/>
        </w:tabs>
      </w:pPr>
      <w:hyperlink w:anchor="_Toc25511" w:history="1">
        <w:r>
          <w:rPr>
            <w:rFonts w:ascii="仿宋" w:eastAsia="仿宋" w:hAnsi="仿宋" w:cs="仿宋" w:hint="eastAsia"/>
            <w:lang w:eastAsia="zh-CN"/>
          </w:rPr>
          <w:t>(五)、防尘防毒措施</w:t>
        </w:r>
        <w:r>
          <w:tab/>
        </w:r>
        <w:r>
          <w:fldChar w:fldCharType="begin"/>
        </w:r>
        <w:r>
          <w:instrText xml:space="preserve"> PAGEREF _Toc25511 \h </w:instrText>
        </w:r>
        <w:r>
          <w:fldChar w:fldCharType="separate"/>
        </w:r>
        <w:r>
          <w:t>26</w:t>
        </w:r>
        <w:r>
          <w:fldChar w:fldCharType="end"/>
        </w:r>
      </w:hyperlink>
    </w:p>
    <w:p>
      <w:pPr>
        <w:pStyle w:val="TOC2"/>
        <w:tabs>
          <w:tab w:val="right" w:leader="dot" w:pos="8306"/>
        </w:tabs>
      </w:pPr>
      <w:hyperlink w:anchor="_Toc27128" w:history="1">
        <w:r>
          <w:rPr>
            <w:rFonts w:ascii="仿宋" w:eastAsia="仿宋" w:hAnsi="仿宋" w:cs="仿宋" w:hint="eastAsia"/>
            <w:lang w:eastAsia="zh-CN"/>
          </w:rPr>
          <w:t>(六)、防静电、触电防护及防雷措施</w:t>
        </w:r>
        <w:r>
          <w:tab/>
        </w:r>
        <w:r>
          <w:fldChar w:fldCharType="begin"/>
        </w:r>
        <w:r>
          <w:instrText xml:space="preserve"> PAGEREF _Toc27128 \h </w:instrText>
        </w:r>
        <w:r>
          <w:fldChar w:fldCharType="separate"/>
        </w:r>
        <w:r>
          <w:t>27</w:t>
        </w:r>
        <w:r>
          <w:fldChar w:fldCharType="end"/>
        </w:r>
      </w:hyperlink>
    </w:p>
    <w:p>
      <w:pPr>
        <w:pStyle w:val="TOC2"/>
        <w:tabs>
          <w:tab w:val="right" w:leader="dot" w:pos="8306"/>
        </w:tabs>
      </w:pPr>
      <w:hyperlink w:anchor="_Toc5624" w:history="1">
        <w:r>
          <w:rPr>
            <w:rFonts w:ascii="仿宋" w:eastAsia="仿宋" w:hAnsi="仿宋" w:cs="仿宋" w:hint="eastAsia"/>
            <w:lang w:eastAsia="zh-CN"/>
          </w:rPr>
          <w:t>(七)、机械设备安全保障措施</w:t>
        </w:r>
        <w:r>
          <w:tab/>
        </w:r>
        <w:r>
          <w:fldChar w:fldCharType="begin"/>
        </w:r>
        <w:r>
          <w:instrText xml:space="preserve"> PAGEREF _Toc5624 \h </w:instrText>
        </w:r>
        <w:r>
          <w:fldChar w:fldCharType="separate"/>
        </w:r>
        <w:r>
          <w:t>28</w:t>
        </w:r>
        <w:r>
          <w:fldChar w:fldCharType="end"/>
        </w:r>
      </w:hyperlink>
    </w:p>
    <w:p>
      <w:pPr>
        <w:pStyle w:val="TOC1"/>
        <w:tabs>
          <w:tab w:val="right" w:leader="dot" w:pos="8306"/>
        </w:tabs>
      </w:pPr>
      <w:hyperlink w:anchor="_Toc28878" w:history="1">
        <w:r>
          <w:rPr>
            <w:rFonts w:ascii="仿宋" w:eastAsia="仿宋" w:hAnsi="仿宋" w:cs="仿宋" w:hint="eastAsia"/>
            <w:lang w:eastAsia="zh-CN"/>
          </w:rPr>
          <w:t>九、化肥农药项目人力资源管理</w:t>
        </w:r>
        <w:r>
          <w:tab/>
        </w:r>
        <w:r>
          <w:fldChar w:fldCharType="begin"/>
        </w:r>
        <w:r>
          <w:instrText xml:space="preserve"> PAGEREF _Toc28878 \h </w:instrText>
        </w:r>
        <w:r>
          <w:fldChar w:fldCharType="separate"/>
        </w:r>
        <w:r>
          <w:t>30</w:t>
        </w:r>
        <w:r>
          <w:fldChar w:fldCharType="end"/>
        </w:r>
      </w:hyperlink>
    </w:p>
    <w:p>
      <w:pPr>
        <w:pStyle w:val="TOC2"/>
        <w:tabs>
          <w:tab w:val="right" w:leader="dot" w:pos="8306"/>
        </w:tabs>
      </w:pPr>
      <w:hyperlink w:anchor="_Toc12474" w:history="1">
        <w:r>
          <w:rPr>
            <w:rFonts w:ascii="仿宋" w:eastAsia="仿宋" w:hAnsi="仿宋" w:cs="仿宋" w:hint="eastAsia"/>
            <w:lang w:eastAsia="zh-CN"/>
          </w:rPr>
          <w:t>(一)、建立健全的预算管理制度</w:t>
        </w:r>
        <w:r>
          <w:tab/>
        </w:r>
        <w:r>
          <w:fldChar w:fldCharType="begin"/>
        </w:r>
        <w:r>
          <w:instrText xml:space="preserve"> PAGEREF _Toc12474 \h </w:instrText>
        </w:r>
        <w:r>
          <w:fldChar w:fldCharType="separate"/>
        </w:r>
        <w:r>
          <w:t>30</w:t>
        </w:r>
        <w:r>
          <w:fldChar w:fldCharType="end"/>
        </w:r>
      </w:hyperlink>
    </w:p>
    <w:p>
      <w:pPr>
        <w:pStyle w:val="TOC2"/>
        <w:tabs>
          <w:tab w:val="right" w:leader="dot" w:pos="8306"/>
        </w:tabs>
      </w:pPr>
      <w:hyperlink w:anchor="_Toc30942" w:history="1">
        <w:r>
          <w:rPr>
            <w:rFonts w:ascii="仿宋" w:eastAsia="仿宋" w:hAnsi="仿宋" w:cs="仿宋" w:hint="eastAsia"/>
            <w:lang w:eastAsia="zh-CN"/>
          </w:rPr>
          <w:t>(二)、加强资金流动监控</w:t>
        </w:r>
        <w:r>
          <w:tab/>
        </w:r>
        <w:r>
          <w:fldChar w:fldCharType="begin"/>
        </w:r>
        <w:r>
          <w:instrText xml:space="preserve"> PAGEREF _Toc30942 \h </w:instrText>
        </w:r>
        <w:r>
          <w:fldChar w:fldCharType="separate"/>
        </w:r>
        <w:r>
          <w:t>31</w:t>
        </w:r>
        <w:r>
          <w:fldChar w:fldCharType="end"/>
        </w:r>
      </w:hyperlink>
    </w:p>
    <w:p>
      <w:pPr>
        <w:pStyle w:val="TOC2"/>
        <w:tabs>
          <w:tab w:val="right" w:leader="dot" w:pos="8306"/>
        </w:tabs>
      </w:pPr>
      <w:hyperlink w:anchor="_Toc23844" w:history="1">
        <w:r>
          <w:rPr>
            <w:rFonts w:ascii="仿宋" w:eastAsia="仿宋" w:hAnsi="仿宋" w:cs="仿宋" w:hint="eastAsia"/>
            <w:lang w:eastAsia="zh-CN"/>
          </w:rPr>
          <w:t>(三)、制定完善的风险控制机制</w:t>
        </w:r>
        <w:r>
          <w:tab/>
        </w:r>
        <w:r>
          <w:fldChar w:fldCharType="begin"/>
        </w:r>
        <w:r>
          <w:instrText xml:space="preserve"> PAGEREF _Toc23844 \h </w:instrText>
        </w:r>
        <w:r>
          <w:fldChar w:fldCharType="separate"/>
        </w:r>
        <w:r>
          <w:t>32</w:t>
        </w:r>
        <w:r>
          <w:fldChar w:fldCharType="end"/>
        </w:r>
      </w:hyperlink>
    </w:p>
    <w:p>
      <w:pPr>
        <w:pStyle w:val="TOC2"/>
        <w:tabs>
          <w:tab w:val="right" w:leader="dot" w:pos="8306"/>
        </w:tabs>
      </w:pPr>
      <w:hyperlink w:anchor="_Toc15600" w:history="1">
        <w:r>
          <w:rPr>
            <w:rFonts w:ascii="仿宋" w:eastAsia="仿宋" w:hAnsi="仿宋" w:cs="仿宋" w:hint="eastAsia"/>
            <w:lang w:eastAsia="zh-CN"/>
          </w:rPr>
          <w:t>(四)、优化成本管理</w:t>
        </w:r>
        <w:r>
          <w:tab/>
        </w:r>
        <w:r>
          <w:fldChar w:fldCharType="begin"/>
        </w:r>
        <w:r>
          <w:instrText xml:space="preserve"> PAGEREF _Toc15600 \h </w:instrText>
        </w:r>
        <w:r>
          <w:fldChar w:fldCharType="separate"/>
        </w:r>
        <w:r>
          <w:t>34</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8580" w:history="1">
        <w:r>
          <w:rPr>
            <w:rFonts w:ascii="仿宋" w:eastAsia="仿宋" w:hAnsi="仿宋" w:cs="仿宋" w:hint="eastAsia"/>
            <w:lang w:eastAsia="zh-CN"/>
          </w:rPr>
          <w:t>十、化肥农药项目风险管理</w:t>
        </w:r>
        <w:r>
          <w:tab/>
        </w:r>
        <w:r>
          <w:fldChar w:fldCharType="begin"/>
        </w:r>
        <w:r>
          <w:instrText xml:space="preserve"> PAGEREF _Toc28580 \h </w:instrText>
        </w:r>
        <w:r>
          <w:fldChar w:fldCharType="separate"/>
        </w:r>
        <w:r>
          <w:t>35</w:t>
        </w:r>
        <w:r>
          <w:fldChar w:fldCharType="end"/>
        </w:r>
      </w:hyperlink>
    </w:p>
    <w:p>
      <w:pPr>
        <w:pStyle w:val="TOC2"/>
        <w:tabs>
          <w:tab w:val="right" w:leader="dot" w:pos="8306"/>
        </w:tabs>
      </w:pPr>
      <w:hyperlink w:anchor="_Toc14704" w:history="1">
        <w:r>
          <w:rPr>
            <w:rFonts w:ascii="仿宋" w:eastAsia="仿宋" w:hAnsi="仿宋" w:cs="仿宋" w:hint="eastAsia"/>
            <w:lang w:eastAsia="zh-CN"/>
          </w:rPr>
          <w:t>(一)、风险识别与评估</w:t>
        </w:r>
        <w:r>
          <w:tab/>
        </w:r>
        <w:r>
          <w:fldChar w:fldCharType="begin"/>
        </w:r>
        <w:r>
          <w:instrText xml:space="preserve"> PAGEREF _Toc14704 \h </w:instrText>
        </w:r>
        <w:r>
          <w:fldChar w:fldCharType="separate"/>
        </w:r>
        <w:r>
          <w:t>35</w:t>
        </w:r>
        <w:r>
          <w:fldChar w:fldCharType="end"/>
        </w:r>
      </w:hyperlink>
    </w:p>
    <w:p>
      <w:pPr>
        <w:pStyle w:val="TOC2"/>
        <w:tabs>
          <w:tab w:val="right" w:leader="dot" w:pos="8306"/>
        </w:tabs>
      </w:pPr>
      <w:hyperlink w:anchor="_Toc28103" w:history="1">
        <w:r>
          <w:rPr>
            <w:rFonts w:ascii="仿宋" w:eastAsia="仿宋" w:hAnsi="仿宋" w:cs="仿宋" w:hint="eastAsia"/>
            <w:lang w:eastAsia="zh-CN"/>
          </w:rPr>
          <w:t>(二)、风险应对策略</w:t>
        </w:r>
        <w:r>
          <w:tab/>
        </w:r>
        <w:r>
          <w:fldChar w:fldCharType="begin"/>
        </w:r>
        <w:r>
          <w:instrText xml:space="preserve"> PAGEREF _Toc28103 \h </w:instrText>
        </w:r>
        <w:r>
          <w:fldChar w:fldCharType="separate"/>
        </w:r>
        <w:r>
          <w:t>36</w:t>
        </w:r>
        <w:r>
          <w:fldChar w:fldCharType="end"/>
        </w:r>
      </w:hyperlink>
    </w:p>
    <w:p>
      <w:pPr>
        <w:pStyle w:val="TOC2"/>
        <w:tabs>
          <w:tab w:val="right" w:leader="dot" w:pos="8306"/>
        </w:tabs>
      </w:pPr>
      <w:hyperlink w:anchor="_Toc13634" w:history="1">
        <w:r>
          <w:rPr>
            <w:rFonts w:ascii="仿宋" w:eastAsia="仿宋" w:hAnsi="仿宋" w:cs="仿宋" w:hint="eastAsia"/>
            <w:lang w:eastAsia="zh-CN"/>
          </w:rPr>
          <w:t>(三)、风险监控与控制</w:t>
        </w:r>
        <w:r>
          <w:tab/>
        </w:r>
        <w:r>
          <w:fldChar w:fldCharType="begin"/>
        </w:r>
        <w:r>
          <w:instrText xml:space="preserve"> PAGEREF _Toc13634 \h </w:instrText>
        </w:r>
        <w:r>
          <w:fldChar w:fldCharType="separate"/>
        </w:r>
        <w:r>
          <w:t>38</w:t>
        </w:r>
        <w:r>
          <w:fldChar w:fldCharType="end"/>
        </w:r>
      </w:hyperlink>
    </w:p>
    <w:p>
      <w:pPr>
        <w:pStyle w:val="TOC1"/>
        <w:tabs>
          <w:tab w:val="right" w:leader="dot" w:pos="8306"/>
        </w:tabs>
      </w:pPr>
      <w:hyperlink w:anchor="_Toc9279" w:history="1">
        <w:r>
          <w:rPr>
            <w:rFonts w:ascii="仿宋" w:eastAsia="仿宋" w:hAnsi="仿宋" w:cs="仿宋" w:hint="eastAsia"/>
            <w:lang w:eastAsia="zh-CN"/>
          </w:rPr>
          <w:t>十一、化肥农药项目社会影响</w:t>
        </w:r>
        <w:r>
          <w:tab/>
        </w:r>
        <w:r>
          <w:fldChar w:fldCharType="begin"/>
        </w:r>
        <w:r>
          <w:instrText xml:space="preserve"> PAGEREF _Toc9279 \h </w:instrText>
        </w:r>
        <w:r>
          <w:fldChar w:fldCharType="separate"/>
        </w:r>
        <w:r>
          <w:t>39</w:t>
        </w:r>
        <w:r>
          <w:fldChar w:fldCharType="end"/>
        </w:r>
      </w:hyperlink>
    </w:p>
    <w:p>
      <w:pPr>
        <w:pStyle w:val="TOC2"/>
        <w:tabs>
          <w:tab w:val="right" w:leader="dot" w:pos="8306"/>
        </w:tabs>
      </w:pPr>
      <w:hyperlink w:anchor="_Toc28200" w:history="1">
        <w:r>
          <w:rPr>
            <w:rFonts w:ascii="仿宋" w:eastAsia="仿宋" w:hAnsi="仿宋" w:cs="仿宋" w:hint="eastAsia"/>
            <w:lang w:eastAsia="zh-CN"/>
          </w:rPr>
          <w:t>(一)、社会责任与义务</w:t>
        </w:r>
        <w:r>
          <w:tab/>
        </w:r>
        <w:r>
          <w:fldChar w:fldCharType="begin"/>
        </w:r>
        <w:r>
          <w:instrText xml:space="preserve"> PAGEREF _Toc28200 \h </w:instrText>
        </w:r>
        <w:r>
          <w:fldChar w:fldCharType="separate"/>
        </w:r>
        <w:r>
          <w:t>39</w:t>
        </w:r>
        <w:r>
          <w:fldChar w:fldCharType="end"/>
        </w:r>
      </w:hyperlink>
    </w:p>
    <w:p>
      <w:pPr>
        <w:pStyle w:val="TOC2"/>
        <w:tabs>
          <w:tab w:val="right" w:leader="dot" w:pos="8306"/>
        </w:tabs>
      </w:pPr>
      <w:hyperlink w:anchor="_Toc22079" w:history="1">
        <w:r>
          <w:rPr>
            <w:rFonts w:ascii="仿宋" w:eastAsia="仿宋" w:hAnsi="仿宋" w:cs="仿宋" w:hint="eastAsia"/>
            <w:lang w:eastAsia="zh-CN"/>
          </w:rPr>
          <w:t>(二)、社会参与与沟通</w:t>
        </w:r>
        <w:r>
          <w:tab/>
        </w:r>
        <w:r>
          <w:fldChar w:fldCharType="begin"/>
        </w:r>
        <w:r>
          <w:instrText xml:space="preserve"> PAGEREF _Toc22079 \h </w:instrText>
        </w:r>
        <w:r>
          <w:fldChar w:fldCharType="separate"/>
        </w:r>
        <w:r>
          <w:t>40</w:t>
        </w:r>
        <w:r>
          <w:fldChar w:fldCharType="end"/>
        </w:r>
      </w:hyperlink>
    </w:p>
    <w:p>
      <w:pPr>
        <w:pStyle w:val="TOC1"/>
        <w:tabs>
          <w:tab w:val="right" w:leader="dot" w:pos="8306"/>
        </w:tabs>
      </w:pPr>
      <w:hyperlink w:anchor="_Toc27961" w:history="1">
        <w:r>
          <w:rPr>
            <w:rFonts w:ascii="仿宋" w:eastAsia="仿宋" w:hAnsi="仿宋" w:cs="仿宋" w:hint="eastAsia"/>
            <w:lang w:eastAsia="zh-CN"/>
          </w:rPr>
          <w:t>十二、化肥农药项目创新与研发</w:t>
        </w:r>
        <w:r>
          <w:tab/>
        </w:r>
        <w:r>
          <w:fldChar w:fldCharType="begin"/>
        </w:r>
        <w:r>
          <w:instrText xml:space="preserve"> PAGEREF _Toc27961 \h </w:instrText>
        </w:r>
        <w:r>
          <w:fldChar w:fldCharType="separate"/>
        </w:r>
        <w:r>
          <w:t>41</w:t>
        </w:r>
        <w:r>
          <w:fldChar w:fldCharType="end"/>
        </w:r>
      </w:hyperlink>
    </w:p>
    <w:p>
      <w:pPr>
        <w:pStyle w:val="TOC2"/>
        <w:tabs>
          <w:tab w:val="right" w:leader="dot" w:pos="8306"/>
        </w:tabs>
      </w:pPr>
      <w:hyperlink w:anchor="_Toc6270" w:history="1">
        <w:r>
          <w:rPr>
            <w:rFonts w:ascii="仿宋" w:eastAsia="仿宋" w:hAnsi="仿宋" w:cs="仿宋" w:hint="eastAsia"/>
            <w:lang w:eastAsia="zh-CN"/>
          </w:rPr>
          <w:t>(一)、创新策略与方向</w:t>
        </w:r>
        <w:r>
          <w:tab/>
        </w:r>
        <w:r>
          <w:fldChar w:fldCharType="begin"/>
        </w:r>
        <w:r>
          <w:instrText xml:space="preserve"> PAGEREF _Toc6270 \h </w:instrText>
        </w:r>
        <w:r>
          <w:fldChar w:fldCharType="separate"/>
        </w:r>
        <w:r>
          <w:t>41</w:t>
        </w:r>
        <w:r>
          <w:fldChar w:fldCharType="end"/>
        </w:r>
      </w:hyperlink>
    </w:p>
    <w:p>
      <w:pPr>
        <w:pStyle w:val="TOC2"/>
        <w:tabs>
          <w:tab w:val="right" w:leader="dot" w:pos="8306"/>
        </w:tabs>
      </w:pPr>
      <w:hyperlink w:anchor="_Toc27714" w:history="1">
        <w:r>
          <w:rPr>
            <w:rFonts w:ascii="仿宋" w:eastAsia="仿宋" w:hAnsi="仿宋" w:cs="仿宋" w:hint="eastAsia"/>
            <w:lang w:eastAsia="zh-CN"/>
          </w:rPr>
          <w:t>(二)、研发规划与投入</w:t>
        </w:r>
        <w:r>
          <w:tab/>
        </w:r>
        <w:r>
          <w:fldChar w:fldCharType="begin"/>
        </w:r>
        <w:r>
          <w:instrText xml:space="preserve"> PAGEREF _Toc27714 \h </w:instrText>
        </w:r>
        <w:r>
          <w:fldChar w:fldCharType="separate"/>
        </w:r>
        <w:r>
          <w:t>42</w:t>
        </w:r>
        <w:r>
          <w:fldChar w:fldCharType="end"/>
        </w:r>
      </w:hyperlink>
    </w:p>
    <w:p>
      <w:pPr>
        <w:pStyle w:val="TOC1"/>
        <w:tabs>
          <w:tab w:val="right" w:leader="dot" w:pos="8306"/>
        </w:tabs>
      </w:pPr>
      <w:hyperlink w:anchor="_Toc15786" w:history="1">
        <w:r>
          <w:rPr>
            <w:rFonts w:ascii="仿宋" w:eastAsia="仿宋" w:hAnsi="仿宋" w:cs="仿宋" w:hint="eastAsia"/>
            <w:lang w:eastAsia="zh-CN"/>
          </w:rPr>
          <w:t>十三、化肥农药项目变更管理</w:t>
        </w:r>
        <w:r>
          <w:tab/>
        </w:r>
        <w:r>
          <w:fldChar w:fldCharType="begin"/>
        </w:r>
        <w:r>
          <w:instrText xml:space="preserve"> PAGEREF _Toc15786 \h </w:instrText>
        </w:r>
        <w:r>
          <w:fldChar w:fldCharType="separate"/>
        </w:r>
        <w:r>
          <w:t>44</w:t>
        </w:r>
        <w:r>
          <w:fldChar w:fldCharType="end"/>
        </w:r>
      </w:hyperlink>
    </w:p>
    <w:p>
      <w:pPr>
        <w:pStyle w:val="TOC2"/>
        <w:tabs>
          <w:tab w:val="right" w:leader="dot" w:pos="8306"/>
        </w:tabs>
      </w:pPr>
      <w:hyperlink w:anchor="_Toc15115" w:history="1">
        <w:r>
          <w:rPr>
            <w:rFonts w:ascii="仿宋" w:eastAsia="仿宋" w:hAnsi="仿宋" w:cs="仿宋" w:hint="eastAsia"/>
            <w:lang w:eastAsia="zh-CN"/>
          </w:rPr>
          <w:t>(一)、变更申请与评估</w:t>
        </w:r>
        <w:r>
          <w:tab/>
        </w:r>
        <w:r>
          <w:fldChar w:fldCharType="begin"/>
        </w:r>
        <w:r>
          <w:instrText xml:space="preserve"> PAGEREF _Toc15115 \h </w:instrText>
        </w:r>
        <w:r>
          <w:fldChar w:fldCharType="separate"/>
        </w:r>
        <w:r>
          <w:t>44</w:t>
        </w:r>
        <w:r>
          <w:fldChar w:fldCharType="end"/>
        </w:r>
      </w:hyperlink>
    </w:p>
    <w:p>
      <w:pPr>
        <w:pStyle w:val="TOC2"/>
        <w:tabs>
          <w:tab w:val="right" w:leader="dot" w:pos="8306"/>
        </w:tabs>
      </w:pPr>
      <w:hyperlink w:anchor="_Toc9996" w:history="1">
        <w:r>
          <w:rPr>
            <w:rFonts w:ascii="仿宋" w:eastAsia="仿宋" w:hAnsi="仿宋" w:cs="仿宋" w:hint="eastAsia"/>
            <w:lang w:eastAsia="zh-CN"/>
          </w:rPr>
          <w:t>(二)、变更实施与控制</w:t>
        </w:r>
        <w:r>
          <w:tab/>
        </w:r>
        <w:r>
          <w:fldChar w:fldCharType="begin"/>
        </w:r>
        <w:r>
          <w:instrText xml:space="preserve"> PAGEREF _Toc9996 \h </w:instrText>
        </w:r>
        <w:r>
          <w:fldChar w:fldCharType="separate"/>
        </w:r>
        <w:r>
          <w:t>44</w:t>
        </w:r>
        <w:r>
          <w:fldChar w:fldCharType="end"/>
        </w:r>
      </w:hyperlink>
    </w:p>
    <w:p>
      <w:pPr>
        <w:pStyle w:val="TOC1"/>
        <w:tabs>
          <w:tab w:val="right" w:leader="dot" w:pos="8306"/>
        </w:tabs>
      </w:pPr>
      <w:hyperlink w:anchor="_Toc19405" w:history="1">
        <w:r>
          <w:rPr>
            <w:rFonts w:ascii="仿宋" w:eastAsia="仿宋" w:hAnsi="仿宋" w:cs="仿宋" w:hint="eastAsia"/>
            <w:lang w:eastAsia="zh-CN"/>
          </w:rPr>
          <w:t>十四、供应链管理</w:t>
        </w:r>
        <w:r>
          <w:tab/>
        </w:r>
        <w:r>
          <w:fldChar w:fldCharType="begin"/>
        </w:r>
        <w:r>
          <w:instrText xml:space="preserve"> PAGEREF _Toc19405 \h </w:instrText>
        </w:r>
        <w:r>
          <w:fldChar w:fldCharType="separate"/>
        </w:r>
        <w:r>
          <w:t>45</w:t>
        </w:r>
        <w:r>
          <w:fldChar w:fldCharType="end"/>
        </w:r>
      </w:hyperlink>
    </w:p>
    <w:p>
      <w:pPr>
        <w:pStyle w:val="TOC2"/>
        <w:tabs>
          <w:tab w:val="right" w:leader="dot" w:pos="8306"/>
        </w:tabs>
      </w:pPr>
      <w:hyperlink w:anchor="_Toc9129" w:history="1">
        <w:r>
          <w:rPr>
            <w:rFonts w:ascii="仿宋" w:eastAsia="仿宋" w:hAnsi="仿宋" w:cs="仿宋" w:hint="eastAsia"/>
            <w:lang w:eastAsia="zh-CN"/>
          </w:rPr>
          <w:t>(一)、供应链战略规划</w:t>
        </w:r>
        <w:r>
          <w:tab/>
        </w:r>
        <w:r>
          <w:fldChar w:fldCharType="begin"/>
        </w:r>
        <w:r>
          <w:instrText xml:space="preserve"> PAGEREF _Toc9129 \h </w:instrText>
        </w:r>
        <w:r>
          <w:fldChar w:fldCharType="separate"/>
        </w:r>
        <w:r>
          <w:t>45</w:t>
        </w:r>
        <w:r>
          <w:fldChar w:fldCharType="end"/>
        </w:r>
      </w:hyperlink>
    </w:p>
    <w:p>
      <w:pPr>
        <w:pStyle w:val="TOC2"/>
        <w:tabs>
          <w:tab w:val="right" w:leader="dot" w:pos="8306"/>
        </w:tabs>
      </w:pPr>
      <w:hyperlink w:anchor="_Toc2150" w:history="1">
        <w:r>
          <w:rPr>
            <w:rFonts w:ascii="仿宋" w:eastAsia="仿宋" w:hAnsi="仿宋" w:cs="仿宋" w:hint="eastAsia"/>
            <w:lang w:eastAsia="zh-CN"/>
          </w:rPr>
          <w:t>(二)、供应商选择与合作</w:t>
        </w:r>
        <w:r>
          <w:tab/>
        </w:r>
        <w:r>
          <w:fldChar w:fldCharType="begin"/>
        </w:r>
        <w:r>
          <w:instrText xml:space="preserve"> PAGEREF _Toc2150 \h </w:instrText>
        </w:r>
        <w:r>
          <w:fldChar w:fldCharType="separate"/>
        </w:r>
        <w:r>
          <w:t>46</w:t>
        </w:r>
        <w:r>
          <w:fldChar w:fldCharType="end"/>
        </w:r>
      </w:hyperlink>
    </w:p>
    <w:p>
      <w:pPr>
        <w:pStyle w:val="TOC2"/>
        <w:tabs>
          <w:tab w:val="right" w:leader="dot" w:pos="8306"/>
        </w:tabs>
      </w:pPr>
      <w:hyperlink w:anchor="_Toc6448" w:history="1">
        <w:r>
          <w:rPr>
            <w:rFonts w:ascii="仿宋" w:eastAsia="仿宋" w:hAnsi="仿宋" w:cs="仿宋" w:hint="eastAsia"/>
            <w:lang w:eastAsia="zh-CN"/>
          </w:rPr>
          <w:t>(三)、物流与库存管理</w:t>
        </w:r>
        <w:r>
          <w:tab/>
        </w:r>
        <w:r>
          <w:fldChar w:fldCharType="begin"/>
        </w:r>
        <w:r>
          <w:instrText xml:space="preserve"> PAGEREF _Toc6448 \h </w:instrText>
        </w:r>
        <w:r>
          <w:fldChar w:fldCharType="separate"/>
        </w:r>
        <w:r>
          <w:t>48</w:t>
        </w:r>
        <w:r>
          <w:fldChar w:fldCharType="end"/>
        </w:r>
      </w:hyperlink>
    </w:p>
    <w:p>
      <w:pPr>
        <w:pStyle w:val="TOC1"/>
        <w:tabs>
          <w:tab w:val="right" w:leader="dot" w:pos="8306"/>
        </w:tabs>
      </w:pPr>
      <w:hyperlink w:anchor="_Toc24067" w:history="1">
        <w:r>
          <w:rPr>
            <w:rFonts w:ascii="仿宋" w:eastAsia="仿宋" w:hAnsi="仿宋" w:cs="仿宋" w:hint="eastAsia"/>
            <w:lang w:eastAsia="zh-CN"/>
          </w:rPr>
          <w:t>十五、化肥农药项目实施保障措施</w:t>
        </w:r>
        <w:r>
          <w:tab/>
        </w:r>
        <w:r>
          <w:fldChar w:fldCharType="begin"/>
        </w:r>
        <w:r>
          <w:instrText xml:space="preserve"> PAGEREF _Toc24067 \h </w:instrText>
        </w:r>
        <w:r>
          <w:fldChar w:fldCharType="separate"/>
        </w:r>
        <w:r>
          <w:t>49</w:t>
        </w:r>
        <w:r>
          <w:fldChar w:fldCharType="end"/>
        </w:r>
      </w:hyperlink>
    </w:p>
    <w:p>
      <w:pPr>
        <w:pStyle w:val="TOC2"/>
        <w:tabs>
          <w:tab w:val="right" w:leader="dot" w:pos="8306"/>
        </w:tabs>
      </w:pPr>
      <w:hyperlink w:anchor="_Toc19813" w:history="1">
        <w:r>
          <w:rPr>
            <w:rFonts w:ascii="仿宋" w:eastAsia="仿宋" w:hAnsi="仿宋" w:cs="仿宋" w:hint="eastAsia"/>
            <w:lang w:eastAsia="zh-CN"/>
          </w:rPr>
          <w:t>(一)、化肥农药项目实施保障机制</w:t>
        </w:r>
        <w:r>
          <w:tab/>
        </w:r>
        <w:r>
          <w:fldChar w:fldCharType="begin"/>
        </w:r>
        <w:r>
          <w:instrText xml:space="preserve"> PAGEREF _Toc19813 \h </w:instrText>
        </w:r>
        <w:r>
          <w:fldChar w:fldCharType="separate"/>
        </w:r>
        <w:r>
          <w:t>49</w:t>
        </w:r>
        <w:r>
          <w:fldChar w:fldCharType="end"/>
        </w:r>
      </w:hyperlink>
    </w:p>
    <w:p>
      <w:pPr>
        <w:pStyle w:val="TOC2"/>
        <w:tabs>
          <w:tab w:val="right" w:leader="dot" w:pos="8306"/>
        </w:tabs>
      </w:pPr>
      <w:hyperlink w:anchor="_Toc7009" w:history="1">
        <w:r>
          <w:rPr>
            <w:rFonts w:ascii="仿宋" w:eastAsia="仿宋" w:hAnsi="仿宋" w:cs="仿宋" w:hint="eastAsia"/>
            <w:lang w:eastAsia="zh-CN"/>
          </w:rPr>
          <w:t>(二)、化肥农药项目法律合规要求</w:t>
        </w:r>
        <w:r>
          <w:tab/>
        </w:r>
        <w:r>
          <w:fldChar w:fldCharType="begin"/>
        </w:r>
        <w:r>
          <w:instrText xml:space="preserve"> PAGEREF _Toc7009 \h </w:instrText>
        </w:r>
        <w:r>
          <w:fldChar w:fldCharType="separate"/>
        </w:r>
        <w:r>
          <w:t>52</w:t>
        </w:r>
        <w:r>
          <w:fldChar w:fldCharType="end"/>
        </w:r>
      </w:hyperlink>
    </w:p>
    <w:p>
      <w:pPr>
        <w:pStyle w:val="TOC2"/>
        <w:tabs>
          <w:tab w:val="right" w:leader="dot" w:pos="8306"/>
        </w:tabs>
      </w:pPr>
      <w:hyperlink w:anchor="_Toc7156" w:history="1">
        <w:r>
          <w:rPr>
            <w:rFonts w:ascii="仿宋" w:eastAsia="仿宋" w:hAnsi="仿宋" w:cs="仿宋" w:hint="eastAsia"/>
            <w:lang w:eastAsia="zh-CN"/>
          </w:rPr>
          <w:t>(三)、化肥农药项目合同管理与法律事务</w:t>
        </w:r>
        <w:r>
          <w:tab/>
        </w:r>
        <w:r>
          <w:fldChar w:fldCharType="begin"/>
        </w:r>
        <w:r>
          <w:instrText xml:space="preserve"> PAGEREF _Toc7156 \h </w:instrText>
        </w:r>
        <w:r>
          <w:fldChar w:fldCharType="separate"/>
        </w:r>
        <w:r>
          <w:t>57</w:t>
        </w:r>
        <w:r>
          <w:fldChar w:fldCharType="end"/>
        </w:r>
      </w:hyperlink>
    </w:p>
    <w:p>
      <w:pPr>
        <w:pStyle w:val="TOC2"/>
        <w:tabs>
          <w:tab w:val="right" w:leader="dot" w:pos="8306"/>
        </w:tabs>
      </w:pPr>
      <w:hyperlink w:anchor="_Toc24022" w:history="1">
        <w:r>
          <w:rPr>
            <w:rFonts w:ascii="仿宋" w:eastAsia="仿宋" w:hAnsi="仿宋" w:cs="仿宋" w:hint="eastAsia"/>
            <w:lang w:eastAsia="zh-CN"/>
          </w:rPr>
          <w:t>(四)、化肥农药项目知识产权保护策略</w:t>
        </w:r>
        <w:r>
          <w:tab/>
        </w:r>
        <w:r>
          <w:fldChar w:fldCharType="begin"/>
        </w:r>
        <w:r>
          <w:instrText xml:space="preserve"> PAGEREF _Toc24022 \h </w:instrText>
        </w:r>
        <w:r>
          <w:fldChar w:fldCharType="separate"/>
        </w:r>
        <w:r>
          <w:t>63</w:t>
        </w:r>
        <w:r>
          <w:fldChar w:fldCharType="end"/>
        </w:r>
      </w:hyperlink>
    </w:p>
    <w:p>
      <w:pPr>
        <w:pStyle w:val="TOC1"/>
        <w:tabs>
          <w:tab w:val="right" w:leader="dot" w:pos="8306"/>
        </w:tabs>
      </w:pPr>
      <w:hyperlink w:anchor="_Toc976" w:history="1">
        <w:r>
          <w:rPr>
            <w:rFonts w:ascii="仿宋" w:eastAsia="仿宋" w:hAnsi="仿宋" w:cs="仿宋" w:hint="eastAsia"/>
            <w:lang w:eastAsia="zh-CN"/>
          </w:rPr>
          <w:t>十六、利益相关者分析与沟通计划</w:t>
        </w:r>
        <w:r>
          <w:tab/>
        </w:r>
        <w:r>
          <w:fldChar w:fldCharType="begin"/>
        </w:r>
        <w:r>
          <w:instrText xml:space="preserve"> PAGEREF _Toc976 \h </w:instrText>
        </w:r>
        <w:r>
          <w:fldChar w:fldCharType="separate"/>
        </w:r>
        <w:r>
          <w:t>65</w:t>
        </w:r>
        <w:r>
          <w:fldChar w:fldCharType="end"/>
        </w:r>
      </w:hyperlink>
    </w:p>
    <w:p>
      <w:pPr>
        <w:pStyle w:val="TOC2"/>
        <w:tabs>
          <w:tab w:val="right" w:leader="dot" w:pos="8306"/>
        </w:tabs>
      </w:pPr>
      <w:hyperlink w:anchor="_Toc27571" w:history="1">
        <w:r>
          <w:rPr>
            <w:rFonts w:ascii="仿宋" w:eastAsia="仿宋" w:hAnsi="仿宋" w:cs="仿宋" w:hint="eastAsia"/>
            <w:lang w:eastAsia="zh-CN"/>
          </w:rPr>
          <w:t>(一)、利益相关者分析</w:t>
        </w:r>
        <w:r>
          <w:tab/>
        </w:r>
        <w:r>
          <w:fldChar w:fldCharType="begin"/>
        </w:r>
        <w:r>
          <w:instrText xml:space="preserve"> PAGEREF _Toc27571 \h </w:instrText>
        </w:r>
        <w:r>
          <w:fldChar w:fldCharType="separate"/>
        </w:r>
        <w:r>
          <w:t>65</w:t>
        </w:r>
        <w:r>
          <w:fldChar w:fldCharType="end"/>
        </w:r>
      </w:hyperlink>
    </w:p>
    <w:p>
      <w:pPr>
        <w:pStyle w:val="TOC2"/>
        <w:tabs>
          <w:tab w:val="right" w:leader="dot" w:pos="8306"/>
        </w:tabs>
      </w:pPr>
      <w:hyperlink w:anchor="_Toc4230" w:history="1">
        <w:r>
          <w:rPr>
            <w:rFonts w:ascii="仿宋" w:eastAsia="仿宋" w:hAnsi="仿宋" w:cs="仿宋" w:hint="eastAsia"/>
            <w:lang w:eastAsia="zh-CN"/>
          </w:rPr>
          <w:t>(二)、沟通计划</w:t>
        </w:r>
        <w:r>
          <w:tab/>
        </w:r>
        <w:r>
          <w:fldChar w:fldCharType="begin"/>
        </w:r>
        <w:r>
          <w:instrText xml:space="preserve"> PAGEREF _Toc4230 \h </w:instrText>
        </w:r>
        <w:r>
          <w:fldChar w:fldCharType="separate"/>
        </w:r>
        <w:r>
          <w:t>67</w:t>
        </w:r>
        <w:r>
          <w:fldChar w:fldCharType="end"/>
        </w:r>
      </w:hyperlink>
    </w:p>
    <w:p>
      <w:pPr>
        <w:pStyle w:val="TOC1"/>
        <w:tabs>
          <w:tab w:val="right" w:leader="dot" w:pos="8306"/>
        </w:tabs>
      </w:pPr>
      <w:hyperlink w:anchor="_Toc3787" w:history="1">
        <w:r>
          <w:rPr>
            <w:rFonts w:ascii="仿宋" w:eastAsia="仿宋" w:hAnsi="仿宋" w:cs="仿宋" w:hint="eastAsia"/>
            <w:lang w:eastAsia="zh-CN"/>
          </w:rPr>
          <w:t>十七、化肥农药项目实施时间节点</w:t>
        </w:r>
        <w:r>
          <w:tab/>
        </w:r>
        <w:r>
          <w:fldChar w:fldCharType="begin"/>
        </w:r>
        <w:r>
          <w:instrText xml:space="preserve"> PAGEREF _Toc3787 \h </w:instrText>
        </w:r>
        <w:r>
          <w:fldChar w:fldCharType="separate"/>
        </w:r>
        <w:r>
          <w:t>68</w:t>
        </w:r>
        <w:r>
          <w:fldChar w:fldCharType="end"/>
        </w:r>
      </w:hyperlink>
    </w:p>
    <w:p>
      <w:pPr>
        <w:pStyle w:val="TOC2"/>
        <w:tabs>
          <w:tab w:val="right" w:leader="dot" w:pos="8306"/>
        </w:tabs>
      </w:pPr>
      <w:hyperlink w:anchor="_Toc1838" w:history="1">
        <w:r>
          <w:rPr>
            <w:rFonts w:ascii="仿宋" w:eastAsia="仿宋" w:hAnsi="仿宋" w:cs="仿宋" w:hint="eastAsia"/>
            <w:lang w:eastAsia="zh-CN"/>
          </w:rPr>
          <w:t>(一)、化肥农药项目启动阶段时间节点</w:t>
        </w:r>
        <w:r>
          <w:tab/>
        </w:r>
        <w:r>
          <w:fldChar w:fldCharType="begin"/>
        </w:r>
        <w:r>
          <w:instrText xml:space="preserve"> PAGEREF _Toc1838 \h </w:instrText>
        </w:r>
        <w:r>
          <w:fldChar w:fldCharType="separate"/>
        </w:r>
        <w:r>
          <w:t>68</w:t>
        </w:r>
        <w:r>
          <w:fldChar w:fldCharType="end"/>
        </w:r>
      </w:hyperlink>
    </w:p>
    <w:p>
      <w:pPr>
        <w:pStyle w:val="TOC2"/>
        <w:tabs>
          <w:tab w:val="right" w:leader="dot" w:pos="8306"/>
        </w:tabs>
      </w:pPr>
      <w:hyperlink w:anchor="_Toc22562" w:history="1">
        <w:r>
          <w:rPr>
            <w:rFonts w:ascii="仿宋" w:eastAsia="仿宋" w:hAnsi="仿宋" w:cs="仿宋" w:hint="eastAsia"/>
            <w:lang w:eastAsia="zh-CN"/>
          </w:rPr>
          <w:t>(二)、化肥农药项目执行阶段时间节点</w:t>
        </w:r>
        <w:r>
          <w:tab/>
        </w:r>
        <w:r>
          <w:fldChar w:fldCharType="begin"/>
        </w:r>
        <w:r>
          <w:instrText xml:space="preserve"> PAGEREF _Toc22562 \h </w:instrText>
        </w:r>
        <w:r>
          <w:fldChar w:fldCharType="separate"/>
        </w:r>
        <w:r>
          <w:t>69</w:t>
        </w:r>
        <w:r>
          <w:fldChar w:fldCharType="end"/>
        </w:r>
      </w:hyperlink>
    </w:p>
    <w:p>
      <w:pPr>
        <w:pStyle w:val="TOC2"/>
        <w:tabs>
          <w:tab w:val="right" w:leader="dot" w:pos="8306"/>
        </w:tabs>
      </w:pPr>
      <w:hyperlink w:anchor="_Toc15326" w:history="1">
        <w:r>
          <w:rPr>
            <w:rFonts w:ascii="仿宋" w:eastAsia="仿宋" w:hAnsi="仿宋" w:cs="仿宋" w:hint="eastAsia"/>
            <w:lang w:eastAsia="zh-CN"/>
          </w:rPr>
          <w:t>(三)、化肥农药项目完成阶段时间节点</w:t>
        </w:r>
        <w:r>
          <w:tab/>
        </w:r>
        <w:r>
          <w:fldChar w:fldCharType="begin"/>
        </w:r>
        <w:r>
          <w:instrText xml:space="preserve"> PAGEREF _Toc15326 \h </w:instrText>
        </w:r>
        <w:r>
          <w:fldChar w:fldCharType="separate"/>
        </w:r>
        <w:r>
          <w:t>70</w:t>
        </w:r>
        <w:r>
          <w:fldChar w:fldCharType="end"/>
        </w:r>
      </w:hyperlink>
    </w:p>
    <w:p>
      <w:pPr>
        <w:pStyle w:val="TOC1"/>
        <w:tabs>
          <w:tab w:val="right" w:leader="dot" w:pos="8306"/>
        </w:tabs>
      </w:pPr>
      <w:hyperlink w:anchor="_Toc15883" w:history="1">
        <w:r>
          <w:rPr>
            <w:rFonts w:ascii="仿宋" w:eastAsia="仿宋" w:hAnsi="仿宋" w:cs="仿宋" w:hint="eastAsia"/>
            <w:lang w:eastAsia="zh-CN"/>
          </w:rPr>
          <w:t>十八、化肥农药项目治理与监督</w:t>
        </w:r>
        <w:r>
          <w:tab/>
        </w:r>
        <w:r>
          <w:fldChar w:fldCharType="begin"/>
        </w:r>
        <w:r>
          <w:instrText xml:space="preserve"> PAGEREF _Toc15883 \h </w:instrText>
        </w:r>
        <w:r>
          <w:fldChar w:fldCharType="separate"/>
        </w:r>
        <w:r>
          <w:t>71</w:t>
        </w:r>
        <w:r>
          <w:fldChar w:fldCharType="end"/>
        </w:r>
      </w:hyperlink>
    </w:p>
    <w:p>
      <w:pPr>
        <w:pStyle w:val="TOC2"/>
        <w:tabs>
          <w:tab w:val="right" w:leader="dot" w:pos="8306"/>
        </w:tabs>
      </w:pPr>
      <w:hyperlink w:anchor="_Toc23507" w:history="1">
        <w:r>
          <w:rPr>
            <w:rFonts w:ascii="仿宋" w:eastAsia="仿宋" w:hAnsi="仿宋" w:cs="仿宋" w:hint="eastAsia"/>
            <w:lang w:eastAsia="zh-CN"/>
          </w:rPr>
          <w:t>(一)、化肥农药项目治理结构</w:t>
        </w:r>
        <w:r>
          <w:tab/>
        </w:r>
        <w:r>
          <w:fldChar w:fldCharType="begin"/>
        </w:r>
        <w:r>
          <w:instrText xml:space="preserve"> PAGEREF _Toc23507 \h </w:instrText>
        </w:r>
        <w:r>
          <w:fldChar w:fldCharType="separate"/>
        </w:r>
        <w:r>
          <w:t>71</w:t>
        </w:r>
        <w:r>
          <w:fldChar w:fldCharType="end"/>
        </w:r>
      </w:hyperlink>
    </w:p>
    <w:p>
      <w:pPr>
        <w:pStyle w:val="TOC2"/>
        <w:tabs>
          <w:tab w:val="right" w:leader="dot" w:pos="8306"/>
        </w:tabs>
      </w:pPr>
      <w:hyperlink w:anchor="_Toc20543" w:history="1">
        <w:r>
          <w:rPr>
            <w:rFonts w:ascii="仿宋" w:eastAsia="仿宋" w:hAnsi="仿宋" w:cs="仿宋" w:hint="eastAsia"/>
            <w:lang w:eastAsia="zh-CN"/>
          </w:rPr>
          <w:t>(二)、监督与审计</w:t>
        </w:r>
        <w:r>
          <w:tab/>
        </w:r>
        <w:r>
          <w:fldChar w:fldCharType="begin"/>
        </w:r>
        <w:r>
          <w:instrText xml:space="preserve"> PAGEREF _Toc20543 \h </w:instrText>
        </w:r>
        <w:r>
          <w:fldChar w:fldCharType="separate"/>
        </w:r>
        <w:r>
          <w:t>72</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3591"/>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17125"/>
      <w:r>
        <w:rPr>
          <w:rFonts w:ascii="仿宋" w:eastAsia="仿宋" w:hAnsi="仿宋" w:cs="仿宋" w:hint="eastAsia"/>
          <w:sz w:val="28"/>
          <w:lang w:eastAsia="zh-CN"/>
        </w:rPr>
        <w:t>一、化肥农药项目可持续发展</w:t>
      </w:r>
      <w:bookmarkEnd w:id="2"/>
    </w:p>
    <w:p>
      <w:pPr>
        <w:pStyle w:val="Heading2"/>
        <w:rPr>
          <w:rFonts w:ascii="仿宋" w:eastAsia="仿宋" w:hAnsi="仿宋" w:cs="仿宋" w:hint="eastAsia"/>
          <w:lang w:eastAsia="zh-CN"/>
        </w:rPr>
      </w:pPr>
      <w:bookmarkStart w:id="3" w:name="_Toc14350"/>
      <w:r>
        <w:rPr>
          <w:rFonts w:ascii="仿宋" w:eastAsia="仿宋" w:hAnsi="仿宋" w:cs="仿宋" w:hint="eastAsia"/>
          <w:lang w:eastAsia="zh-CN"/>
        </w:rPr>
        <w:t>(一)、可持续战略与实践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在化肥农药项目中，化肥农药项目团队着眼于未来，明确了可持续发展的战略方向。制定的具体可持续发展目标包括降低资源使用、采用环保技术、最大化社会效益等。这一步骤不仅有助于化肥农药项目在环保和社会责任方面达到最高标准，也为未来提供了明确的指引，确保化肥农药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可持续实践的融入化肥农药项目管理</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可持续实践已经贯穿于整个化肥农药项目管理周期。从化肥农药项目规划开始，化肥农药项目团队就考虑了环境和社会的因素。在执行阶段，化肥农药项目团队积极推动绿色技术的应用，优化资源利用。此外，关注员工的社会责任，通过培训和沟通活动提高员工对可持续发展的认知，使他们能够在日常工作中践行可持续实践。这些举措不仅为化肥农药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4" w:name="_Toc1606"/>
      <w:r>
        <w:rPr>
          <w:rFonts w:ascii="仿宋" w:eastAsia="仿宋" w:hAnsi="仿宋" w:cs="仿宋" w:hint="eastAsia"/>
          <w:sz w:val="28"/>
          <w:lang w:eastAsia="zh-CN"/>
        </w:rPr>
        <w:t>(二)、环保与社会责任</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扎根于化肥农药项目的可持续发展理念，我们深信环保与社会责任是化肥农药项目成功的关键支柱。在化肥农药项目的每一步，我们都致力于通过创新和实践，履行对环境和社会的坚定责任。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化肥农药项目团队通过引入先进的环保技术、建立高效的废物处理系统以及推动能源节约措施，积极履行环保责任。定期的环保监测和评估确保化肥农药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pPr>
      <w:r>
        <w:rPr>
          <w:rFonts w:ascii="仿宋" w:eastAsia="仿宋" w:hAnsi="仿宋" w:cs="仿宋" w:hint="eastAsia"/>
          <w:sz w:val="28"/>
          <w:lang w:eastAsia="zh-CN"/>
        </w:rPr>
        <w:t>化肥农药项目不仅致力于自身可持续发展，还注重对社会的回馈。通过支持社区化肥农药项目、参与慈善事业、提供培训机会等方式，化肥农药项目积极履行社会责任。与当地社区建立积极互动，关注员工的工作与生活平衡，以及员工的身心健康，是化肥农药项目在社会责任层面的关键举措。这样的实践不仅增强了化肥农药项目在社会中的声誉，也促进了社会的共同繁荣。</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5" w:name="_Toc13871"/>
      <w:r>
        <w:rPr>
          <w:rFonts w:ascii="仿宋" w:eastAsia="仿宋" w:hAnsi="仿宋" w:cs="仿宋" w:hint="eastAsia"/>
          <w:sz w:val="28"/>
          <w:lang w:eastAsia="zh-CN"/>
        </w:rPr>
        <w:t>二、产品规划分析</w:t>
      </w:r>
      <w:bookmarkEnd w:id="5"/>
    </w:p>
    <w:p>
      <w:pPr>
        <w:pStyle w:val="Heading2"/>
        <w:rPr>
          <w:rFonts w:ascii="仿宋" w:eastAsia="仿宋" w:hAnsi="仿宋" w:cs="仿宋" w:hint="eastAsia"/>
          <w:lang w:eastAsia="zh-CN"/>
        </w:rPr>
      </w:pPr>
      <w:bookmarkStart w:id="6" w:name="_Toc11188"/>
      <w:r>
        <w:rPr>
          <w:rFonts w:ascii="仿宋" w:eastAsia="仿宋" w:hAnsi="仿宋" w:cs="仿宋" w:hint="eastAsia"/>
          <w:lang w:eastAsia="zh-CN"/>
        </w:rPr>
        <w:t>(一)、产品规划</w:t>
      </w:r>
      <w:bookmarkEnd w:id="6"/>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化肥农药项目的主要产品是XXXX，预计年产值为XXX万元。这一产品在市场中占据着重要的地位，其广泛的应用范围使得该化肥农药项目的市场前景非常广阔。</w:t>
      </w: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化肥农药项目的xxx产品作为重要的原材料之一，将在多个领域发挥关键作用。其在建筑、交通、能源等方面的广泛应用将为整个产业链提供强大的支持，形成产业协同效应。化肥农药项目的年产值XXX万XXX万XXX万万元不仅反映了其在市场上的巨大潜力，更预示着它对国民经济的积极贡献。这种关联度高、涉及面广的产业关系，使得该化肥农药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7" w:name="_Toc31896"/>
      <w:r>
        <w:rPr>
          <w:rFonts w:ascii="仿宋" w:eastAsia="仿宋" w:hAnsi="仿宋" w:cs="仿宋" w:hint="eastAsia"/>
          <w:sz w:val="28"/>
          <w:lang w:eastAsia="zh-CN"/>
        </w:rPr>
        <w:t>(二)、建设规模</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化肥农药项目总征地面积为XXXX平方米，相当于约XX.XX亩，其中净用地面积为XXXX平方米，红线范围内相当于约XX.XX亩。这一用地规模充分考虑了化肥农药项目的建设需求，保障了化肥农药项目在合适的空间内得以充分发展。化肥农药项目规划的总建筑面积为XXXX平方米，其中主体工程建设占XXXX平方米，计容建筑面积达XXXX平方米。预计建筑工程的投资将达到XXXX万元，为化肥农药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pPr>
      <w:r>
        <w:rPr>
          <w:rFonts w:ascii="仿宋" w:eastAsia="仿宋" w:hAnsi="仿宋" w:cs="仿宋" w:hint="eastAsia"/>
          <w:sz w:val="28"/>
          <w:lang w:eastAsia="zh-CN"/>
        </w:rPr>
        <w:t>化肥农药项目计划购置的设备共计XXXX台（套），设备购置费用为XXXX万元。这一设备购置计划充分考虑到化肥农药项目的生产需求和技术要求，确保了化肥农药项目在生产运营中具备先进的技术装备和高效的生产能力。设备的合理配置将为化肥农药项目的正常运作和未来的产能提升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化肥农药项目计划总投资为XXXX万元，预计年实现营业收入为XXXX万元。这一产能规模的设定旨在确保化肥农药项目能够在投资与回报之间取得平衡，实现长期可持续的发展。化肥农药项目的总投资充分考虑到各个方面的需求，包括用地建设、设备购置等多个环节，以确保化肥农药项目在未来能够具备强大的产能规模，为市场创造更大的经济效益。</w:t>
      </w:r>
    </w:p>
    <w:p>
      <w:pPr>
        <w:pStyle w:val="Heading1"/>
        <w:ind w:firstLine="560" w:firstLineChars="200"/>
        <w:rPr>
          <w:rFonts w:ascii="仿宋" w:eastAsia="仿宋" w:hAnsi="仿宋" w:cs="仿宋" w:hint="eastAsia"/>
          <w:sz w:val="28"/>
          <w:lang w:eastAsia="zh-CN"/>
        </w:rPr>
      </w:pPr>
      <w:bookmarkStart w:id="8" w:name="_Toc29185"/>
      <w:r>
        <w:rPr>
          <w:rFonts w:ascii="仿宋" w:eastAsia="仿宋" w:hAnsi="仿宋" w:cs="仿宋" w:hint="eastAsia"/>
          <w:sz w:val="28"/>
          <w:lang w:eastAsia="zh-CN"/>
        </w:rPr>
        <w:t>三、化肥农药项目绩效评估</w:t>
      </w:r>
      <w:bookmarkEnd w:id="8"/>
    </w:p>
    <w:p>
      <w:pPr>
        <w:pStyle w:val="Heading2"/>
        <w:rPr>
          <w:rFonts w:ascii="仿宋" w:eastAsia="仿宋" w:hAnsi="仿宋" w:cs="仿宋" w:hint="eastAsia"/>
          <w:lang w:eastAsia="zh-CN"/>
        </w:rPr>
      </w:pPr>
      <w:bookmarkStart w:id="9" w:name="_Toc9276"/>
      <w:r>
        <w:rPr>
          <w:rFonts w:ascii="仿宋" w:eastAsia="仿宋" w:hAnsi="仿宋" w:cs="仿宋" w:hint="eastAsia"/>
          <w:lang w:eastAsia="zh-CN"/>
        </w:rPr>
        <w:t>(一)、绩效评估指标</w:t>
      </w:r>
      <w:bookmarkEnd w:id="9"/>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化肥农药项目中，我们设计了一套全面的绩效评估指标，以确保化肥农药项目的可控和成功交付。这些指标跨足化肥农药项目目标、成本、进度和质量等多个维度，为我们提供了全面洞察化肥农药项目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化肥农药项目目标达成率是我们关注的首要指标。我们设定了明确的目标，并通过定期监测和评估，迅速发现并应对潜在的目标偏差。这为化肥农药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成本绩效是另一个核心关注点。通过实际成本与预算成本的对比分析，我们深入了解成本差异的原因，及时调整资源分配，保持化肥农药项目在经济效益方面的合理水平。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化肥农药项目进度作为关键的绩效指标之一，得到了精心的关注。我们制定了详细的化肥农药项目进度计划，并设立了进度符合度指标，确保实际进度与计划进度保持一致。这使我们能够快速发现和解决潜在的进度问题，保持化肥农药项目的正常推进。</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化肥农药项目绩效的不可或缺的一环。我们引入了一系列的质量标准和客户满意度指标，以确保化肥农药项目交付的成果在质量上达到或超越预期水平。通过持续监测这些指标，我们努力提升化肥农药项目整体质量水平，为化肥农药项目的成功交付提供有力保障。通过这些科学且全面的绩效评估，我们能够更好地引导化肥农药项目的持续改进，确保化肥农药项目目标的顺利达成。</w:t>
      </w:r>
    </w:p>
    <w:p>
      <w:pPr>
        <w:pStyle w:val="Heading2"/>
        <w:ind w:firstLine="560" w:firstLineChars="200"/>
        <w:rPr>
          <w:rFonts w:ascii="仿宋" w:eastAsia="仿宋" w:hAnsi="仿宋" w:cs="仿宋" w:hint="eastAsia"/>
          <w:sz w:val="28"/>
          <w:lang w:eastAsia="zh-CN"/>
        </w:rPr>
      </w:pPr>
      <w:bookmarkStart w:id="10" w:name="_Toc13845"/>
      <w:r>
        <w:rPr>
          <w:rFonts w:ascii="仿宋" w:eastAsia="仿宋" w:hAnsi="仿宋" w:cs="仿宋" w:hint="eastAsia"/>
          <w:sz w:val="28"/>
          <w:lang w:eastAsia="zh-CN"/>
        </w:rPr>
        <w:t>(二)、绩效评估方法</w:t>
      </w:r>
      <w:bookmarkEnd w:id="10"/>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绩效评估是化肥农药项目中的关键环节，为确保化肥农药项目达到预期目标，我们采用了多层次、多维度的绩效评估方法。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化肥农药项目的战略目标对齐，确保每个决策和行动都与化肥农药项目整体目标保持一致。团队会定期召开战略对齐会议，审视当前工作与化肥农药项目战略是否保持一致，以及是否需要调整战略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在定量方面，我们设计了一系列关键绩效指标（KPIs），涵盖化肥农药项目进度、质量、成本和风险等方面。这些指标通过数据收集和分析，为化肥农药项目管理团队提供了客观的评估依据。例如，我们通过化肥农药项目管理软件追踪进度，使用成本绩效分析（CPI）评估成本控制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绩效评估不仅仅停留在化肥农药项目内部，还考虑了化肥农药项目对外部环境的影响。我们定期进行干系人满意度调查，以了解各利益相关方对化肥农药项目的期望和满意度，并及时做出调整。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这种多层次、多角度的绩效评估方法，使得我们能够全面了解化肥农药项目的运行状态，及时做出调整，确保化肥农药项目在不断变化的环境中保持稳健前行。</w:t>
      </w:r>
    </w:p>
    <w:p>
      <w:pPr>
        <w:pStyle w:val="Heading2"/>
        <w:ind w:firstLine="560" w:firstLineChars="200"/>
        <w:rPr>
          <w:rFonts w:ascii="仿宋" w:eastAsia="仿宋" w:hAnsi="仿宋" w:cs="仿宋" w:hint="eastAsia"/>
          <w:sz w:val="28"/>
          <w:lang w:eastAsia="zh-CN"/>
        </w:rPr>
      </w:pPr>
      <w:bookmarkStart w:id="11" w:name="_Toc10012"/>
      <w:r>
        <w:rPr>
          <w:rFonts w:ascii="仿宋" w:eastAsia="仿宋" w:hAnsi="仿宋" w:cs="仿宋" w:hint="eastAsia"/>
          <w:sz w:val="28"/>
          <w:lang w:eastAsia="zh-CN"/>
        </w:rPr>
        <w:t>(三)、绩效评估周期</w:t>
      </w:r>
      <w:bookmarkEnd w:id="11"/>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为了确保化肥农药项目的有效管理和不断优化，我们采用了精心设计的绩效评估周期。这个周期旨在实现灵活、实时和全面的评估，以适应化肥农药项目执行中的各种挑战。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的设计考虑到化肥农药项目的不同需求，分为短期、中期和长期。短期评估关注每个迭代或工作周期，以及时发现和解决当前任务中的问题。中期评估涵盖几个迭代，深入了解整体化肥农药项目的趋势和性能。长期评估则着眼于整个化肥农药项目阶段，确保化肥农药项目目标的一致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强调实时性的信息反馈，通过采用先进的化肥农药项目管理工具和协作平台，团队成员能够随时更新和分享化肥农药项目数据。这种实时性的反馈机制使我们能够及时察觉潜在问题，快速调整，保持化肥农药项目的稳健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决策制定与团队学习</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与化肥农药项目的决策制定密不可分。每个周期的化肥农药项目回顾会议成为集体总结经验、识别问题深层次原因并找到创新解决方案的平台。这种定期的反思与调整机制使化肥农药项目能够不断学习、进化，以更好地适应变化的环境。</w:t>
      </w:r>
    </w:p>
    <w:p>
      <w:pPr>
        <w:pStyle w:val="Heading1"/>
        <w:ind w:firstLine="560" w:firstLineChars="200"/>
        <w:rPr>
          <w:rFonts w:ascii="仿宋" w:eastAsia="仿宋" w:hAnsi="仿宋" w:cs="仿宋" w:hint="eastAsia"/>
          <w:sz w:val="28"/>
          <w:lang w:eastAsia="zh-CN"/>
        </w:rPr>
      </w:pPr>
      <w:bookmarkStart w:id="12" w:name="_Toc16325"/>
      <w:r>
        <w:rPr>
          <w:rFonts w:ascii="仿宋" w:eastAsia="仿宋" w:hAnsi="仿宋" w:cs="仿宋" w:hint="eastAsia"/>
          <w:sz w:val="28"/>
          <w:lang w:eastAsia="zh-CN"/>
        </w:rPr>
        <w:t>四、市场分析、调研</w:t>
      </w:r>
      <w:bookmarkEnd w:id="12"/>
    </w:p>
    <w:p>
      <w:pPr>
        <w:pStyle w:val="Heading2"/>
        <w:rPr>
          <w:rFonts w:ascii="仿宋" w:eastAsia="仿宋" w:hAnsi="仿宋" w:cs="仿宋" w:hint="eastAsia"/>
          <w:lang w:eastAsia="zh-CN"/>
        </w:rPr>
      </w:pPr>
      <w:bookmarkStart w:id="13" w:name="_Toc21572"/>
      <w:r>
        <w:rPr>
          <w:rFonts w:ascii="仿宋" w:eastAsia="仿宋" w:hAnsi="仿宋" w:cs="仿宋" w:hint="eastAsia"/>
          <w:lang w:eastAsia="zh-CN"/>
        </w:rPr>
        <w:t>(一)、化肥农药行业分析</w:t>
      </w:r>
      <w:bookmarkEnd w:id="13"/>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化肥农药行业一直以来都是市场的关注焦点。行业内的发展趋势、竞争态势以及潜在机会都对化肥农药项目的推进产生深远的影响。通过深入研究行业的整体概貌，我们将更好地理解行业的核心特征，为化肥农药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化肥农药行业，技术一直是推动创新和发展的关键因素。我们将对当前技术趋势进行详尽分析，包括但不限于人工智能、大数据应用、先进制造技术等。这有助于化肥农药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化肥农药项目成功的基础。我们将对主要竞争对手进行深入研究，包括其市场份额、产品特点、市场定位等。通过全面了解竞争对手的优势和劣势，化肥农药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14" w:name="_Toc22089"/>
      <w:r>
        <w:rPr>
          <w:rFonts w:ascii="仿宋" w:eastAsia="仿宋" w:hAnsi="仿宋" w:cs="仿宋" w:hint="eastAsia"/>
          <w:sz w:val="28"/>
          <w:lang w:eastAsia="zh-CN"/>
        </w:rPr>
        <w:t>(二)、化肥农药市场分析预测</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通过对市场规模的深入调研，我们将预测化肥农药市场未来的增长趋势。这包括市场的整体规模、各细分领域的发展趋势等。化肥农药项目可以根据市场的扩张速度和潜在机会，制定更符合市场需求的发展策略。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化肥农药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是化肥农药项目实施过程中需要充分考虑的因素。我们将对市场风险进行全面评估，包括但不限于政策法规风险、市场竞争风险、技术变革风险等。通过对潜在风险的深入分析，化肥农药项目可以制定相应的风险缓解策略，降低不确定性对化肥农药项目的影响。</w:t>
      </w:r>
    </w:p>
    <w:p>
      <w:pPr>
        <w:pStyle w:val="Heading1"/>
        <w:ind w:firstLine="560" w:firstLineChars="200"/>
        <w:rPr>
          <w:rFonts w:ascii="仿宋" w:eastAsia="仿宋" w:hAnsi="仿宋" w:cs="仿宋" w:hint="eastAsia"/>
          <w:sz w:val="28"/>
          <w:lang w:eastAsia="zh-CN"/>
        </w:rPr>
      </w:pPr>
      <w:bookmarkStart w:id="15" w:name="_Toc16611"/>
      <w:r>
        <w:rPr>
          <w:rFonts w:ascii="仿宋" w:eastAsia="仿宋" w:hAnsi="仿宋" w:cs="仿宋" w:hint="eastAsia"/>
          <w:sz w:val="28"/>
          <w:lang w:eastAsia="zh-CN"/>
        </w:rPr>
        <w:t>五、化肥农药项目土建工程</w:t>
      </w:r>
      <w:bookmarkEnd w:id="15"/>
    </w:p>
    <w:p>
      <w:pPr>
        <w:pStyle w:val="Heading2"/>
        <w:rPr>
          <w:rFonts w:ascii="仿宋" w:eastAsia="仿宋" w:hAnsi="仿宋" w:cs="仿宋" w:hint="eastAsia"/>
          <w:lang w:eastAsia="zh-CN"/>
        </w:rPr>
      </w:pPr>
      <w:bookmarkStart w:id="16" w:name="_Toc24966"/>
      <w:r>
        <w:rPr>
          <w:rFonts w:ascii="仿宋" w:eastAsia="仿宋" w:hAnsi="仿宋" w:cs="仿宋" w:hint="eastAsia"/>
          <w:lang w:eastAsia="zh-CN"/>
        </w:rPr>
        <w:t>(一)、建筑工程设计原则</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在化肥农药项目的建筑工程设计中，我们将秉承一系列重要的设计原则，以确保化肥农药项目建筑在功能、美观、可持续性等方面达到最佳效果。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首要原则是确保建筑的功能性得到最大化的发挥。我们将充分理解化肥农药项目的实际需求，合理布局各个功能区域，保证建筑在满足业务需求的同时，提供高效的工作环境。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3.</w:t>
      </w:r>
      <w:r>
        <w:rPr>
          <w:rFonts w:ascii="仿宋" w:eastAsia="仿宋" w:hAnsi="仿宋" w:cs="仿宋" w:hint="eastAsia"/>
          <w:sz w:val="28"/>
          <w:lang w:eastAsia="zh-CN"/>
        </w:rPr>
        <w:t xml:space="preserve"> 可持续性与环保：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灵活性与可扩展性：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在建筑设计中，我们将综合考虑建设和运营成本。通过精细的经济效益分析，确保设计方案在高效利用资源的同时，对化肥农药项目的长期盈利能力有积极的贡献。</w:t>
      </w:r>
    </w:p>
    <w:p>
      <w:pPr>
        <w:pStyle w:val="Heading2"/>
        <w:ind w:firstLine="560" w:firstLineChars="200"/>
        <w:rPr>
          <w:rFonts w:ascii="仿宋" w:eastAsia="仿宋" w:hAnsi="仿宋" w:cs="仿宋" w:hint="eastAsia"/>
          <w:sz w:val="28"/>
          <w:lang w:eastAsia="zh-CN"/>
        </w:rPr>
      </w:pPr>
      <w:bookmarkStart w:id="17" w:name="_Toc1784"/>
      <w:r>
        <w:rPr>
          <w:rFonts w:ascii="仿宋" w:eastAsia="仿宋" w:hAnsi="仿宋" w:cs="仿宋" w:hint="eastAsia"/>
          <w:sz w:val="28"/>
          <w:lang w:eastAsia="zh-CN"/>
        </w:rPr>
        <w:t>(二)、土建工程设计年限及安全等级</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在化肥农药项目的土建工程设计中，我们将精准设定设计年限，结合化肥农药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化肥农药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18" w:name="_Toc18055"/>
      <w:r>
        <w:rPr>
          <w:rFonts w:ascii="仿宋" w:eastAsia="仿宋" w:hAnsi="仿宋" w:cs="仿宋" w:hint="eastAsia"/>
          <w:sz w:val="28"/>
          <w:lang w:eastAsia="zh-CN"/>
        </w:rPr>
        <w:t>(三)、建筑工程设计总体要求</w:t>
      </w:r>
      <w:bookmarkEnd w:id="18"/>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该化肥农药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化肥农药项目的设计在符合法规的同时，达到最高的安全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化肥农药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19" w:name="_Toc26200"/>
      <w:r>
        <w:rPr>
          <w:rFonts w:ascii="仿宋" w:eastAsia="仿宋" w:hAnsi="仿宋" w:cs="仿宋" w:hint="eastAsia"/>
          <w:sz w:val="28"/>
          <w:lang w:eastAsia="zh-CN"/>
        </w:rPr>
        <w:t>(四)、土建工程建设指标</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本期工程化肥农药项目预计总建筑面积XXX平方米，其中：计容建筑面积XXX平方米，计划建筑工程投资XX万元，占化肥农药项目总投资的XX%。</w:t>
      </w:r>
    </w:p>
    <w:p>
      <w:pPr>
        <w:pStyle w:val="Heading1"/>
        <w:ind w:firstLine="560" w:firstLineChars="200"/>
        <w:rPr>
          <w:rFonts w:ascii="仿宋" w:eastAsia="仿宋" w:hAnsi="仿宋" w:cs="仿宋" w:hint="eastAsia"/>
          <w:sz w:val="28"/>
          <w:lang w:eastAsia="zh-CN"/>
        </w:rPr>
      </w:pPr>
      <w:bookmarkStart w:id="20" w:name="_Toc24792"/>
      <w:r>
        <w:rPr>
          <w:rFonts w:ascii="仿宋" w:eastAsia="仿宋" w:hAnsi="仿宋" w:cs="仿宋" w:hint="eastAsia"/>
          <w:sz w:val="28"/>
          <w:lang w:eastAsia="zh-CN"/>
        </w:rPr>
        <w:t>六、化肥农药项目文档管理</w:t>
      </w:r>
      <w:bookmarkEnd w:id="20"/>
    </w:p>
    <w:p>
      <w:pPr>
        <w:pStyle w:val="Heading2"/>
        <w:rPr>
          <w:rFonts w:ascii="仿宋" w:eastAsia="仿宋" w:hAnsi="仿宋" w:cs="仿宋" w:hint="eastAsia"/>
          <w:lang w:eastAsia="zh-CN"/>
        </w:rPr>
      </w:pPr>
      <w:bookmarkStart w:id="21" w:name="_Toc17198"/>
      <w:r>
        <w:rPr>
          <w:rFonts w:ascii="仿宋" w:eastAsia="仿宋" w:hAnsi="仿宋" w:cs="仿宋" w:hint="eastAsia"/>
          <w:lang w:eastAsia="zh-CN"/>
        </w:rPr>
        <w:t>(一)、文档编制与审查</w:t>
      </w:r>
      <w:bookmarkEnd w:id="21"/>
    </w:p>
    <w:p>
      <w:pPr>
        <w:ind w:firstLine="560" w:firstLineChars="200"/>
        <w:rPr>
          <w:rFonts w:ascii="仿宋" w:eastAsia="仿宋" w:hAnsi="仿宋" w:cs="仿宋" w:hint="eastAsia"/>
          <w:sz w:val="28"/>
        </w:rPr>
      </w:pPr>
      <w:r>
        <w:rPr>
          <w:rFonts w:ascii="仿宋" w:eastAsia="仿宋" w:hAnsi="仿宋" w:cs="仿宋" w:hint="eastAsia"/>
          <w:sz w:val="28"/>
          <w:lang w:eastAsia="zh-CN"/>
        </w:rPr>
        <w:t>化肥农药项目高度重视文档的质量和准确性，以支持化肥农药项目的各项活动和决策。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化肥农药项目文档的编制始于化肥农药项目计划的初期，我们制定了详细的文档编制计划，明确了每个文档的内容、格式和编写责任人。在化肥农药项目启动阶段，我们首先编制了化肥农药项目章程，明确定义了化肥农药项目的目标、范围、风险等关键要素。随后，化肥农药项目团队根据计划陆续编制了需求文档、设计文档、测试文档等各类文档，确保化肥农药项目的每个阶段都有清晰的文档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化肥农药项目管理中的重要环节，旨在确保化肥农药项目文档符合质量标准和化肥农药项目需求。在化肥农药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除了内部审查，我们还进行了外部审查，邀请化肥农药项目相关利益方和专业领域的专家对文档进行独立审查。这有助于获取更全面、客观的反馈，确保化肥农药项目文档不仅符合内部标准，也满足外部需求。</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化肥农药项目在文档编制与审查方面建立了严格的管理机制，通过规范的流程和多维度的审查，确保化肥农药项目文档的质量、准确性和可靠性，为化肥农药项目的顺利推进提供了有力支持。</w:t>
      </w:r>
    </w:p>
    <w:p>
      <w:pPr>
        <w:pStyle w:val="Heading2"/>
        <w:ind w:firstLine="560" w:firstLineChars="200"/>
        <w:rPr>
          <w:rFonts w:ascii="仿宋" w:eastAsia="仿宋" w:hAnsi="仿宋" w:cs="仿宋" w:hint="eastAsia"/>
          <w:sz w:val="28"/>
          <w:lang w:eastAsia="zh-CN"/>
        </w:rPr>
      </w:pPr>
      <w:bookmarkStart w:id="22" w:name="_Toc18336"/>
      <w:r>
        <w:rPr>
          <w:rFonts w:ascii="仿宋" w:eastAsia="仿宋" w:hAnsi="仿宋" w:cs="仿宋" w:hint="eastAsia"/>
          <w:sz w:val="28"/>
          <w:lang w:eastAsia="zh-CN"/>
        </w:rPr>
        <w:t>(二)、文档发布与分发</w:t>
      </w:r>
      <w:bookmarkEnd w:id="22"/>
    </w:p>
    <w:p>
      <w:pPr>
        <w:ind w:firstLine="560" w:firstLineChars="200"/>
        <w:rPr>
          <w:rFonts w:ascii="仿宋" w:eastAsia="仿宋" w:hAnsi="仿宋" w:cs="仿宋" w:hint="eastAsia"/>
          <w:sz w:val="28"/>
        </w:rPr>
      </w:pPr>
      <w:r>
        <w:rPr>
          <w:rFonts w:ascii="仿宋" w:eastAsia="仿宋" w:hAnsi="仿宋" w:cs="仿宋" w:hint="eastAsia"/>
          <w:sz w:val="28"/>
          <w:lang w:eastAsia="zh-CN"/>
        </w:rPr>
        <w:t>在化肥农药项目中，我们致力于优化文档发布与分发过程，以确保信息的高效传递和团队间协作的顺畅进行。以下是我们采取的关键优化策略：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定期更新发布计划：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2. 多渠道发布： 我们通过多渠道发布文档，包括电子邮件、化肥农药项目管理平台、内部网站等，以满足不同团队成员的偏好和需求。多渠道发布确保了信息的全面覆盖。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3. 智能文档索引系统：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强化权限管理： 我们采用了精细的权限控制，确保只有授权人员可以访问敏感信息。这种安全措施保护了化肥农药项目文档的机密性，防止了未经授权的信息泄露。</w:t>
      </w:r>
    </w:p>
    <w:p>
      <w:pPr>
        <w:ind w:firstLine="560" w:firstLineChars="200"/>
        <w:rPr>
          <w:rFonts w:ascii="仿宋" w:eastAsia="仿宋" w:hAnsi="仿宋" w:cs="仿宋" w:hint="eastAsia"/>
          <w:sz w:val="28"/>
        </w:rPr>
      </w:pPr>
      <w:r>
        <w:rPr>
          <w:rFonts w:ascii="仿宋" w:eastAsia="仿宋" w:hAnsi="仿宋" w:cs="仿宋" w:hint="eastAsia"/>
          <w:sz w:val="28"/>
          <w:lang w:eastAsia="zh-CN"/>
        </w:rPr>
        <w:t>5. 持续改进机制：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23" w:name="_Toc5401"/>
      <w:r>
        <w:rPr>
          <w:rFonts w:ascii="仿宋" w:eastAsia="仿宋" w:hAnsi="仿宋" w:cs="仿宋" w:hint="eastAsia"/>
          <w:sz w:val="28"/>
          <w:lang w:eastAsia="zh-CN"/>
        </w:rPr>
        <w:t>(三)、文档存档与归档</w:t>
      </w:r>
      <w:bookmarkEnd w:id="23"/>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https://d.book118.com/097160122026006040</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化肥农药项目规划设计方案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化肥农药项目规划设计方案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化肥农药项目规划设计方案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化肥农药项目规划设计方案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化肥农药项目规划设计方案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化肥农药项目规划设计方案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化肥农药项目规划设计方案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化肥农药项目规划设计方案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化肥农药项目规划设计方案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化肥农药项目规划设计方案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化肥农药项目规划设计方案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化肥农药项目规划设计方案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化肥农药项目规划设计方案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化肥农药项目规划设计方案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化肥农药项目规划设计方案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化肥农药项目规划设计方案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化肥农药项目规划设计方案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74B694B"/>
    <w:rsid w:val="574B694B"/>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097160122026006040"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24</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2024-02-02T01:54:00Z</dcterms:created>
  <dcterms:modified xsi:type="dcterms:W3CDTF">2024-02-02T01:54:57Z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D14506BFDE4045E3B5B12B6FAD9D89EB_11</vt:lpwstr>
  </property>
  <property fmtid="{D5CDD505-2E9C-101B-9397-08002B2CF9AE}" pid="3" name="KSOProductBuildVer">
    <vt:lpwstr>2052-12.1.0.16250</vt:lpwstr>
  </property>
</Properties>
</file>