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2"/>
        <w:keepNext w:val="0"/>
        <w:keepLines w:val="0"/>
        <w:widowControl w:val="0"/>
        <w:shd w:val="clear" w:color="auto" w:fill="auto"/>
        <w:bidi w:val="0"/>
        <w:spacing w:before="100" w:after="0" w:line="466" w:lineRule="exact"/>
        <w:ind w:left="0" w:right="0" w:firstLine="0"/>
        <w:jc w:val="center"/>
      </w:pPr>
      <w:r>
        <w:rPr>
          <w:color w:val="000000"/>
          <w:spacing w:val="0"/>
          <w:w w:val="100"/>
          <w:position w:val="0"/>
        </w:rPr>
        <w:t>第一章井田概况及地质特征</w:t>
      </w:r>
    </w:p>
    <w:p>
      <w:pPr>
        <w:pStyle w:val="a2"/>
        <w:keepNext w:val="0"/>
        <w:keepLines w:val="0"/>
        <w:widowControl w:val="0"/>
        <w:shd w:val="clear" w:color="auto" w:fill="auto"/>
        <w:bidi w:val="0"/>
        <w:spacing w:before="0" w:after="180" w:line="466" w:lineRule="exact"/>
        <w:ind w:left="0" w:right="0" w:firstLine="0"/>
        <w:jc w:val="center"/>
      </w:pPr>
      <w:r>
        <w:rPr>
          <w:color w:val="000000"/>
          <w:spacing w:val="0"/>
          <w:w w:val="100"/>
          <w:position w:val="0"/>
        </w:rPr>
        <w:t>第一节井田概况</w:t>
      </w:r>
    </w:p>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rPr>
        <w:t>一交通位置</w:t>
      </w:r>
    </w:p>
    <w:p>
      <w:pPr>
        <w:pStyle w:val="a2"/>
        <w:keepNext w:val="0"/>
        <w:keepLines w:val="0"/>
        <w:widowControl w:val="0"/>
        <w:shd w:val="clear" w:color="auto" w:fill="auto"/>
        <w:bidi w:val="0"/>
        <w:spacing w:before="0" w:after="0" w:line="353" w:lineRule="exact"/>
        <w:ind w:left="0" w:right="0" w:firstLine="720"/>
        <w:jc w:val="both"/>
      </w:pPr>
      <w:r>
        <w:rPr>
          <w:color w:val="008080"/>
          <w:spacing w:val="0"/>
          <w:w w:val="100"/>
          <w:position w:val="0"/>
        </w:rPr>
        <w:t>山西柳林寨崖底煤业有限公司位于柳林县县城东南约</w:t>
      </w:r>
      <w:r>
        <w:rPr>
          <w:color w:val="008080"/>
          <w:spacing w:val="0"/>
          <w:w w:val="100"/>
          <w:position w:val="0"/>
        </w:rPr>
        <w:t>16km</w:t>
      </w:r>
      <w:r>
        <w:rPr>
          <w:color w:val="008080"/>
          <w:spacing w:val="0"/>
          <w:w w:val="100"/>
          <w:position w:val="0"/>
        </w:rPr>
        <w:t>处，行政区隶属陈家湾乡，井田位于寨崖底村</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赵家庄村一带。 该矿井工业场地有从下枣林经陈家湾乡到柳林的乡间公路通过。柳林县城经过307国道或青银高速公路可直达太原、西安等地。 矿井工业场地距孝柳铁路柳林站约</w:t>
      </w:r>
      <w:r>
        <w:rPr>
          <w:color w:val="008080"/>
          <w:spacing w:val="0"/>
          <w:w w:val="100"/>
          <w:position w:val="0"/>
        </w:rPr>
        <w:t>16km</w:t>
      </w:r>
      <w:r>
        <w:rPr>
          <w:color w:val="008080"/>
          <w:spacing w:val="0"/>
          <w:w w:val="100"/>
          <w:position w:val="0"/>
        </w:rPr>
        <w:t>，从柳林集运站煤炭可以直接上火车外运。</w:t>
      </w:r>
    </w:p>
    <w:p>
      <w:pPr>
        <w:pStyle w:val="a2"/>
        <w:keepNext w:val="0"/>
        <w:keepLines w:val="0"/>
        <w:widowControl w:val="0"/>
        <w:shd w:val="clear" w:color="auto" w:fill="auto"/>
        <w:bidi w:val="0"/>
        <w:spacing w:before="0" w:after="0" w:line="458" w:lineRule="exact"/>
        <w:ind w:left="0" w:right="0" w:firstLine="0"/>
        <w:jc w:val="both"/>
      </w:pPr>
      <w:r>
        <w:rPr>
          <w:color w:val="000000"/>
          <w:spacing w:val="0"/>
          <w:w w:val="100"/>
          <w:position w:val="0"/>
        </w:rPr>
        <w:t>二地形级地貌</w:t>
      </w:r>
    </w:p>
    <w:p>
      <w:pPr>
        <w:pStyle w:val="a2"/>
        <w:keepNext w:val="0"/>
        <w:keepLines w:val="0"/>
        <w:widowControl w:val="0"/>
        <w:shd w:val="clear" w:color="auto" w:fill="auto"/>
        <w:bidi w:val="0"/>
        <w:spacing w:before="0" w:after="180" w:line="458" w:lineRule="exact"/>
        <w:ind w:left="0" w:right="0" w:firstLine="540"/>
        <w:jc w:val="both"/>
      </w:pPr>
      <w:r>
        <w:rPr>
          <w:color w:val="008080"/>
          <w:spacing w:val="0"/>
          <w:w w:val="100"/>
          <w:position w:val="0"/>
        </w:rPr>
        <w:t>井田内沟壑纵横，具典型的黄土地貌特征。在梁峁地带被第四系黄土所覆盖，沟谷中广泛出露第三系上新统红土。整合后的 井田西部石盘上沟谷中出露有上石盒子组地层，其他基岩均未见裸露。区内南东高北西低，最高点海拔标高</w:t>
      </w:r>
      <w:r>
        <w:rPr>
          <w:color w:val="008080"/>
          <w:spacing w:val="0"/>
          <w:w w:val="100"/>
          <w:position w:val="0"/>
        </w:rPr>
        <w:t>1274.2m</w:t>
      </w:r>
      <w:r>
        <w:rPr>
          <w:color w:val="008080"/>
          <w:spacing w:val="0"/>
          <w:w w:val="100"/>
          <w:position w:val="0"/>
        </w:rPr>
        <w:t>，最低点海 拔标高</w:t>
      </w:r>
      <w:r>
        <w:rPr>
          <w:color w:val="008080"/>
          <w:spacing w:val="0"/>
          <w:w w:val="100"/>
          <w:position w:val="0"/>
        </w:rPr>
        <w:t>970.5m</w:t>
      </w:r>
      <w:r>
        <w:rPr>
          <w:color w:val="008080"/>
          <w:spacing w:val="0"/>
          <w:w w:val="100"/>
          <w:position w:val="0"/>
        </w:rPr>
        <w:t>，相对高差</w:t>
      </w:r>
      <w:r>
        <w:rPr>
          <w:color w:val="008080"/>
          <w:spacing w:val="0"/>
          <w:w w:val="100"/>
          <w:position w:val="0"/>
        </w:rPr>
        <w:t>303.7m。</w:t>
      </w:r>
    </w:p>
    <w:p>
      <w:pPr>
        <w:pStyle w:val="a2"/>
        <w:keepNext w:val="0"/>
        <w:keepLines w:val="0"/>
        <w:widowControl w:val="0"/>
        <w:shd w:val="clear" w:color="auto" w:fill="auto"/>
        <w:bidi w:val="0"/>
        <w:spacing w:before="0" w:after="80" w:line="240" w:lineRule="auto"/>
        <w:ind w:left="0" w:right="0" w:firstLine="0"/>
        <w:jc w:val="both"/>
      </w:pPr>
      <w:r>
        <w:rPr>
          <w:color w:val="000000"/>
          <w:spacing w:val="0"/>
          <w:w w:val="100"/>
          <w:position w:val="0"/>
        </w:rPr>
        <w:t>三气象</w:t>
      </w:r>
    </w:p>
    <w:p>
      <w:pPr>
        <w:pStyle w:val="a2"/>
        <w:keepNext w:val="0"/>
        <w:keepLines w:val="0"/>
        <w:widowControl w:val="0"/>
        <w:shd w:val="clear" w:color="auto" w:fill="auto"/>
        <w:bidi w:val="0"/>
        <w:spacing w:before="0" w:after="0" w:line="341" w:lineRule="exact"/>
        <w:ind w:left="0" w:right="0" w:firstLine="720"/>
        <w:jc w:val="both"/>
      </w:pPr>
      <w:r>
        <w:rPr>
          <w:color w:val="008080"/>
          <w:spacing w:val="0"/>
          <w:w w:val="100"/>
          <w:position w:val="0"/>
        </w:rPr>
        <w:t>井田内为大陆性半干旱气候。春季干旱无雨，夏季炎热多雨，秋季温度适中，冬季寒冷干燥。多年日平均最高气温32.5。。， 最低</w:t>
      </w:r>
      <w:r>
        <w:rPr>
          <w:color w:val="008080"/>
          <w:spacing w:val="0"/>
          <w:w w:val="100"/>
          <w:position w:val="0"/>
        </w:rPr>
        <w:t>-20.1°C</w:t>
      </w:r>
      <w:r>
        <w:rPr>
          <w:color w:val="008080"/>
          <w:spacing w:val="0"/>
          <w:w w:val="100"/>
          <w:position w:val="0"/>
        </w:rPr>
        <w:t>，平均</w:t>
      </w:r>
      <w:r>
        <w:rPr>
          <w:color w:val="008080"/>
          <w:spacing w:val="0"/>
          <w:w w:val="100"/>
          <w:position w:val="0"/>
        </w:rPr>
        <w:t>12.5°C</w:t>
      </w:r>
      <w:r>
        <w:rPr>
          <w:color w:val="008080"/>
          <w:spacing w:val="0"/>
          <w:w w:val="100"/>
          <w:position w:val="0"/>
        </w:rPr>
        <w:t>。全年无霜期175天，每年11月底冻结，翌年3月初解冻，最大冻土深度</w:t>
      </w:r>
      <w:r>
        <w:rPr>
          <w:color w:val="008080"/>
          <w:spacing w:val="0"/>
          <w:w w:val="100"/>
          <w:position w:val="0"/>
        </w:rPr>
        <w:t>0.91m</w:t>
      </w:r>
      <w:r>
        <w:rPr>
          <w:color w:val="008080"/>
          <w:spacing w:val="0"/>
          <w:w w:val="100"/>
          <w:position w:val="0"/>
        </w:rPr>
        <w:t>。降水量为</w:t>
      </w:r>
      <w:r>
        <w:rPr>
          <w:color w:val="008080"/>
          <w:spacing w:val="0"/>
          <w:w w:val="100"/>
          <w:position w:val="0"/>
        </w:rPr>
        <w:t>374.4</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 xml:space="preserve"> </w:t>
      </w:r>
      <w:r>
        <w:rPr>
          <w:color w:val="008080"/>
          <w:spacing w:val="0"/>
          <w:w w:val="100"/>
          <w:position w:val="0"/>
        </w:rPr>
        <w:t>577.7mm</w:t>
      </w:r>
      <w:r>
        <w:rPr>
          <w:color w:val="008080"/>
          <w:spacing w:val="0"/>
          <w:w w:val="100"/>
          <w:position w:val="0"/>
        </w:rPr>
        <w:t>，大多集中在7</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8月份，年平均蒸发量</w:t>
      </w:r>
      <w:r>
        <w:rPr>
          <w:color w:val="008080"/>
          <w:spacing w:val="0"/>
          <w:w w:val="100"/>
          <w:position w:val="0"/>
        </w:rPr>
        <w:t>1711mm</w:t>
      </w:r>
      <w:r>
        <w:rPr>
          <w:color w:val="008080"/>
          <w:spacing w:val="0"/>
          <w:w w:val="100"/>
          <w:position w:val="0"/>
        </w:rPr>
        <w:t>，蒸发量大于降雨量。</w:t>
      </w:r>
    </w:p>
    <w:p>
      <w:pPr>
        <w:pStyle w:val="a2"/>
        <w:keepNext w:val="0"/>
        <w:keepLines w:val="0"/>
        <w:widowControl w:val="0"/>
        <w:shd w:val="clear" w:color="auto" w:fill="auto"/>
        <w:bidi w:val="0"/>
        <w:spacing w:before="0" w:after="0" w:line="470" w:lineRule="exact"/>
        <w:ind w:left="0" w:right="0" w:firstLine="0"/>
        <w:jc w:val="both"/>
      </w:pPr>
      <w:r>
        <w:rPr>
          <w:color w:val="000000"/>
          <w:spacing w:val="0"/>
          <w:w w:val="100"/>
          <w:position w:val="0"/>
        </w:rPr>
        <w:t>四地震</w:t>
      </w:r>
    </w:p>
    <w:p>
      <w:pPr>
        <w:pStyle w:val="a2"/>
        <w:keepNext w:val="0"/>
        <w:keepLines w:val="0"/>
        <w:widowControl w:val="0"/>
        <w:shd w:val="clear" w:color="auto" w:fill="auto"/>
        <w:bidi w:val="0"/>
        <w:spacing w:before="0" w:after="0" w:line="470" w:lineRule="exact"/>
        <w:ind w:left="0" w:right="0" w:firstLine="680"/>
        <w:jc w:val="both"/>
      </w:pPr>
      <w:r>
        <w:rPr>
          <w:color w:val="008080"/>
          <w:spacing w:val="0"/>
          <w:w w:val="100"/>
          <w:position w:val="0"/>
        </w:rPr>
        <w:t>根据《建筑抗震设计规范》规定，柳林地区抗震设防烈度为6度，设计地震基本加速度为</w:t>
      </w:r>
      <w:r>
        <w:rPr>
          <w:color w:val="008080"/>
          <w:spacing w:val="0"/>
          <w:w w:val="100"/>
          <w:position w:val="0"/>
        </w:rPr>
        <w:t>0.05g。</w:t>
      </w:r>
    </w:p>
    <w:p>
      <w:pPr>
        <w:pStyle w:val="a2"/>
        <w:keepNext w:val="0"/>
        <w:keepLines w:val="0"/>
        <w:widowControl w:val="0"/>
        <w:shd w:val="clear" w:color="auto" w:fill="auto"/>
        <w:bidi w:val="0"/>
        <w:spacing w:before="0" w:after="0" w:line="470" w:lineRule="exact"/>
        <w:ind w:left="0" w:right="0" w:firstLine="0"/>
        <w:jc w:val="both"/>
      </w:pPr>
      <w:r>
        <w:rPr>
          <w:color w:val="000000"/>
          <w:spacing w:val="0"/>
          <w:w w:val="100"/>
          <w:position w:val="0"/>
        </w:rPr>
        <w:t>五矿井周边小窑情况</w:t>
      </w:r>
    </w:p>
    <w:p>
      <w:pPr>
        <w:pStyle w:val="a2"/>
        <w:keepNext w:val="0"/>
        <w:keepLines w:val="0"/>
        <w:widowControl w:val="0"/>
        <w:shd w:val="clear" w:color="auto" w:fill="auto"/>
        <w:bidi w:val="0"/>
        <w:spacing w:before="0" w:after="0" w:line="470" w:lineRule="exact"/>
        <w:ind w:left="0" w:right="0" w:firstLine="720"/>
        <w:jc w:val="both"/>
      </w:pPr>
      <w:r>
        <w:rPr>
          <w:color w:val="008080"/>
          <w:spacing w:val="0"/>
          <w:w w:val="100"/>
          <w:position w:val="0"/>
        </w:rPr>
        <w:t>本矿井为资源整合矿井，由原寨崖底煤业有限公司、白草耳煤矿、石盘上煤矿整合而成，原寨崖底煤业有限公司位于整合后 井田的中北部，白草耳煤矿位于整合后井田的中西部，石盘上煤矿位于整合后井田的西南部。整合前三煤矿均为经过核准独立开 采的矿井</w:t>
      </w:r>
    </w:p>
    <w:p>
      <w:pPr>
        <w:pStyle w:val="a2"/>
        <w:keepNext w:val="0"/>
        <w:keepLines w:val="0"/>
        <w:widowControl w:val="0"/>
        <w:shd w:val="clear" w:color="auto" w:fill="auto"/>
        <w:bidi w:val="0"/>
        <w:spacing w:before="0" w:after="0" w:line="470" w:lineRule="exact"/>
        <w:ind w:left="0" w:right="0" w:firstLine="0"/>
        <w:jc w:val="both"/>
      </w:pPr>
      <w:r>
        <w:rPr>
          <w:color w:val="000000"/>
          <w:spacing w:val="0"/>
          <w:w w:val="100"/>
          <w:position w:val="0"/>
        </w:rPr>
        <w:t>六矿区农业概况及建材供应等情况</w:t>
      </w:r>
    </w:p>
    <w:p>
      <w:pPr>
        <w:pStyle w:val="a2"/>
        <w:keepNext w:val="0"/>
        <w:keepLines w:val="0"/>
        <w:widowControl w:val="0"/>
        <w:shd w:val="clear" w:color="auto" w:fill="auto"/>
        <w:bidi w:val="0"/>
        <w:spacing w:before="0" w:after="0" w:line="470" w:lineRule="exact"/>
        <w:ind w:left="0" w:right="0" w:firstLine="680"/>
        <w:jc w:val="both"/>
      </w:pPr>
      <w:r>
        <w:rPr>
          <w:color w:val="008080"/>
          <w:spacing w:val="0"/>
          <w:w w:val="100"/>
          <w:position w:val="0"/>
        </w:rPr>
        <w:t>区内耕地贫瘠，人口稀少，主要农产品以豆类、谷类和玉米为主，一年一收，畜牧业不甚发达，劳动力有较大剩余。工业</w:t>
      </w:r>
    </w:p>
    <w:p>
      <w:pPr>
        <w:pStyle w:val="a2"/>
        <w:keepNext w:val="0"/>
        <w:keepLines w:val="0"/>
        <w:widowControl w:val="0"/>
        <w:shd w:val="clear" w:color="auto" w:fill="auto"/>
        <w:bidi w:val="0"/>
        <w:spacing w:before="0" w:after="0" w:line="470" w:lineRule="exact"/>
        <w:ind w:left="0" w:right="0" w:firstLine="0"/>
        <w:jc w:val="both"/>
      </w:pPr>
      <w:r>
        <w:rPr>
          <w:color w:val="008080"/>
          <w:spacing w:val="0"/>
          <w:w w:val="100"/>
          <w:position w:val="0"/>
        </w:rPr>
        <w:t>主要为煤炭和农副产品加工等，是当地的主要经济来源。</w:t>
      </w:r>
    </w:p>
    <w:p>
      <w:pPr>
        <w:pStyle w:val="a2"/>
        <w:keepNext w:val="0"/>
        <w:keepLines w:val="0"/>
        <w:widowControl w:val="0"/>
        <w:shd w:val="clear" w:color="auto" w:fill="auto"/>
        <w:bidi w:val="0"/>
        <w:spacing w:before="0" w:after="80" w:line="470" w:lineRule="exact"/>
        <w:ind w:left="0" w:right="0" w:firstLine="0"/>
        <w:jc w:val="both"/>
      </w:pPr>
      <w:r>
        <w:rPr>
          <w:color w:val="000000"/>
          <w:spacing w:val="0"/>
          <w:w w:val="100"/>
          <w:position w:val="0"/>
        </w:rPr>
        <w:t>七水源、电源情况</w:t>
      </w:r>
    </w:p>
    <w:p>
      <w:pPr>
        <w:pStyle w:val="21"/>
        <w:keepNext w:val="0"/>
        <w:keepLines w:val="0"/>
        <w:widowControl w:val="0"/>
        <w:numPr>
          <w:ilvl w:val="0"/>
          <w:numId w:val="1"/>
        </w:numPr>
        <w:shd w:val="clear" w:color="auto" w:fill="auto"/>
        <w:tabs>
          <w:tab w:val="left" w:pos="1074"/>
        </w:tabs>
        <w:bidi w:val="0"/>
        <w:spacing w:before="0" w:after="0"/>
        <w:ind w:left="0" w:right="0"/>
        <w:jc w:val="both"/>
      </w:pPr>
      <w:bookmarkStart w:id="0" w:name="bookmark0"/>
      <w:bookmarkEnd w:id="0"/>
      <w:r>
        <w:rPr>
          <w:rFonts w:ascii="SimSun" w:eastAsia="SimSun" w:hAnsi="SimSun" w:cs="SimSun"/>
          <w:spacing w:val="0"/>
          <w:w w:val="100"/>
          <w:position w:val="0"/>
        </w:rPr>
        <w:t>水源</w:t>
      </w:r>
    </w:p>
    <w:p>
      <w:pPr>
        <w:pStyle w:val="a2"/>
        <w:keepNext w:val="0"/>
        <w:keepLines w:val="0"/>
        <w:widowControl w:val="0"/>
        <w:shd w:val="clear" w:color="auto" w:fill="auto"/>
        <w:bidi w:val="0"/>
        <w:spacing w:before="0" w:after="0" w:line="348" w:lineRule="exact"/>
        <w:ind w:left="0" w:right="0" w:firstLine="720"/>
        <w:jc w:val="both"/>
      </w:pPr>
      <w:r>
        <w:rPr>
          <w:spacing w:val="0"/>
          <w:w w:val="100"/>
          <w:position w:val="0"/>
        </w:rPr>
        <w:t>根据勘探区水文地质条件，当地居民生活用水和农业灌溉用水量有限，作为工矿供水水源进行大规模开采，必将加剧浅层水 枯褐和水质恶化，引起与居民和农业用水的矛盾，因此仅能做为矿井临时供水水源考虑。要解决工业供水问题，开采深层岩溶水， 势在必行。</w:t>
      </w:r>
    </w:p>
    <w:p>
      <w:pPr>
        <w:pStyle w:val="a2"/>
        <w:keepNext w:val="0"/>
        <w:keepLines w:val="0"/>
        <w:widowControl w:val="0"/>
        <w:numPr>
          <w:ilvl w:val="0"/>
          <w:numId w:val="1"/>
        </w:numPr>
        <w:shd w:val="clear" w:color="auto" w:fill="auto"/>
        <w:tabs>
          <w:tab w:val="left" w:pos="1053"/>
        </w:tabs>
        <w:bidi w:val="0"/>
        <w:spacing w:before="0" w:after="0" w:line="466" w:lineRule="exact"/>
        <w:ind w:left="0" w:right="0" w:firstLine="680"/>
        <w:jc w:val="both"/>
      </w:pPr>
      <w:bookmarkStart w:id="1" w:name="bookmark1"/>
      <w:bookmarkEnd w:id="1"/>
      <w:r>
        <w:rPr>
          <w:spacing w:val="0"/>
          <w:w w:val="100"/>
          <w:position w:val="0"/>
        </w:rPr>
        <w:t>电源</w:t>
      </w:r>
    </w:p>
    <w:p>
      <w:pPr>
        <w:pStyle w:val="a2"/>
        <w:keepNext w:val="0"/>
        <w:keepLines w:val="0"/>
        <w:widowControl w:val="0"/>
        <w:shd w:val="clear" w:color="auto" w:fill="auto"/>
        <w:bidi w:val="0"/>
        <w:spacing w:before="0" w:after="0" w:line="466" w:lineRule="exact"/>
        <w:ind w:left="0" w:right="0" w:firstLine="0"/>
        <w:jc w:val="both"/>
      </w:pPr>
      <w:r>
        <w:rPr>
          <w:spacing w:val="0"/>
          <w:w w:val="100"/>
          <w:position w:val="0"/>
        </w:rPr>
        <w:t>寨崖底煤矿建有</w:t>
      </w:r>
      <w:r>
        <w:rPr>
          <w:spacing w:val="0"/>
          <w:w w:val="100"/>
          <w:position w:val="0"/>
        </w:rPr>
        <w:t>35kV</w:t>
      </w:r>
      <w:r>
        <w:rPr>
          <w:spacing w:val="0"/>
          <w:w w:val="100"/>
          <w:position w:val="0"/>
        </w:rPr>
        <w:t>变电所一座，进线两回，一回引自金家庄煤矿</w:t>
      </w:r>
      <w:r>
        <w:rPr>
          <w:spacing w:val="0"/>
          <w:w w:val="100"/>
          <w:position w:val="0"/>
        </w:rPr>
        <w:t>35kV</w:t>
      </w:r>
      <w:r>
        <w:rPr>
          <w:spacing w:val="0"/>
          <w:w w:val="100"/>
          <w:position w:val="0"/>
        </w:rPr>
        <w:t>变电所，导线型号</w:t>
      </w:r>
      <w:r>
        <w:rPr>
          <w:spacing w:val="0"/>
          <w:w w:val="100"/>
          <w:position w:val="0"/>
        </w:rPr>
        <w:t>LGJ-150mm</w:t>
      </w:r>
      <w:r>
        <w:rPr>
          <w:spacing w:val="0"/>
          <w:w w:val="100"/>
          <w:position w:val="0"/>
          <w:sz w:val="13"/>
          <w:szCs w:val="13"/>
        </w:rPr>
        <w:t>2</w:t>
      </w:r>
      <w:r>
        <w:rPr>
          <w:spacing w:val="0"/>
          <w:w w:val="100"/>
          <w:position w:val="0"/>
        </w:rPr>
        <w:t>，线路长度</w:t>
      </w:r>
      <w:r>
        <w:rPr>
          <w:spacing w:val="0"/>
          <w:w w:val="100"/>
          <w:position w:val="0"/>
        </w:rPr>
        <w:t>6km</w:t>
      </w:r>
      <w:r>
        <w:rPr>
          <w:spacing w:val="0"/>
          <w:w w:val="100"/>
          <w:position w:val="0"/>
        </w:rPr>
        <w:t>；另一回 引自下寺头</w:t>
      </w:r>
      <w:r>
        <w:rPr>
          <w:spacing w:val="0"/>
          <w:w w:val="100"/>
          <w:position w:val="0"/>
        </w:rPr>
        <w:t>35kV</w:t>
      </w:r>
      <w:r>
        <w:rPr>
          <w:spacing w:val="0"/>
          <w:w w:val="100"/>
          <w:position w:val="0"/>
        </w:rPr>
        <w:t>变电所，导线型号</w:t>
      </w:r>
      <w:r>
        <w:rPr>
          <w:spacing w:val="0"/>
          <w:w w:val="100"/>
          <w:position w:val="0"/>
        </w:rPr>
        <w:t>LGJ-185mm</w:t>
      </w:r>
      <w:r>
        <w:rPr>
          <w:spacing w:val="0"/>
          <w:w w:val="100"/>
          <w:position w:val="0"/>
          <w:sz w:val="13"/>
          <w:szCs w:val="13"/>
        </w:rPr>
        <w:t>2</w:t>
      </w:r>
      <w:r>
        <w:rPr>
          <w:spacing w:val="0"/>
          <w:w w:val="100"/>
          <w:position w:val="0"/>
        </w:rPr>
        <w:t>，</w:t>
      </w:r>
      <w:r>
        <w:rPr>
          <w:color w:val="000000"/>
          <w:spacing w:val="0"/>
          <w:w w:val="100"/>
          <w:position w:val="0"/>
        </w:rPr>
        <w:t>线路长度</w:t>
      </w:r>
      <w:r>
        <w:rPr>
          <w:rFonts w:ascii="Times New Roman" w:eastAsia="Times New Roman" w:hAnsi="Times New Roman" w:cs="Times New Roman"/>
          <w:color w:val="000000"/>
          <w:spacing w:val="0"/>
          <w:w w:val="100"/>
          <w:position w:val="0"/>
        </w:rPr>
        <w:t>4km</w:t>
      </w:r>
      <w:r>
        <w:rPr>
          <w:color w:val="000000"/>
          <w:spacing w:val="0"/>
          <w:w w:val="100"/>
          <w:position w:val="0"/>
        </w:rPr>
        <w:t>。</w:t>
      </w:r>
    </w:p>
    <w:p>
      <w:pPr>
        <w:pStyle w:val="a2"/>
        <w:keepNext w:val="0"/>
        <w:keepLines w:val="0"/>
        <w:widowControl w:val="0"/>
        <w:shd w:val="clear" w:color="auto" w:fill="auto"/>
        <w:bidi w:val="0"/>
        <w:spacing w:before="0" w:after="0" w:line="466" w:lineRule="exact"/>
        <w:ind w:left="0" w:right="0" w:firstLine="0"/>
        <w:jc w:val="center"/>
      </w:pPr>
      <w:r>
        <w:rPr>
          <w:color w:val="000000"/>
          <w:spacing w:val="0"/>
          <w:w w:val="100"/>
          <w:position w:val="0"/>
        </w:rPr>
        <w:t>第二节地质特征</w:t>
      </w:r>
    </w:p>
    <w:p>
      <w:pPr>
        <w:pStyle w:val="a2"/>
        <w:keepNext w:val="0"/>
        <w:keepLines w:val="0"/>
        <w:widowControl w:val="0"/>
        <w:shd w:val="clear" w:color="auto" w:fill="auto"/>
        <w:bidi w:val="0"/>
        <w:spacing w:before="0" w:after="0" w:line="466" w:lineRule="exact"/>
        <w:ind w:left="0" w:right="0" w:firstLine="0"/>
        <w:jc w:val="both"/>
      </w:pPr>
      <w:r>
        <w:rPr>
          <w:color w:val="000000"/>
          <w:spacing w:val="0"/>
          <w:w w:val="100"/>
          <w:position w:val="0"/>
        </w:rPr>
        <w:t>一地层地质构造</w:t>
      </w:r>
    </w:p>
    <w:p>
      <w:pPr>
        <w:pStyle w:val="a2"/>
        <w:keepNext w:val="0"/>
        <w:keepLines w:val="0"/>
        <w:widowControl w:val="0"/>
        <w:numPr>
          <w:ilvl w:val="0"/>
          <w:numId w:val="2"/>
        </w:numPr>
        <w:shd w:val="clear" w:color="auto" w:fill="auto"/>
        <w:bidi w:val="0"/>
        <w:spacing w:before="0" w:after="0" w:line="466" w:lineRule="exact"/>
        <w:ind w:left="0" w:right="0" w:firstLine="140"/>
        <w:jc w:val="both"/>
      </w:pPr>
      <w:bookmarkStart w:id="2" w:name="bookmark2"/>
      <w:bookmarkEnd w:id="2"/>
      <w:r>
        <w:rPr>
          <w:color w:val="000000"/>
          <w:spacing w:val="0"/>
          <w:w w:val="100"/>
          <w:position w:val="0"/>
        </w:rPr>
        <w:t>地层</w:t>
      </w:r>
    </w:p>
    <w:p>
      <w:pPr>
        <w:pStyle w:val="a2"/>
        <w:keepNext w:val="0"/>
        <w:keepLines w:val="0"/>
        <w:widowControl w:val="0"/>
        <w:shd w:val="clear" w:color="auto" w:fill="auto"/>
        <w:bidi w:val="0"/>
        <w:spacing w:before="0" w:after="80" w:line="466" w:lineRule="exact"/>
        <w:ind w:left="0" w:right="0" w:firstLine="540"/>
        <w:jc w:val="both"/>
      </w:pPr>
      <w:r>
        <w:rPr>
          <w:spacing w:val="0"/>
          <w:w w:val="100"/>
          <w:position w:val="0"/>
        </w:rPr>
        <w:t>赋存地层由老到新分述如下：</w:t>
      </w:r>
    </w:p>
    <w:p>
      <w:pPr>
        <w:pStyle w:val="a2"/>
        <w:keepNext w:val="0"/>
        <w:keepLines w:val="0"/>
        <w:widowControl w:val="0"/>
        <w:shd w:val="clear" w:color="auto" w:fill="auto"/>
        <w:bidi w:val="0"/>
        <w:spacing w:before="0" w:after="0" w:line="240" w:lineRule="auto"/>
        <w:ind w:left="0" w:right="0" w:firstLine="540"/>
        <w:jc w:val="both"/>
      </w:pPr>
      <w:r>
        <w:rPr>
          <w:spacing w:val="0"/>
          <w:w w:val="100"/>
          <w:position w:val="0"/>
        </w:rPr>
        <w:t>⑴奥陶系中统峰峰组</w:t>
      </w:r>
      <w:r>
        <w:rPr>
          <w:spacing w:val="0"/>
          <w:w w:val="100"/>
          <w:position w:val="0"/>
        </w:rPr>
        <w:t>(Of)</w:t>
      </w:r>
    </w:p>
    <w:p>
      <w:pPr>
        <w:pStyle w:val="31"/>
        <w:keepNext w:val="0"/>
        <w:keepLines w:val="0"/>
        <w:widowControl w:val="0"/>
        <w:shd w:val="clear" w:color="auto" w:fill="auto"/>
        <w:bidi w:val="0"/>
        <w:spacing w:before="0" w:after="0" w:line="240" w:lineRule="auto"/>
        <w:ind w:right="0" w:firstLine="0"/>
        <w:jc w:val="both"/>
      </w:pPr>
      <w:r>
        <w:rPr>
          <w:spacing w:val="0"/>
          <w:w w:val="100"/>
          <w:position w:val="0"/>
        </w:rPr>
        <w:t>2</w:t>
      </w:r>
    </w:p>
    <w:p>
      <w:pPr>
        <w:pStyle w:val="a2"/>
        <w:keepNext w:val="0"/>
        <w:keepLines w:val="0"/>
        <w:widowControl w:val="0"/>
        <w:shd w:val="clear" w:color="auto" w:fill="auto"/>
        <w:bidi w:val="0"/>
        <w:spacing w:before="0" w:after="0" w:line="478" w:lineRule="exact"/>
        <w:ind w:left="0" w:right="0" w:firstLine="540"/>
        <w:jc w:val="both"/>
      </w:pPr>
      <w:r>
        <w:rPr>
          <w:spacing w:val="0"/>
          <w:w w:val="100"/>
          <w:position w:val="0"/>
        </w:rPr>
        <w:t>与下伏上马家沟组地层整合接触。本组厚</w:t>
      </w:r>
      <w:r>
        <w:rPr>
          <w:spacing w:val="0"/>
          <w:w w:val="100"/>
          <w:position w:val="0"/>
        </w:rPr>
        <w:t>103.54</w:t>
      </w:r>
      <w:r>
        <w:rPr>
          <w:rFonts w:ascii="Arial Unicode MS" w:eastAsia="Arial Unicode MS" w:hAnsi="Arial Unicode MS" w:cs="Arial Unicode MS"/>
          <w:spacing w:val="0"/>
          <w:w w:val="100"/>
          <w:position w:val="0"/>
          <w:sz w:val="22"/>
          <w:szCs w:val="22"/>
        </w:rPr>
        <w:t>〜</w:t>
      </w:r>
      <w:r>
        <w:rPr>
          <w:spacing w:val="0"/>
          <w:w w:val="100"/>
          <w:position w:val="0"/>
        </w:rPr>
        <w:t>147.41m，</w:t>
      </w:r>
      <w:r>
        <w:rPr>
          <w:spacing w:val="0"/>
          <w:w w:val="100"/>
          <w:position w:val="0"/>
        </w:rPr>
        <w:t>平均</w:t>
      </w:r>
      <w:r>
        <w:rPr>
          <w:spacing w:val="0"/>
          <w:w w:val="100"/>
          <w:position w:val="0"/>
        </w:rPr>
        <w:t>124.16m。</w:t>
      </w:r>
      <w:r>
        <w:rPr>
          <w:spacing w:val="0"/>
          <w:w w:val="100"/>
          <w:position w:val="0"/>
        </w:rPr>
        <w:t>下、中部多为浅灰、灰白色角砾状泥灰岩、砾 屑灰岩，夹薄层白云质灰岩及铝土质泥岩。上部为中厚至巨厚层状灰白、深灰色微晶石灰岩，薄层状黑灰色泥灰岩，白云质灰岩 及角砾状砾屑泥灰岩。</w:t>
      </w:r>
    </w:p>
    <w:p>
      <w:pPr>
        <w:pStyle w:val="a2"/>
        <w:keepNext w:val="0"/>
        <w:keepLines w:val="0"/>
        <w:widowControl w:val="0"/>
        <w:shd w:val="clear" w:color="auto" w:fill="auto"/>
        <w:bidi w:val="0"/>
        <w:spacing w:before="0" w:after="0" w:line="478" w:lineRule="exact"/>
        <w:ind w:left="0" w:right="0" w:firstLine="540"/>
        <w:jc w:val="both"/>
      </w:pPr>
      <w:r>
        <w:rPr>
          <w:spacing w:val="0"/>
          <w:w w:val="100"/>
          <w:position w:val="0"/>
        </w:rPr>
        <w:t>⑵ 石炭系中统本溪组</w:t>
      </w:r>
      <w:r>
        <w:rPr>
          <w:spacing w:val="0"/>
          <w:w w:val="100"/>
          <w:position w:val="0"/>
        </w:rPr>
        <w:t>(C</w:t>
      </w:r>
      <w:r>
        <w:rPr>
          <w:spacing w:val="0"/>
          <w:w w:val="100"/>
          <w:position w:val="0"/>
          <w:vertAlign w:val="subscript"/>
        </w:rPr>
        <w:t>2</w:t>
      </w:r>
      <w:r>
        <w:rPr>
          <w:spacing w:val="0"/>
          <w:w w:val="100"/>
          <w:position w:val="0"/>
        </w:rPr>
        <w:t>b)</w:t>
      </w:r>
    </w:p>
    <w:p>
      <w:pPr>
        <w:pStyle w:val="a2"/>
        <w:keepNext w:val="0"/>
        <w:keepLines w:val="0"/>
        <w:widowControl w:val="0"/>
        <w:shd w:val="clear" w:color="auto" w:fill="auto"/>
        <w:bidi w:val="0"/>
        <w:spacing w:before="0" w:after="80" w:line="478" w:lineRule="exact"/>
        <w:ind w:left="0" w:right="0" w:firstLine="540"/>
        <w:jc w:val="both"/>
      </w:pPr>
      <w:r>
        <w:rPr>
          <w:spacing w:val="0"/>
          <w:w w:val="100"/>
          <w:position w:val="0"/>
        </w:rPr>
        <w:t>与下伏奥陶系中统峰峰组呈平行不整合接触。本组厚</w:t>
      </w:r>
      <w:r>
        <w:rPr>
          <w:spacing w:val="0"/>
          <w:w w:val="100"/>
          <w:position w:val="0"/>
        </w:rPr>
        <w:t>16.29</w:t>
      </w:r>
      <w:r>
        <w:rPr>
          <w:rFonts w:ascii="Arial Unicode MS" w:eastAsia="Arial Unicode MS" w:hAnsi="Arial Unicode MS" w:cs="Arial Unicode MS"/>
          <w:spacing w:val="0"/>
          <w:w w:val="100"/>
          <w:position w:val="0"/>
          <w:sz w:val="22"/>
          <w:szCs w:val="22"/>
        </w:rPr>
        <w:t>〜</w:t>
      </w:r>
      <w:r>
        <w:rPr>
          <w:spacing w:val="0"/>
          <w:w w:val="100"/>
          <w:position w:val="0"/>
        </w:rPr>
        <w:t>39.00m</w:t>
      </w:r>
      <w:r>
        <w:rPr>
          <w:spacing w:val="0"/>
          <w:w w:val="100"/>
          <w:position w:val="0"/>
        </w:rPr>
        <w:t>，平均</w:t>
      </w:r>
      <w:r>
        <w:rPr>
          <w:spacing w:val="0"/>
          <w:w w:val="100"/>
          <w:position w:val="0"/>
        </w:rPr>
        <w:t>27.37m，</w:t>
      </w:r>
      <w:r>
        <w:rPr>
          <w:spacing w:val="0"/>
          <w:w w:val="100"/>
          <w:position w:val="0"/>
        </w:rPr>
        <w:t>下部为铁铝岩段，厚0</w:t>
      </w:r>
      <w:r>
        <w:rPr>
          <w:rFonts w:ascii="Arial Unicode MS" w:eastAsia="Arial Unicode MS" w:hAnsi="Arial Unicode MS" w:cs="Arial Unicode MS"/>
          <w:spacing w:val="0"/>
          <w:w w:val="100"/>
          <w:position w:val="0"/>
          <w:sz w:val="22"/>
          <w:szCs w:val="22"/>
        </w:rPr>
        <w:t>〜</w:t>
      </w:r>
      <w:r>
        <w:rPr>
          <w:spacing w:val="0"/>
          <w:w w:val="100"/>
          <w:position w:val="0"/>
        </w:rPr>
        <w:t>16.29m</w:t>
      </w:r>
      <w:r>
        <w:rPr>
          <w:spacing w:val="0"/>
          <w:w w:val="100"/>
          <w:position w:val="0"/>
        </w:rPr>
        <w:t xml:space="preserve">，平均 </w:t>
      </w:r>
      <w:r>
        <w:rPr>
          <w:spacing w:val="0"/>
          <w:w w:val="100"/>
          <w:position w:val="0"/>
        </w:rPr>
        <w:t>4.29m</w:t>
      </w:r>
      <w:r>
        <w:rPr>
          <w:spacing w:val="0"/>
          <w:w w:val="100"/>
          <w:position w:val="0"/>
        </w:rPr>
        <w:t>，其底部为山西式铁矿，呈透镜状、鸡窝状，厚0</w:t>
      </w:r>
      <w:r>
        <w:rPr>
          <w:rFonts w:ascii="Arial Unicode MS" w:eastAsia="Arial Unicode MS" w:hAnsi="Arial Unicode MS" w:cs="Arial Unicode MS"/>
          <w:spacing w:val="0"/>
          <w:w w:val="100"/>
          <w:position w:val="0"/>
          <w:sz w:val="22"/>
          <w:szCs w:val="22"/>
        </w:rPr>
        <w:t>〜</w:t>
      </w:r>
      <w:r>
        <w:rPr>
          <w:spacing w:val="0"/>
          <w:w w:val="100"/>
          <w:position w:val="0"/>
        </w:rPr>
        <w:t>4.90m，</w:t>
      </w:r>
      <w:r>
        <w:rPr>
          <w:spacing w:val="0"/>
          <w:w w:val="100"/>
          <w:position w:val="0"/>
        </w:rPr>
        <w:t>一般为</w:t>
      </w:r>
      <w:r>
        <w:rPr>
          <w:spacing w:val="0"/>
          <w:w w:val="100"/>
          <w:position w:val="0"/>
        </w:rPr>
        <w:t>1m。</w:t>
      </w:r>
      <w:r>
        <w:rPr>
          <w:spacing w:val="0"/>
          <w:w w:val="100"/>
          <w:position w:val="0"/>
        </w:rPr>
        <w:t>上部为灰黑色泥岩、砂质泥岩、深灰色铝质泥岩、 粉砂岩夹灰色中至细粒石英砂岩、灰岩及煤层。</w:t>
      </w:r>
    </w:p>
    <w:p>
      <w:pPr>
        <w:pStyle w:val="a2"/>
        <w:keepNext w:val="0"/>
        <w:keepLines w:val="0"/>
        <w:widowControl w:val="0"/>
        <w:shd w:val="clear" w:color="auto" w:fill="auto"/>
        <w:bidi w:val="0"/>
        <w:spacing w:before="0" w:after="0" w:line="240" w:lineRule="auto"/>
        <w:ind w:left="0" w:right="0" w:firstLine="680"/>
        <w:jc w:val="both"/>
      </w:pPr>
      <w:r>
        <w:rPr>
          <w:spacing w:val="0"/>
          <w:w w:val="100"/>
          <w:position w:val="0"/>
        </w:rPr>
        <w:t>⑶石炭系上统太原组</w:t>
      </w:r>
      <w:r>
        <w:rPr>
          <w:spacing w:val="0"/>
          <w:w w:val="100"/>
          <w:position w:val="0"/>
        </w:rPr>
        <w:t>(Ct)</w:t>
      </w:r>
    </w:p>
    <w:p>
      <w:pPr>
        <w:pStyle w:val="31"/>
        <w:keepNext w:val="0"/>
        <w:keepLines w:val="0"/>
        <w:widowControl w:val="0"/>
        <w:shd w:val="clear" w:color="auto" w:fill="auto"/>
        <w:bidi w:val="0"/>
        <w:spacing w:before="0" w:after="0" w:line="240" w:lineRule="auto"/>
        <w:ind w:right="0" w:firstLine="0"/>
        <w:jc w:val="both"/>
      </w:pPr>
      <w:r>
        <w:rPr>
          <w:spacing w:val="0"/>
          <w:w w:val="100"/>
          <w:position w:val="0"/>
        </w:rPr>
        <w:t>3</w:t>
      </w:r>
    </w:p>
    <w:p>
      <w:pPr>
        <w:pStyle w:val="a2"/>
        <w:keepNext w:val="0"/>
        <w:keepLines w:val="0"/>
        <w:widowControl w:val="0"/>
        <w:shd w:val="clear" w:color="auto" w:fill="auto"/>
        <w:bidi w:val="0"/>
        <w:spacing w:before="0" w:after="0" w:line="362" w:lineRule="exact"/>
        <w:ind w:left="0" w:right="0" w:firstLine="540"/>
        <w:jc w:val="both"/>
      </w:pPr>
      <w:r>
        <w:rPr>
          <w:spacing w:val="0"/>
          <w:w w:val="100"/>
          <w:position w:val="0"/>
        </w:rPr>
        <w:t>本组以</w:t>
      </w:r>
      <w:r>
        <w:rPr>
          <w:spacing w:val="0"/>
          <w:w w:val="100"/>
          <w:position w:val="0"/>
        </w:rPr>
        <w:t>k</w:t>
      </w:r>
      <w:r>
        <w:rPr>
          <w:spacing w:val="0"/>
          <w:w w:val="100"/>
          <w:position w:val="0"/>
        </w:rPr>
        <w:t>砂岩与下伏本溪组整合接触，为本区主要含煤地层之一。厚</w:t>
      </w:r>
      <w:r>
        <w:rPr>
          <w:spacing w:val="0"/>
          <w:w w:val="100"/>
          <w:position w:val="0"/>
        </w:rPr>
        <w:t>81.02</w:t>
      </w:r>
      <w:r>
        <w:rPr>
          <w:rFonts w:ascii="Arial Unicode MS" w:eastAsia="Arial Unicode MS" w:hAnsi="Arial Unicode MS" w:cs="Arial Unicode MS"/>
          <w:spacing w:val="0"/>
          <w:w w:val="100"/>
          <w:position w:val="0"/>
          <w:sz w:val="22"/>
          <w:szCs w:val="22"/>
        </w:rPr>
        <w:t>〜</w:t>
      </w:r>
      <w:r>
        <w:rPr>
          <w:spacing w:val="0"/>
          <w:w w:val="100"/>
          <w:position w:val="0"/>
        </w:rPr>
        <w:t>116.76m，</w:t>
      </w:r>
      <w:r>
        <w:rPr>
          <w:spacing w:val="0"/>
          <w:w w:val="100"/>
          <w:position w:val="0"/>
        </w:rPr>
        <w:t>平均</w:t>
      </w:r>
      <w:r>
        <w:rPr>
          <w:spacing w:val="0"/>
          <w:w w:val="100"/>
          <w:position w:val="0"/>
        </w:rPr>
        <w:t>96.22m</w:t>
      </w:r>
      <w:r>
        <w:rPr>
          <w:spacing w:val="0"/>
          <w:w w:val="100"/>
          <w:position w:val="0"/>
        </w:rPr>
        <w:t>。本组可明显分为三段。</w:t>
      </w:r>
    </w:p>
    <w:p>
      <w:pPr>
        <w:pStyle w:val="a2"/>
        <w:keepNext w:val="0"/>
        <w:keepLines w:val="0"/>
        <w:widowControl w:val="0"/>
        <w:shd w:val="clear" w:color="auto" w:fill="auto"/>
        <w:bidi w:val="0"/>
        <w:spacing w:before="0" w:after="0" w:line="362" w:lineRule="exact"/>
        <w:ind w:left="0" w:right="0" w:firstLine="540"/>
        <w:jc w:val="both"/>
      </w:pPr>
      <w:r>
        <w:rPr>
          <w:spacing w:val="0"/>
          <w:w w:val="100"/>
          <w:position w:val="0"/>
        </w:rPr>
        <w:t>下段</w:t>
      </w:r>
      <w:r>
        <w:rPr>
          <w:spacing w:val="0"/>
          <w:w w:val="100"/>
          <w:position w:val="0"/>
        </w:rPr>
        <w:t>(Ct</w:t>
      </w:r>
      <w:r>
        <w:rPr>
          <w:spacing w:val="0"/>
          <w:w w:val="100"/>
          <w:position w:val="0"/>
          <w:sz w:val="13"/>
          <w:szCs w:val="13"/>
        </w:rPr>
        <w:t>；</w:t>
      </w:r>
      <w:r>
        <w:rPr>
          <w:spacing w:val="0"/>
          <w:w w:val="100"/>
          <w:position w:val="0"/>
        </w:rPr>
        <w:t>)：</w:t>
      </w:r>
      <w:r>
        <w:rPr>
          <w:spacing w:val="0"/>
          <w:w w:val="100"/>
          <w:position w:val="0"/>
        </w:rPr>
        <w:t>由</w:t>
      </w:r>
      <w:r>
        <w:rPr>
          <w:spacing w:val="0"/>
          <w:w w:val="100"/>
          <w:position w:val="0"/>
        </w:rPr>
        <w:t>k</w:t>
      </w:r>
      <w:r>
        <w:rPr>
          <w:spacing w:val="0"/>
          <w:w w:val="100"/>
          <w:position w:val="0"/>
        </w:rPr>
        <w:t>砂岩底至</w:t>
      </w:r>
      <w:r>
        <w:rPr>
          <w:spacing w:val="0"/>
          <w:w w:val="100"/>
          <w:position w:val="0"/>
        </w:rPr>
        <w:t>8</w:t>
      </w:r>
      <w:r>
        <w:rPr>
          <w:spacing w:val="0"/>
          <w:w w:val="100"/>
          <w:position w:val="0"/>
          <w:sz w:val="13"/>
          <w:szCs w:val="13"/>
        </w:rPr>
        <w:t>-1</w:t>
      </w:r>
      <w:r>
        <w:rPr>
          <w:spacing w:val="0"/>
          <w:w w:val="100"/>
          <w:position w:val="0"/>
        </w:rPr>
        <w:t>号煤层顶。为一套灰、灰黑色细砂岩、粉砂岩、砂质泥岩、泥岩组成的碎屑岩段，含煤3</w:t>
      </w:r>
      <w:r>
        <w:rPr>
          <w:rFonts w:ascii="Arial Unicode MS" w:eastAsia="Arial Unicode MS" w:hAnsi="Arial Unicode MS" w:cs="Arial Unicode MS"/>
          <w:spacing w:val="0"/>
          <w:w w:val="100"/>
          <w:position w:val="0"/>
          <w:sz w:val="22"/>
          <w:szCs w:val="22"/>
        </w:rPr>
        <w:t>〜</w:t>
      </w:r>
      <w:r>
        <w:rPr>
          <w:spacing w:val="0"/>
          <w:w w:val="100"/>
          <w:position w:val="0"/>
        </w:rPr>
        <w:t>5 层，其中8</w:t>
      </w:r>
      <w:r>
        <w:rPr>
          <w:spacing w:val="0"/>
          <w:w w:val="100"/>
          <w:position w:val="0"/>
          <w:sz w:val="13"/>
          <w:szCs w:val="13"/>
        </w:rPr>
        <w:t>-3</w:t>
      </w:r>
      <w:r>
        <w:rPr>
          <w:spacing w:val="0"/>
          <w:w w:val="100"/>
          <w:position w:val="0"/>
        </w:rPr>
        <w:t>、8</w:t>
      </w:r>
      <w:r>
        <w:rPr>
          <w:spacing w:val="0"/>
          <w:w w:val="100"/>
          <w:position w:val="0"/>
          <w:sz w:val="13"/>
          <w:szCs w:val="13"/>
        </w:rPr>
        <w:t>-2</w:t>
      </w:r>
      <w:r>
        <w:rPr>
          <w:spacing w:val="0"/>
          <w:w w:val="100"/>
          <w:position w:val="0"/>
        </w:rPr>
        <w:t>、9号煤层为全区稳定可采的主要煤层。</w:t>
      </w:r>
    </w:p>
    <w:p>
      <w:pPr>
        <w:pStyle w:val="a2"/>
        <w:keepNext w:val="0"/>
        <w:keepLines w:val="0"/>
        <w:widowControl w:val="0"/>
        <w:shd w:val="clear" w:color="auto" w:fill="auto"/>
        <w:bidi w:val="0"/>
        <w:spacing w:before="0" w:after="0" w:line="362" w:lineRule="exact"/>
        <w:ind w:left="0" w:right="0" w:firstLine="540"/>
        <w:jc w:val="both"/>
      </w:pPr>
      <w:r>
        <w:rPr>
          <w:spacing w:val="0"/>
          <w:w w:val="100"/>
          <w:position w:val="0"/>
        </w:rPr>
        <w:t>中段</w:t>
      </w:r>
      <w:r>
        <w:rPr>
          <w:spacing w:val="0"/>
          <w:w w:val="100"/>
          <w:position w:val="0"/>
        </w:rPr>
        <w:t>(Ct</w:t>
      </w:r>
      <w:r>
        <w:rPr>
          <w:spacing w:val="0"/>
          <w:w w:val="100"/>
          <w:position w:val="0"/>
          <w:sz w:val="13"/>
          <w:szCs w:val="13"/>
        </w:rPr>
        <w:t>2</w:t>
      </w:r>
      <w:r>
        <w:rPr>
          <w:spacing w:val="0"/>
          <w:w w:val="100"/>
          <w:position w:val="0"/>
        </w:rPr>
        <w:t>)：</w:t>
      </w:r>
      <w:r>
        <w:rPr>
          <w:spacing w:val="0"/>
          <w:w w:val="100"/>
          <w:position w:val="0"/>
        </w:rPr>
        <w:t>由</w:t>
      </w:r>
      <w:r>
        <w:rPr>
          <w:spacing w:val="0"/>
          <w:w w:val="100"/>
          <w:position w:val="0"/>
        </w:rPr>
        <w:t>L</w:t>
      </w:r>
      <w:r>
        <w:rPr>
          <w:spacing w:val="0"/>
          <w:w w:val="100"/>
          <w:position w:val="0"/>
        </w:rPr>
        <w:t>灰岩底至</w:t>
      </w:r>
      <w:r>
        <w:rPr>
          <w:spacing w:val="0"/>
          <w:w w:val="100"/>
          <w:position w:val="0"/>
        </w:rPr>
        <w:t>L</w:t>
      </w:r>
      <w:r>
        <w:rPr>
          <w:spacing w:val="0"/>
          <w:w w:val="100"/>
          <w:position w:val="0"/>
        </w:rPr>
        <w:t>灰岩顶。岩性由3</w:t>
      </w:r>
      <w:r>
        <w:rPr>
          <w:rFonts w:ascii="Arial Unicode MS" w:eastAsia="Arial Unicode MS" w:hAnsi="Arial Unicode MS" w:cs="Arial Unicode MS"/>
          <w:spacing w:val="0"/>
          <w:w w:val="100"/>
          <w:position w:val="0"/>
          <w:sz w:val="22"/>
          <w:szCs w:val="22"/>
        </w:rPr>
        <w:t>〜</w:t>
      </w:r>
      <w:r>
        <w:rPr>
          <w:spacing w:val="0"/>
          <w:w w:val="100"/>
          <w:position w:val="0"/>
        </w:rPr>
        <w:t>5层灰色泥晶(微晶)石灰岩夹深灰至灰黑色泥岩、砂质泥岩和少量薄层粉 砂至细砂岩和煤层组成。本段所含的煤层均为零星可采或不可采煤层。</w:t>
      </w:r>
    </w:p>
    <w:p>
      <w:pPr>
        <w:pStyle w:val="a2"/>
        <w:keepNext w:val="0"/>
        <w:keepLines w:val="0"/>
        <w:widowControl w:val="0"/>
        <w:shd w:val="clear" w:color="auto" w:fill="auto"/>
        <w:bidi w:val="0"/>
        <w:spacing w:before="0" w:after="40" w:line="240" w:lineRule="auto"/>
        <w:ind w:left="0" w:right="0" w:firstLine="680"/>
        <w:jc w:val="both"/>
        <w:sectPr>
          <w:pgSz w:w="17861" w:h="25258"/>
          <w:pgMar w:top="1240" w:right="1022" w:bottom="2060" w:left="1397" w:header="0" w:footer="3" w:gutter="0"/>
          <w:cols w:space="720"/>
          <w:noEndnote/>
          <w:rtlGutter w:val="0"/>
          <w:docGrid w:linePitch="360"/>
        </w:sectPr>
      </w:pPr>
      <w:r>
        <w:rPr>
          <w:spacing w:val="0"/>
          <w:w w:val="100"/>
          <w:position w:val="0"/>
        </w:rPr>
        <w:t>上段</w:t>
      </w:r>
      <w:r>
        <w:rPr>
          <w:spacing w:val="0"/>
          <w:w w:val="100"/>
          <w:position w:val="0"/>
        </w:rPr>
        <w:t>(Ct</w:t>
      </w:r>
      <w:r>
        <w:rPr>
          <w:spacing w:val="0"/>
          <w:w w:val="100"/>
          <w:position w:val="0"/>
          <w:sz w:val="13"/>
          <w:szCs w:val="13"/>
        </w:rPr>
        <w:t>3</w:t>
      </w:r>
      <w:r>
        <w:rPr>
          <w:spacing w:val="0"/>
          <w:w w:val="100"/>
          <w:position w:val="0"/>
        </w:rPr>
        <w:t>)：</w:t>
      </w:r>
      <w:r>
        <w:rPr>
          <w:spacing w:val="0"/>
          <w:w w:val="100"/>
          <w:position w:val="0"/>
        </w:rPr>
        <w:t>由</w:t>
      </w:r>
      <w:r>
        <w:rPr>
          <w:spacing w:val="0"/>
          <w:w w:val="100"/>
          <w:position w:val="0"/>
        </w:rPr>
        <w:t>L</w:t>
      </w:r>
      <w:r>
        <w:rPr>
          <w:spacing w:val="0"/>
          <w:w w:val="100"/>
          <w:position w:val="0"/>
        </w:rPr>
        <w:t>灰岩顶界至</w:t>
      </w:r>
      <w:r>
        <w:rPr>
          <w:spacing w:val="0"/>
          <w:w w:val="100"/>
          <w:position w:val="0"/>
        </w:rPr>
        <w:t>K</w:t>
      </w:r>
      <w:r>
        <w:rPr>
          <w:spacing w:val="0"/>
          <w:w w:val="100"/>
          <w:position w:val="0"/>
        </w:rPr>
        <w:t>砂岩底，为深灰至黑灰色泥岩、砂质泥岩、粉砂岩，夹薄层铝质泥岩和不稳定的</w:t>
      </w:r>
      <w:r>
        <w:rPr>
          <w:spacing w:val="0"/>
          <w:w w:val="100"/>
          <w:position w:val="0"/>
        </w:rPr>
        <w:t>6</w:t>
      </w:r>
      <w:r>
        <w:rPr>
          <w:spacing w:val="0"/>
          <w:w w:val="100"/>
          <w:position w:val="0"/>
          <w:sz w:val="13"/>
          <w:szCs w:val="13"/>
        </w:rPr>
        <w:t>-1</w:t>
      </w:r>
      <w:r>
        <w:rPr>
          <w:spacing w:val="0"/>
          <w:w w:val="100"/>
          <w:position w:val="0"/>
        </w:rPr>
        <w:t xml:space="preserve">号薄煤 </w:t>
      </w:r>
      <w:r>
        <w:rPr>
          <w:spacing w:val="0"/>
          <w:w w:val="100"/>
          <w:position w:val="0"/>
        </w:rPr>
        <w:t>层。</w:t>
      </w:r>
    </w:p>
    <w:p>
      <w:pPr>
        <w:pStyle w:val="a2"/>
        <w:keepNext w:val="0"/>
        <w:keepLines w:val="0"/>
        <w:widowControl w:val="0"/>
        <w:shd w:val="clear" w:color="auto" w:fill="auto"/>
        <w:bidi w:val="0"/>
        <w:spacing w:before="0" w:after="0" w:line="367" w:lineRule="exact"/>
        <w:ind w:left="0" w:right="0" w:firstLine="700"/>
        <w:jc w:val="left"/>
      </w:pPr>
      <w:r>
        <w:rPr>
          <w:spacing w:val="0"/>
          <w:w w:val="100"/>
          <w:position w:val="0"/>
        </w:rPr>
        <w:t>⑷二叠系下统山西组</w:t>
      </w:r>
      <w:r>
        <w:rPr>
          <w:spacing w:val="0"/>
          <w:w w:val="100"/>
          <w:position w:val="0"/>
        </w:rPr>
        <w:t>(Ps)</w:t>
      </w:r>
    </w:p>
    <w:p>
      <w:pPr>
        <w:pStyle w:val="a2"/>
        <w:keepNext w:val="0"/>
        <w:keepLines w:val="0"/>
        <w:widowControl w:val="0"/>
        <w:shd w:val="clear" w:color="auto" w:fill="auto"/>
        <w:bidi w:val="0"/>
        <w:spacing w:before="0" w:after="0" w:line="367" w:lineRule="exact"/>
        <w:ind w:left="0" w:right="0" w:firstLine="540"/>
        <w:jc w:val="both"/>
      </w:pPr>
      <w:r>
        <w:rPr>
          <w:spacing w:val="0"/>
          <w:w w:val="100"/>
          <w:position w:val="0"/>
        </w:rPr>
        <w:t>底部以</w:t>
      </w:r>
      <w:r>
        <w:rPr>
          <w:spacing w:val="0"/>
          <w:w w:val="100"/>
          <w:position w:val="0"/>
        </w:rPr>
        <w:t>K</w:t>
      </w:r>
      <w:r>
        <w:rPr>
          <w:spacing w:val="0"/>
          <w:w w:val="100"/>
          <w:position w:val="0"/>
        </w:rPr>
        <w:t>砂岩与下伏地层呈整合接触。为井田内另一主要含煤地层。全组厚</w:t>
      </w:r>
      <w:r>
        <w:rPr>
          <w:spacing w:val="0"/>
          <w:w w:val="100"/>
          <w:position w:val="0"/>
        </w:rPr>
        <w:t>42.89</w:t>
      </w:r>
      <w:r>
        <w:rPr>
          <w:rFonts w:ascii="Arial Unicode MS" w:eastAsia="Arial Unicode MS" w:hAnsi="Arial Unicode MS" w:cs="Arial Unicode MS"/>
          <w:spacing w:val="0"/>
          <w:w w:val="100"/>
          <w:position w:val="0"/>
          <w:sz w:val="22"/>
          <w:szCs w:val="22"/>
        </w:rPr>
        <w:t>〜</w:t>
      </w:r>
      <w:r>
        <w:rPr>
          <w:spacing w:val="0"/>
          <w:w w:val="100"/>
          <w:position w:val="0"/>
        </w:rPr>
        <w:t>79.92m</w:t>
      </w:r>
      <w:r>
        <w:rPr>
          <w:spacing w:val="0"/>
          <w:w w:val="100"/>
          <w:position w:val="0"/>
        </w:rPr>
        <w:t>，平均厚</w:t>
      </w:r>
      <w:r>
        <w:rPr>
          <w:spacing w:val="0"/>
          <w:w w:val="100"/>
          <w:position w:val="0"/>
        </w:rPr>
        <w:t>60.80m</w:t>
      </w:r>
      <w:r>
        <w:rPr>
          <w:spacing w:val="0"/>
          <w:w w:val="100"/>
          <w:position w:val="0"/>
        </w:rPr>
        <w:t>。岩性为深灰至 灰黑色泥岩、</w:t>
      </w:r>
      <w:r>
        <w:rPr>
          <w:spacing w:val="0"/>
          <w:w w:val="100"/>
          <w:position w:val="0"/>
          <w:sz w:val="22"/>
          <w:szCs w:val="22"/>
          <w:vertAlign w:val="superscript"/>
        </w:rPr>
        <w:t>3</w:t>
      </w:r>
      <w:r>
        <w:rPr>
          <w:spacing w:val="0"/>
          <w:w w:val="100"/>
          <w:position w:val="0"/>
        </w:rPr>
        <w:t>砂质泥岩、粉砂岩、中至细粒砂岩，含煤3</w:t>
      </w:r>
      <w:r>
        <w:rPr>
          <w:rFonts w:ascii="Arial Unicode MS" w:eastAsia="Arial Unicode MS" w:hAnsi="Arial Unicode MS" w:cs="Arial Unicode MS"/>
          <w:spacing w:val="0"/>
          <w:w w:val="100"/>
          <w:position w:val="0"/>
          <w:sz w:val="22"/>
          <w:szCs w:val="22"/>
        </w:rPr>
        <w:t>〜</w:t>
      </w:r>
      <w:r>
        <w:rPr>
          <w:spacing w:val="0"/>
          <w:w w:val="100"/>
          <w:position w:val="0"/>
        </w:rPr>
        <w:t>5层，所含的煤层均为零星可采或不可采煤层。</w:t>
      </w:r>
    </w:p>
    <w:p>
      <w:pPr>
        <w:pStyle w:val="a2"/>
        <w:keepNext w:val="0"/>
        <w:keepLines w:val="0"/>
        <w:widowControl w:val="0"/>
        <w:shd w:val="clear" w:color="auto" w:fill="auto"/>
        <w:bidi w:val="0"/>
        <w:spacing w:before="0" w:after="0" w:line="367" w:lineRule="exact"/>
        <w:ind w:left="0" w:right="0" w:firstLine="540"/>
        <w:jc w:val="both"/>
      </w:pPr>
      <w:r>
        <w:rPr>
          <w:spacing w:val="0"/>
          <w:w w:val="100"/>
          <w:position w:val="0"/>
        </w:rPr>
        <w:t>⑸ 二叠系下统下石盒子组</w:t>
      </w:r>
      <w:r>
        <w:rPr>
          <w:spacing w:val="0"/>
          <w:w w:val="100"/>
          <w:position w:val="0"/>
        </w:rPr>
        <w:t>(Px)</w:t>
      </w:r>
    </w:p>
    <w:p>
      <w:pPr>
        <w:pStyle w:val="a2"/>
        <w:keepNext w:val="0"/>
        <w:keepLines w:val="0"/>
        <w:widowControl w:val="0"/>
        <w:shd w:val="clear" w:color="auto" w:fill="auto"/>
        <w:bidi w:val="0"/>
        <w:spacing w:before="0" w:after="0" w:line="367" w:lineRule="exact"/>
        <w:ind w:left="0" w:right="0" w:firstLine="540"/>
        <w:jc w:val="left"/>
      </w:pPr>
      <w:r>
        <w:rPr>
          <w:spacing w:val="0"/>
          <w:w w:val="100"/>
          <w:position w:val="0"/>
        </w:rPr>
        <w:t>与下伏地层呈整合接触。本组厚度</w:t>
      </w:r>
      <w:r>
        <w:rPr>
          <w:spacing w:val="0"/>
          <w:w w:val="100"/>
          <w:position w:val="0"/>
        </w:rPr>
        <w:t>66.12</w:t>
      </w:r>
      <w:r>
        <w:rPr>
          <w:rFonts w:ascii="Arial Unicode MS" w:eastAsia="Arial Unicode MS" w:hAnsi="Arial Unicode MS" w:cs="Arial Unicode MS"/>
          <w:spacing w:val="0"/>
          <w:w w:val="100"/>
          <w:position w:val="0"/>
          <w:sz w:val="22"/>
          <w:szCs w:val="22"/>
        </w:rPr>
        <w:t>〜</w:t>
      </w:r>
      <w:r>
        <w:rPr>
          <w:spacing w:val="0"/>
          <w:w w:val="100"/>
          <w:position w:val="0"/>
        </w:rPr>
        <w:t>102.18m,</w:t>
      </w:r>
      <w:r>
        <w:rPr>
          <w:spacing w:val="0"/>
          <w:w w:val="100"/>
          <w:position w:val="0"/>
        </w:rPr>
        <w:t>平均</w:t>
      </w:r>
      <w:r>
        <w:rPr>
          <w:spacing w:val="0"/>
          <w:w w:val="100"/>
          <w:position w:val="0"/>
        </w:rPr>
        <w:t>81.93m</w:t>
      </w:r>
      <w:r>
        <w:rPr>
          <w:spacing w:val="0"/>
          <w:w w:val="100"/>
          <w:position w:val="0"/>
        </w:rPr>
        <w:t>。底部以</w:t>
      </w:r>
      <w:r>
        <w:rPr>
          <w:spacing w:val="0"/>
          <w:w w:val="100"/>
          <w:position w:val="0"/>
        </w:rPr>
        <w:t>K</w:t>
      </w:r>
      <w:r>
        <w:rPr>
          <w:spacing w:val="0"/>
          <w:w w:val="100"/>
          <w:position w:val="0"/>
        </w:rPr>
        <w:t>砂岩连续沉积于山西组之上。</w:t>
      </w:r>
    </w:p>
    <w:p>
      <w:pPr>
        <w:pStyle w:val="a2"/>
        <w:keepNext w:val="0"/>
        <w:keepLines w:val="0"/>
        <w:widowControl w:val="0"/>
        <w:shd w:val="clear" w:color="auto" w:fill="auto"/>
        <w:bidi w:val="0"/>
        <w:spacing w:before="0" w:after="0" w:line="367" w:lineRule="exact"/>
        <w:ind w:left="0" w:right="0" w:firstLine="540"/>
        <w:jc w:val="both"/>
      </w:pPr>
      <w:r>
        <w:rPr>
          <w:spacing w:val="0"/>
          <w:w w:val="100"/>
          <w:position w:val="0"/>
        </w:rPr>
        <w:t>⑹二叠系上统上石盒子组</w:t>
      </w:r>
      <w:r>
        <w:rPr>
          <w:spacing w:val="0"/>
          <w:w w:val="100"/>
          <w:position w:val="0"/>
        </w:rPr>
        <w:t>(Ps)</w:t>
      </w:r>
    </w:p>
    <w:p>
      <w:pPr>
        <w:pStyle w:val="a2"/>
        <w:keepNext w:val="0"/>
        <w:keepLines w:val="0"/>
        <w:widowControl w:val="0"/>
        <w:shd w:val="clear" w:color="auto" w:fill="auto"/>
        <w:bidi w:val="0"/>
        <w:spacing w:before="0" w:after="0" w:line="367" w:lineRule="exact"/>
        <w:ind w:left="0" w:right="0" w:firstLine="540"/>
        <w:jc w:val="both"/>
      </w:pPr>
      <w:r>
        <w:rPr>
          <w:spacing w:val="0"/>
          <w:w w:val="100"/>
          <w:position w:val="0"/>
        </w:rPr>
        <w:t>以</w:t>
      </w:r>
      <w:r>
        <w:rPr>
          <w:spacing w:val="0"/>
          <w:w w:val="100"/>
          <w:position w:val="0"/>
        </w:rPr>
        <w:t>K</w:t>
      </w:r>
      <w:r>
        <w:rPr>
          <w:spacing w:val="0"/>
          <w:w w:val="100"/>
          <w:position w:val="0"/>
        </w:rPr>
        <w:t>砂岩与下伏地层呈整合接触，全组厚</w:t>
      </w:r>
      <w:r>
        <w:rPr>
          <w:spacing w:val="0"/>
          <w:w w:val="100"/>
          <w:position w:val="0"/>
        </w:rPr>
        <w:t>269.70</w:t>
      </w:r>
      <w:r>
        <w:rPr>
          <w:rFonts w:ascii="Arial Unicode MS" w:eastAsia="Arial Unicode MS" w:hAnsi="Arial Unicode MS" w:cs="Arial Unicode MS"/>
          <w:spacing w:val="0"/>
          <w:w w:val="100"/>
          <w:position w:val="0"/>
          <w:sz w:val="22"/>
          <w:szCs w:val="22"/>
        </w:rPr>
        <w:t>〜</w:t>
      </w:r>
      <w:r>
        <w:rPr>
          <w:spacing w:val="0"/>
          <w:w w:val="100"/>
          <w:position w:val="0"/>
        </w:rPr>
        <w:t>457.40m,</w:t>
      </w:r>
      <w:r>
        <w:rPr>
          <w:spacing w:val="0"/>
          <w:w w:val="100"/>
          <w:position w:val="0"/>
        </w:rPr>
        <w:t>平均</w:t>
      </w:r>
      <w:r>
        <w:rPr>
          <w:spacing w:val="0"/>
          <w:w w:val="100"/>
          <w:position w:val="0"/>
        </w:rPr>
        <w:t>371.00m</w:t>
      </w:r>
      <w:r>
        <w:rPr>
          <w:spacing w:val="0"/>
          <w:w w:val="100"/>
          <w:position w:val="0"/>
        </w:rPr>
        <w:t>。主要由砂岩、砂质泥岩及泥岩组成，岩石呈灰 色、灰绿色、紫红色、紫色，由下向上紫色色调渐浓。</w:t>
      </w:r>
    </w:p>
    <w:p>
      <w:pPr>
        <w:pStyle w:val="a2"/>
        <w:keepNext w:val="0"/>
        <w:keepLines w:val="0"/>
        <w:widowControl w:val="0"/>
        <w:shd w:val="clear" w:color="auto" w:fill="auto"/>
        <w:bidi w:val="0"/>
        <w:spacing w:before="0" w:after="0" w:line="240" w:lineRule="auto"/>
        <w:ind w:left="0" w:right="0" w:firstLine="540"/>
        <w:jc w:val="both"/>
      </w:pPr>
      <w:r>
        <w:rPr>
          <w:spacing w:val="0"/>
          <w:w w:val="100"/>
          <w:position w:val="0"/>
        </w:rPr>
        <w:t>⑺上第三系上新统</w:t>
      </w:r>
      <w:r>
        <w:rPr>
          <w:spacing w:val="0"/>
          <w:w w:val="100"/>
          <w:position w:val="0"/>
        </w:rPr>
        <w:t xml:space="preserve">(N </w:t>
      </w:r>
      <w:r>
        <w:rPr>
          <w:spacing w:val="0"/>
          <w:w w:val="100"/>
          <w:position w:val="0"/>
        </w:rPr>
        <w:t>)</w:t>
      </w:r>
    </w:p>
    <w:p>
      <w:pPr>
        <w:pStyle w:val="a2"/>
        <w:keepNext w:val="0"/>
        <w:keepLines w:val="0"/>
        <w:widowControl w:val="0"/>
        <w:shd w:val="clear" w:color="auto" w:fill="auto"/>
        <w:bidi w:val="0"/>
        <w:spacing w:before="0" w:after="0" w:line="341" w:lineRule="exact"/>
        <w:ind w:left="0" w:right="0" w:firstLine="540"/>
        <w:jc w:val="both"/>
      </w:pPr>
      <w:r>
        <w:rPr>
          <w:spacing w:val="0"/>
          <w:w w:val="100"/>
          <w:position w:val="0"/>
        </w:rPr>
        <w:t>广泛分布于勘探区内的山梁之上，岩性主要为棕红色至浅棕红色粉砂粘土、亚粘土夹钙质结核，次为砂砾石，杂色粘土及泥 灰岩、灰岩。底部为砂砾石层。其厚度为</w:t>
      </w:r>
      <w:r>
        <w:rPr>
          <w:spacing w:val="0"/>
          <w:w w:val="100"/>
          <w:position w:val="0"/>
        </w:rPr>
        <w:t>4.00</w:t>
      </w:r>
      <w:r>
        <w:rPr>
          <w:rFonts w:ascii="Arial Unicode MS" w:eastAsia="Arial Unicode MS" w:hAnsi="Arial Unicode MS" w:cs="Arial Unicode MS"/>
          <w:spacing w:val="0"/>
          <w:w w:val="100"/>
          <w:position w:val="0"/>
          <w:sz w:val="22"/>
          <w:szCs w:val="22"/>
        </w:rPr>
        <w:t>〜</w:t>
      </w:r>
      <w:r>
        <w:rPr>
          <w:spacing w:val="0"/>
          <w:w w:val="100"/>
          <w:position w:val="0"/>
        </w:rPr>
        <w:t>94.50m</w:t>
      </w:r>
      <w:r>
        <w:rPr>
          <w:spacing w:val="0"/>
          <w:w w:val="100"/>
          <w:position w:val="0"/>
        </w:rPr>
        <w:t>。与下伏各组地层呈角度不整合接触。</w:t>
      </w:r>
    </w:p>
    <w:p>
      <w:pPr>
        <w:pStyle w:val="a2"/>
        <w:keepNext w:val="0"/>
        <w:keepLines w:val="0"/>
        <w:widowControl w:val="0"/>
        <w:shd w:val="clear" w:color="auto" w:fill="auto"/>
        <w:bidi w:val="0"/>
        <w:spacing w:before="0" w:after="0" w:line="341" w:lineRule="exact"/>
        <w:ind w:left="0" w:right="0" w:firstLine="540"/>
        <w:jc w:val="both"/>
      </w:pPr>
      <w:r>
        <w:rPr>
          <w:spacing w:val="0"/>
          <w:w w:val="100"/>
          <w:position w:val="0"/>
        </w:rPr>
        <w:t>⑻第四系上更新统</w:t>
      </w:r>
      <w:r>
        <w:rPr>
          <w:spacing w:val="0"/>
          <w:w w:val="100"/>
          <w:position w:val="0"/>
        </w:rPr>
        <w:t>(Q)</w:t>
      </w:r>
    </w:p>
    <w:p>
      <w:pPr>
        <w:pStyle w:val="31"/>
        <w:keepNext w:val="0"/>
        <w:keepLines w:val="0"/>
        <w:widowControl w:val="0"/>
        <w:shd w:val="clear" w:color="auto" w:fill="auto"/>
        <w:bidi w:val="0"/>
        <w:spacing w:before="0" w:after="0" w:line="240" w:lineRule="auto"/>
        <w:ind w:left="3260" w:right="0" w:firstLine="0"/>
        <w:jc w:val="left"/>
      </w:pPr>
      <w:r>
        <w:rPr>
          <w:spacing w:val="0"/>
          <w:w w:val="100"/>
          <w:position w:val="0"/>
        </w:rPr>
        <w:t>3</w:t>
      </w:r>
    </w:p>
    <w:p>
      <w:pPr>
        <w:pStyle w:val="a2"/>
        <w:keepNext w:val="0"/>
        <w:keepLines w:val="0"/>
        <w:widowControl w:val="0"/>
        <w:shd w:val="clear" w:color="auto" w:fill="auto"/>
        <w:bidi w:val="0"/>
        <w:spacing w:before="0" w:after="0" w:line="370" w:lineRule="exact"/>
        <w:ind w:left="0" w:right="0" w:firstLine="540"/>
        <w:jc w:val="both"/>
      </w:pPr>
      <w:r>
        <w:rPr>
          <w:spacing w:val="0"/>
          <w:w w:val="100"/>
          <w:position w:val="0"/>
        </w:rPr>
        <w:t>厚</w:t>
      </w:r>
      <w:r>
        <w:rPr>
          <w:spacing w:val="0"/>
          <w:w w:val="100"/>
          <w:position w:val="0"/>
        </w:rPr>
        <w:t>0—162.8m</w:t>
      </w:r>
      <w:r>
        <w:rPr>
          <w:spacing w:val="0"/>
          <w:w w:val="100"/>
          <w:position w:val="0"/>
        </w:rPr>
        <w:t>，广泛分布于井田内的梁、塬、峁和半坡上。由浅红、黄红色砂质亚粘土及亚砂土组成。垂直节理发育，地貌 上易形成陡壁、黄土柱及天生桥。与下伏地层呈角度不整合接触。</w:t>
      </w:r>
    </w:p>
    <w:p>
      <w:pPr>
        <w:pStyle w:val="a2"/>
        <w:keepNext w:val="0"/>
        <w:keepLines w:val="0"/>
        <w:widowControl w:val="0"/>
        <w:shd w:val="clear" w:color="auto" w:fill="auto"/>
        <w:bidi w:val="0"/>
        <w:spacing w:before="0" w:after="0" w:line="240" w:lineRule="auto"/>
        <w:ind w:left="0" w:right="0" w:firstLine="540"/>
        <w:jc w:val="both"/>
      </w:pPr>
      <w:r>
        <w:rPr>
          <w:spacing w:val="0"/>
          <w:w w:val="100"/>
          <w:position w:val="0"/>
        </w:rPr>
        <w:t>⑼第四系全新统</w:t>
      </w:r>
      <w:r>
        <w:rPr>
          <w:spacing w:val="0"/>
          <w:w w:val="100"/>
          <w:position w:val="0"/>
        </w:rPr>
        <w:t>(Q)</w:t>
      </w:r>
    </w:p>
    <w:p>
      <w:pPr>
        <w:pStyle w:val="a2"/>
        <w:keepNext w:val="0"/>
        <w:keepLines w:val="0"/>
        <w:widowControl w:val="0"/>
        <w:shd w:val="clear" w:color="auto" w:fill="auto"/>
        <w:bidi w:val="0"/>
        <w:spacing w:before="0" w:after="0" w:line="240" w:lineRule="auto"/>
        <w:ind w:left="2980" w:right="0" w:firstLine="0"/>
        <w:jc w:val="left"/>
      </w:pPr>
      <w:r>
        <w:rPr>
          <w:spacing w:val="0"/>
          <w:w w:val="100"/>
          <w:position w:val="0"/>
          <w:sz w:val="13"/>
          <w:szCs w:val="13"/>
        </w:rPr>
        <w:t xml:space="preserve">4 </w:t>
      </w:r>
      <w:r>
        <w:rPr>
          <w:spacing w:val="0"/>
          <w:w w:val="100"/>
          <w:position w:val="0"/>
        </w:rPr>
        <w:t>一</w:t>
      </w:r>
    </w:p>
    <w:p>
      <w:pPr>
        <w:pStyle w:val="a2"/>
        <w:keepNext w:val="0"/>
        <w:keepLines w:val="0"/>
        <w:widowControl w:val="0"/>
        <w:shd w:val="clear" w:color="auto" w:fill="auto"/>
        <w:bidi w:val="0"/>
        <w:spacing w:before="0" w:after="0" w:line="353" w:lineRule="exact"/>
        <w:ind w:left="0" w:right="0" w:firstLine="540"/>
        <w:jc w:val="both"/>
      </w:pPr>
      <w:r>
        <w:rPr>
          <w:spacing w:val="0"/>
          <w:w w:val="100"/>
          <w:position w:val="0"/>
        </w:rPr>
        <w:t>为现代冲积、洪积物，系砾石、卵石和砂及砂土的层状或混合堆积。分布于勘探区的冲沟内，厚度</w:t>
      </w:r>
      <w:r>
        <w:rPr>
          <w:spacing w:val="0"/>
          <w:w w:val="100"/>
          <w:position w:val="0"/>
        </w:rPr>
        <w:t>0T0m。</w:t>
      </w:r>
    </w:p>
    <w:p>
      <w:pPr>
        <w:pStyle w:val="a2"/>
        <w:keepNext w:val="0"/>
        <w:keepLines w:val="0"/>
        <w:widowControl w:val="0"/>
        <w:numPr>
          <w:ilvl w:val="0"/>
          <w:numId w:val="2"/>
        </w:numPr>
        <w:shd w:val="clear" w:color="auto" w:fill="auto"/>
        <w:bidi w:val="0"/>
        <w:spacing w:before="0" w:after="0" w:line="353" w:lineRule="exact"/>
        <w:ind w:left="0" w:right="0" w:firstLine="0"/>
        <w:jc w:val="left"/>
      </w:pPr>
      <w:bookmarkStart w:id="3" w:name="bookmark3"/>
      <w:bookmarkEnd w:id="3"/>
      <w:r>
        <w:rPr>
          <w:color w:val="000000"/>
          <w:spacing w:val="0"/>
          <w:w w:val="100"/>
          <w:position w:val="0"/>
        </w:rPr>
        <w:t>地质构造</w:t>
      </w:r>
    </w:p>
    <w:p>
      <w:pPr>
        <w:pStyle w:val="a2"/>
        <w:keepNext w:val="0"/>
        <w:keepLines w:val="0"/>
        <w:widowControl w:val="0"/>
        <w:shd w:val="clear" w:color="auto" w:fill="auto"/>
        <w:bidi w:val="0"/>
        <w:spacing w:before="0" w:after="0" w:line="353" w:lineRule="exact"/>
        <w:ind w:left="0" w:right="0" w:firstLine="540"/>
        <w:jc w:val="both"/>
      </w:pPr>
      <w:r>
        <w:rPr>
          <w:spacing w:val="0"/>
          <w:w w:val="100"/>
          <w:position w:val="0"/>
        </w:rPr>
        <w:t>井田位于离柳矿区西部，三交</w:t>
      </w:r>
      <w:r>
        <w:rPr>
          <w:rFonts w:ascii="Arial Unicode MS" w:eastAsia="Arial Unicode MS" w:hAnsi="Arial Unicode MS" w:cs="Arial Unicode MS"/>
          <w:spacing w:val="0"/>
          <w:w w:val="100"/>
          <w:position w:val="0"/>
          <w:sz w:val="22"/>
          <w:szCs w:val="22"/>
        </w:rPr>
        <w:t>〜</w:t>
      </w:r>
      <w:r>
        <w:rPr>
          <w:spacing w:val="0"/>
          <w:w w:val="100"/>
          <w:position w:val="0"/>
        </w:rPr>
        <w:t>柳林单斜含煤区中南部，井田地层总体上为一单斜构造，走向为北西</w:t>
      </w:r>
      <w:r>
        <w:rPr>
          <w:rFonts w:ascii="Arial Unicode MS" w:eastAsia="Arial Unicode MS" w:hAnsi="Arial Unicode MS" w:cs="Arial Unicode MS"/>
          <w:spacing w:val="0"/>
          <w:w w:val="100"/>
          <w:position w:val="0"/>
          <w:sz w:val="22"/>
          <w:szCs w:val="22"/>
        </w:rPr>
        <w:t>〜</w:t>
      </w:r>
      <w:r>
        <w:rPr>
          <w:spacing w:val="0"/>
          <w:w w:val="100"/>
          <w:position w:val="0"/>
        </w:rPr>
        <w:t>南东向，倾向南西， 地层倾角平缓，一般为</w:t>
      </w:r>
      <w:r>
        <w:rPr>
          <w:rFonts w:ascii="Times New Roman" w:eastAsia="Times New Roman" w:hAnsi="Times New Roman" w:cs="Times New Roman"/>
          <w:spacing w:val="0"/>
          <w:w w:val="100"/>
          <w:position w:val="0"/>
        </w:rPr>
        <w:t>3</w:t>
      </w:r>
      <w:r>
        <w:rPr>
          <w:rFonts w:ascii="Arial Unicode MS" w:eastAsia="Arial Unicode MS" w:hAnsi="Arial Unicode MS" w:cs="Arial Unicode MS"/>
          <w:spacing w:val="0"/>
          <w:w w:val="100"/>
          <w:position w:val="0"/>
          <w:sz w:val="22"/>
          <w:szCs w:val="22"/>
        </w:rPr>
        <w:t>〜</w:t>
      </w:r>
      <w:r>
        <w:rPr>
          <w:rFonts w:ascii="Times New Roman" w:eastAsia="Times New Roman" w:hAnsi="Times New Roman" w:cs="Times New Roman"/>
          <w:spacing w:val="0"/>
          <w:w w:val="100"/>
          <w:position w:val="0"/>
        </w:rPr>
        <w:t>7°</w:t>
      </w:r>
      <w:r>
        <w:rPr>
          <w:spacing w:val="0"/>
          <w:w w:val="100"/>
          <w:position w:val="0"/>
        </w:rPr>
        <w:t>，井田内未发现有断层、陷落柱及剥蚀区等不良地质构造，仅存在少量宽缓的褶皱构造，对回采工 作面开采及开拓巷道布置没有影响，井田构造属简单类。</w:t>
      </w:r>
    </w:p>
    <w:p>
      <w:pPr>
        <w:pStyle w:val="a2"/>
        <w:keepNext w:val="0"/>
        <w:keepLines w:val="0"/>
        <w:widowControl w:val="0"/>
        <w:shd w:val="clear" w:color="auto" w:fill="auto"/>
        <w:bidi w:val="0"/>
        <w:spacing w:before="0" w:after="60" w:line="367" w:lineRule="exact"/>
        <w:ind w:left="0" w:right="0" w:firstLine="0"/>
        <w:jc w:val="left"/>
      </w:pPr>
      <w:r>
        <w:rPr>
          <w:color w:val="000000"/>
          <w:spacing w:val="0"/>
          <w:w w:val="100"/>
          <w:position w:val="0"/>
        </w:rPr>
        <w:t>二煤层及煤质</w:t>
      </w:r>
    </w:p>
    <w:p>
      <w:pPr>
        <w:pStyle w:val="a2"/>
        <w:keepNext w:val="0"/>
        <w:keepLines w:val="0"/>
        <w:widowControl w:val="0"/>
        <w:shd w:val="clear" w:color="auto" w:fill="auto"/>
        <w:bidi w:val="0"/>
        <w:spacing w:before="0" w:after="60" w:line="367" w:lineRule="exact"/>
        <w:ind w:left="0" w:right="0" w:firstLine="0"/>
        <w:jc w:val="left"/>
      </w:pPr>
      <w:r>
        <w:rPr>
          <w:color w:val="000000"/>
          <w:spacing w:val="0"/>
          <w:w w:val="100"/>
          <w:position w:val="0"/>
        </w:rPr>
        <w:t>(一)煤层</w:t>
      </w:r>
    </w:p>
    <w:p>
      <w:pPr>
        <w:pStyle w:val="a2"/>
        <w:keepNext w:val="0"/>
        <w:keepLines w:val="0"/>
        <w:widowControl w:val="0"/>
        <w:numPr>
          <w:ilvl w:val="0"/>
          <w:numId w:val="3"/>
        </w:numPr>
        <w:shd w:val="clear" w:color="auto" w:fill="auto"/>
        <w:tabs>
          <w:tab w:val="left" w:pos="946"/>
        </w:tabs>
        <w:bidi w:val="0"/>
        <w:spacing w:before="0" w:after="0" w:line="348" w:lineRule="exact"/>
        <w:ind w:left="0" w:right="0" w:firstLine="540"/>
        <w:jc w:val="both"/>
      </w:pPr>
      <w:bookmarkStart w:id="4" w:name="bookmark4"/>
      <w:bookmarkEnd w:id="4"/>
      <w:r>
        <w:rPr>
          <w:spacing w:val="0"/>
          <w:w w:val="100"/>
          <w:position w:val="0"/>
        </w:rPr>
        <w:t>煤系含煤地层</w:t>
      </w:r>
    </w:p>
    <w:p>
      <w:pPr>
        <w:pStyle w:val="a2"/>
        <w:keepNext w:val="0"/>
        <w:keepLines w:val="0"/>
        <w:widowControl w:val="0"/>
        <w:shd w:val="clear" w:color="auto" w:fill="auto"/>
        <w:bidi w:val="0"/>
        <w:spacing w:before="0" w:after="0" w:line="348" w:lineRule="exact"/>
        <w:ind w:left="0" w:right="0" w:firstLine="540"/>
        <w:jc w:val="both"/>
      </w:pPr>
      <w:r>
        <w:rPr>
          <w:spacing w:val="0"/>
          <w:w w:val="100"/>
          <w:position w:val="0"/>
        </w:rPr>
        <w:t>井田内含煤地层主要为石炭系上统太原组</w:t>
      </w:r>
      <w:r>
        <w:rPr>
          <w:spacing w:val="0"/>
          <w:w w:val="100"/>
          <w:position w:val="0"/>
        </w:rPr>
        <w:t>(Ct</w:t>
      </w:r>
      <w:r>
        <w:rPr>
          <w:spacing w:val="0"/>
          <w:w w:val="100"/>
          <w:position w:val="0"/>
        </w:rPr>
        <w:t>)和二叠系下统山西组</w:t>
      </w:r>
      <w:r>
        <w:rPr>
          <w:spacing w:val="0"/>
          <w:w w:val="100"/>
          <w:position w:val="0"/>
        </w:rPr>
        <w:t>(Ps)</w:t>
      </w:r>
      <w:r>
        <w:rPr>
          <w:spacing w:val="0"/>
          <w:w w:val="100"/>
          <w:position w:val="0"/>
        </w:rPr>
        <w:t>。山西组和太原组共含煤14层，自上而下分别为 山西组的1、3、4</w:t>
      </w:r>
      <w:r>
        <w:rPr>
          <w:spacing w:val="0"/>
          <w:w w:val="100"/>
          <w:position w:val="0"/>
          <w:sz w:val="13"/>
          <w:szCs w:val="13"/>
        </w:rPr>
        <w:t>-1</w:t>
      </w:r>
      <w:r>
        <w:rPr>
          <w:spacing w:val="0"/>
          <w:w w:val="100"/>
          <w:position w:val="0"/>
        </w:rPr>
        <w:t>、4、5号煤层和太原组的6</w:t>
      </w:r>
      <w:r>
        <w:rPr>
          <w:spacing w:val="0"/>
          <w:w w:val="100"/>
          <w:position w:val="0"/>
          <w:sz w:val="13"/>
          <w:szCs w:val="13"/>
        </w:rPr>
        <w:t>-1</w:t>
      </w:r>
      <w:r>
        <w:rPr>
          <w:spacing w:val="0"/>
          <w:w w:val="100"/>
          <w:position w:val="0"/>
        </w:rPr>
        <w:t>、</w:t>
      </w:r>
      <w:r>
        <w:rPr>
          <w:spacing w:val="0"/>
          <w:w w:val="100"/>
          <w:position w:val="0"/>
          <w:sz w:val="22"/>
          <w:szCs w:val="22"/>
          <w:vertAlign w:val="superscript"/>
        </w:rPr>
        <w:t>3</w:t>
      </w:r>
      <w:r>
        <w:rPr>
          <w:spacing w:val="0"/>
          <w:w w:val="100"/>
          <w:position w:val="0"/>
        </w:rPr>
        <w:t>6、7、7</w:t>
      </w:r>
      <w:r>
        <w:rPr>
          <w:spacing w:val="0"/>
          <w:w w:val="100"/>
          <w:position w:val="0"/>
          <w:sz w:val="13"/>
          <w:szCs w:val="13"/>
        </w:rPr>
        <w:t>-2</w:t>
      </w:r>
      <w:r>
        <w:rPr>
          <w:spacing w:val="0"/>
          <w:w w:val="100"/>
          <w:position w:val="0"/>
        </w:rPr>
        <w:t>、8</w:t>
      </w:r>
      <w:r>
        <w:rPr>
          <w:spacing w:val="0"/>
          <w:w w:val="100"/>
          <w:position w:val="0"/>
          <w:sz w:val="13"/>
          <w:szCs w:val="13"/>
        </w:rPr>
        <w:t>-1</w:t>
      </w:r>
      <w:r>
        <w:rPr>
          <w:spacing w:val="0"/>
          <w:w w:val="100"/>
          <w:position w:val="0"/>
        </w:rPr>
        <w:t>、8</w:t>
      </w:r>
      <w:r>
        <w:rPr>
          <w:spacing w:val="0"/>
          <w:w w:val="100"/>
          <w:position w:val="0"/>
          <w:sz w:val="13"/>
          <w:szCs w:val="13"/>
        </w:rPr>
        <w:t>-2</w:t>
      </w:r>
      <w:r>
        <w:rPr>
          <w:spacing w:val="0"/>
          <w:w w:val="100"/>
          <w:position w:val="0"/>
        </w:rPr>
        <w:t>、9、10、11号煤层。山西组和太原组累计厚度为</w:t>
      </w:r>
      <w:r>
        <w:rPr>
          <w:spacing w:val="0"/>
          <w:w w:val="100"/>
          <w:position w:val="0"/>
        </w:rPr>
        <w:t>123.91</w:t>
      </w:r>
      <w:r>
        <w:rPr>
          <w:rFonts w:ascii="Arial Unicode MS" w:eastAsia="Arial Unicode MS" w:hAnsi="Arial Unicode MS" w:cs="Arial Unicode MS"/>
          <w:spacing w:val="0"/>
          <w:w w:val="100"/>
          <w:position w:val="0"/>
          <w:sz w:val="22"/>
          <w:szCs w:val="22"/>
        </w:rPr>
        <w:t>〜</w:t>
      </w:r>
      <w:r>
        <w:rPr>
          <w:spacing w:val="0"/>
          <w:w w:val="100"/>
          <w:position w:val="0"/>
        </w:rPr>
        <w:t xml:space="preserve"> </w:t>
      </w:r>
      <w:r>
        <w:rPr>
          <w:spacing w:val="0"/>
          <w:w w:val="100"/>
          <w:position w:val="0"/>
        </w:rPr>
        <w:t>196.68m，</w:t>
      </w:r>
      <w:r>
        <w:rPr>
          <w:spacing w:val="0"/>
          <w:w w:val="100"/>
          <w:position w:val="0"/>
        </w:rPr>
        <w:t>平均</w:t>
      </w:r>
      <w:r>
        <w:rPr>
          <w:spacing w:val="0"/>
          <w:w w:val="100"/>
          <w:position w:val="0"/>
        </w:rPr>
        <w:t>157.02m。</w:t>
      </w:r>
      <w:r>
        <w:rPr>
          <w:spacing w:val="0"/>
          <w:w w:val="100"/>
          <w:position w:val="0"/>
        </w:rPr>
        <w:t>含煤14层，煤层累计厚度为</w:t>
      </w:r>
      <w:r>
        <w:rPr>
          <w:spacing w:val="0"/>
          <w:w w:val="100"/>
          <w:position w:val="0"/>
        </w:rPr>
        <w:t>11.74m，</w:t>
      </w:r>
      <w:r>
        <w:rPr>
          <w:spacing w:val="0"/>
          <w:w w:val="100"/>
          <w:position w:val="0"/>
        </w:rPr>
        <w:t>含煤系数为7.5%。</w:t>
      </w:r>
    </w:p>
    <w:p>
      <w:pPr>
        <w:pStyle w:val="a2"/>
        <w:keepNext w:val="0"/>
        <w:keepLines w:val="0"/>
        <w:widowControl w:val="0"/>
        <w:numPr>
          <w:ilvl w:val="0"/>
          <w:numId w:val="3"/>
        </w:numPr>
        <w:shd w:val="clear" w:color="auto" w:fill="auto"/>
        <w:tabs>
          <w:tab w:val="left" w:pos="946"/>
        </w:tabs>
        <w:bidi w:val="0"/>
        <w:spacing w:before="0" w:after="0" w:line="348" w:lineRule="exact"/>
        <w:ind w:left="0" w:right="0" w:firstLine="540"/>
        <w:jc w:val="both"/>
      </w:pPr>
      <w:bookmarkStart w:id="5" w:name="bookmark5"/>
      <w:bookmarkEnd w:id="5"/>
      <w:r>
        <w:rPr>
          <w:spacing w:val="0"/>
          <w:w w:val="100"/>
          <w:position w:val="0"/>
        </w:rPr>
        <w:t>可采煤层</w:t>
      </w:r>
    </w:p>
    <w:p>
      <w:pPr>
        <w:pStyle w:val="a2"/>
        <w:keepNext w:val="0"/>
        <w:keepLines w:val="0"/>
        <w:widowControl w:val="0"/>
        <w:shd w:val="clear" w:color="auto" w:fill="auto"/>
        <w:bidi w:val="0"/>
        <w:spacing w:before="0" w:after="0" w:line="367" w:lineRule="exact"/>
        <w:ind w:left="0" w:right="0" w:firstLine="540"/>
        <w:jc w:val="both"/>
      </w:pPr>
      <w:r>
        <w:rPr>
          <w:spacing w:val="0"/>
          <w:w w:val="100"/>
          <w:position w:val="0"/>
        </w:rPr>
        <w:t>矿区内共含五层全区可采或局部可采煤层，自上而下依次为山西组的3、4号煤层和太原组的8</w:t>
      </w:r>
      <w:r>
        <w:rPr>
          <w:spacing w:val="0"/>
          <w:w w:val="100"/>
          <w:position w:val="0"/>
          <w:sz w:val="13"/>
          <w:szCs w:val="13"/>
        </w:rPr>
        <w:t>-1</w:t>
      </w:r>
      <w:r>
        <w:rPr>
          <w:spacing w:val="0"/>
          <w:w w:val="100"/>
          <w:position w:val="0"/>
        </w:rPr>
        <w:t>、8</w:t>
      </w:r>
      <w:r>
        <w:rPr>
          <w:spacing w:val="0"/>
          <w:w w:val="100"/>
          <w:position w:val="0"/>
          <w:sz w:val="13"/>
          <w:szCs w:val="13"/>
        </w:rPr>
        <w:t>-2</w:t>
      </w:r>
      <w:r>
        <w:rPr>
          <w:spacing w:val="0"/>
          <w:w w:val="100"/>
          <w:position w:val="0"/>
        </w:rPr>
        <w:t>、9号煤层，现分述如下：</w:t>
      </w:r>
    </w:p>
    <w:p>
      <w:pPr>
        <w:pStyle w:val="a2"/>
        <w:keepNext w:val="0"/>
        <w:keepLines w:val="0"/>
        <w:widowControl w:val="0"/>
        <w:shd w:val="clear" w:color="auto" w:fill="auto"/>
        <w:bidi w:val="0"/>
        <w:spacing w:before="0" w:after="0" w:line="482" w:lineRule="exact"/>
        <w:ind w:left="0" w:right="0" w:firstLine="540"/>
        <w:jc w:val="both"/>
      </w:pPr>
      <w:r>
        <w:rPr>
          <w:spacing w:val="0"/>
          <w:w w:val="100"/>
          <w:position w:val="0"/>
        </w:rPr>
        <w:t>3号煤层：位于山西组的中上部，上距</w:t>
      </w:r>
      <w:r>
        <w:rPr>
          <w:spacing w:val="0"/>
          <w:w w:val="100"/>
          <w:position w:val="0"/>
        </w:rPr>
        <w:t>K</w:t>
      </w:r>
      <w:r>
        <w:rPr>
          <w:spacing w:val="0"/>
          <w:w w:val="100"/>
          <w:position w:val="0"/>
          <w:sz w:val="13"/>
          <w:szCs w:val="13"/>
        </w:rPr>
        <w:t>4</w:t>
      </w:r>
      <w:r>
        <w:rPr>
          <w:spacing w:val="0"/>
          <w:w w:val="100"/>
          <w:position w:val="0"/>
        </w:rPr>
        <w:t>砂岩</w:t>
      </w:r>
      <w:r>
        <w:rPr>
          <w:spacing w:val="0"/>
          <w:w w:val="100"/>
          <w:position w:val="0"/>
        </w:rPr>
        <w:t>19.08-28.36m</w:t>
      </w:r>
      <w:r>
        <w:rPr>
          <w:spacing w:val="0"/>
          <w:w w:val="100"/>
          <w:position w:val="0"/>
        </w:rPr>
        <w:t>，平均</w:t>
      </w:r>
      <w:r>
        <w:rPr>
          <w:spacing w:val="0"/>
          <w:w w:val="100"/>
          <w:position w:val="0"/>
        </w:rPr>
        <w:t>25.76m</w:t>
      </w:r>
      <w:r>
        <w:rPr>
          <w:spacing w:val="0"/>
          <w:w w:val="100"/>
          <w:position w:val="0"/>
        </w:rPr>
        <w:t>。煤层厚度为</w:t>
      </w:r>
      <w:r>
        <w:rPr>
          <w:spacing w:val="0"/>
          <w:w w:val="100"/>
          <w:position w:val="0"/>
        </w:rPr>
        <w:t>0.25-1.43m</w:t>
      </w:r>
      <w:r>
        <w:rPr>
          <w:spacing w:val="0"/>
          <w:w w:val="100"/>
          <w:position w:val="0"/>
        </w:rPr>
        <w:t>，平均</w:t>
      </w:r>
      <w:r>
        <w:rPr>
          <w:spacing w:val="0"/>
          <w:w w:val="100"/>
          <w:position w:val="0"/>
        </w:rPr>
        <w:t>0.91m，</w:t>
      </w:r>
      <w:r>
        <w:rPr>
          <w:spacing w:val="0"/>
          <w:w w:val="100"/>
          <w:position w:val="0"/>
        </w:rPr>
        <w:t>一般不含 夹矸，是结构简单层位稳定的局部可采煤层。其顶板岩性为泥岩、细粒砂岩、粗粒砂岩、粉砂岩、砂质泥岩，有时有炭质泥岩伪 顶；底板岩性为泥岩、砂质泥岩、粉砂岩，有时有炭质泥岩伪底。</w:t>
      </w:r>
    </w:p>
    <w:p>
      <w:pPr>
        <w:pStyle w:val="a2"/>
        <w:keepNext w:val="0"/>
        <w:keepLines w:val="0"/>
        <w:widowControl w:val="0"/>
        <w:shd w:val="clear" w:color="auto" w:fill="auto"/>
        <w:bidi w:val="0"/>
        <w:spacing w:before="0" w:after="0" w:line="480" w:lineRule="exact"/>
        <w:ind w:left="0" w:right="0" w:firstLine="540"/>
        <w:jc w:val="both"/>
      </w:pPr>
      <w:r>
        <w:rPr>
          <w:spacing w:val="0"/>
          <w:w w:val="100"/>
          <w:position w:val="0"/>
        </w:rPr>
        <w:t>4号煤层：位于山西组中下部，上距3号煤层</w:t>
      </w:r>
      <w:r>
        <w:rPr>
          <w:spacing w:val="0"/>
          <w:w w:val="100"/>
          <w:position w:val="0"/>
        </w:rPr>
        <w:t>5.75-35.04m</w:t>
      </w:r>
      <w:r>
        <w:rPr>
          <w:spacing w:val="0"/>
          <w:w w:val="100"/>
          <w:position w:val="0"/>
        </w:rPr>
        <w:t>，平均</w:t>
      </w:r>
      <w:r>
        <w:rPr>
          <w:spacing w:val="0"/>
          <w:w w:val="100"/>
          <w:position w:val="0"/>
        </w:rPr>
        <w:t>18.34m</w:t>
      </w:r>
      <w:r>
        <w:rPr>
          <w:spacing w:val="0"/>
          <w:w w:val="100"/>
          <w:position w:val="0"/>
        </w:rPr>
        <w:t>。煤层厚度为</w:t>
      </w:r>
      <w:r>
        <w:rPr>
          <w:spacing w:val="0"/>
          <w:w w:val="100"/>
          <w:position w:val="0"/>
        </w:rPr>
        <w:t>0.16-1.69m</w:t>
      </w:r>
      <w:r>
        <w:rPr>
          <w:spacing w:val="0"/>
          <w:w w:val="100"/>
          <w:position w:val="0"/>
        </w:rPr>
        <w:t>，平均</w:t>
      </w:r>
      <w:r>
        <w:rPr>
          <w:spacing w:val="0"/>
          <w:w w:val="100"/>
          <w:position w:val="0"/>
        </w:rPr>
        <w:t>1.01m，</w:t>
      </w:r>
      <w:r>
        <w:rPr>
          <w:spacing w:val="0"/>
          <w:w w:val="100"/>
          <w:position w:val="0"/>
        </w:rPr>
        <w:t>含</w:t>
      </w:r>
      <w:r>
        <w:rPr>
          <w:spacing w:val="0"/>
          <w:w w:val="100"/>
          <w:position w:val="0"/>
        </w:rPr>
        <w:t>0-1</w:t>
      </w:r>
      <w:r>
        <w:rPr>
          <w:spacing w:val="0"/>
          <w:w w:val="100"/>
          <w:position w:val="0"/>
        </w:rPr>
        <w:t>层 厚度为</w:t>
      </w:r>
      <w:r>
        <w:rPr>
          <w:spacing w:val="0"/>
          <w:w w:val="100"/>
          <w:position w:val="0"/>
        </w:rPr>
        <w:t>0-0.32m</w:t>
      </w:r>
      <w:r>
        <w:rPr>
          <w:spacing w:val="0"/>
          <w:w w:val="100"/>
          <w:position w:val="0"/>
        </w:rPr>
        <w:t>的夹矸，是结构简单层位稳定的局部可采煤层。其顶板岩性为泥岩、砂质泥岩、粉砂岩、细至中粒砂岩，局部有 一层炭质泥岩伪顶，底板岩性为泥岩、砂质泥岩、粉砂岩。</w:t>
      </w:r>
    </w:p>
    <w:p>
      <w:pPr>
        <w:pStyle w:val="a2"/>
        <w:keepNext w:val="0"/>
        <w:keepLines w:val="0"/>
        <w:widowControl w:val="0"/>
        <w:shd w:val="clear" w:color="auto" w:fill="auto"/>
        <w:bidi w:val="0"/>
        <w:spacing w:before="0" w:after="0" w:line="494" w:lineRule="exact"/>
        <w:ind w:left="0" w:right="0" w:firstLine="540"/>
        <w:jc w:val="both"/>
      </w:pPr>
      <w:r>
        <w:rPr>
          <w:spacing w:val="0"/>
          <w:w w:val="100"/>
          <w:position w:val="0"/>
        </w:rPr>
        <w:t>8</w:t>
      </w:r>
      <w:r>
        <w:rPr>
          <w:spacing w:val="0"/>
          <w:w w:val="100"/>
          <w:position w:val="0"/>
          <w:sz w:val="13"/>
          <w:szCs w:val="13"/>
        </w:rPr>
        <w:t>-1</w:t>
      </w:r>
      <w:r>
        <w:rPr>
          <w:spacing w:val="0"/>
          <w:w w:val="100"/>
          <w:position w:val="0"/>
        </w:rPr>
        <w:t>号煤层：位于太原组的中下部，上距</w:t>
      </w:r>
      <w:r>
        <w:rPr>
          <w:spacing w:val="0"/>
          <w:w w:val="100"/>
          <w:position w:val="0"/>
        </w:rPr>
        <w:t>K</w:t>
      </w:r>
      <w:r>
        <w:rPr>
          <w:spacing w:val="0"/>
          <w:w w:val="100"/>
          <w:position w:val="0"/>
          <w:sz w:val="13"/>
          <w:szCs w:val="13"/>
        </w:rPr>
        <w:t>3</w:t>
      </w:r>
      <w:r>
        <w:rPr>
          <w:spacing w:val="0"/>
          <w:w w:val="100"/>
          <w:position w:val="0"/>
        </w:rPr>
        <w:t>砂岩</w:t>
      </w:r>
      <w:r>
        <w:rPr>
          <w:spacing w:val="0"/>
          <w:w w:val="100"/>
          <w:position w:val="0"/>
        </w:rPr>
        <w:t>36.97-51.26m</w:t>
      </w:r>
      <w:r>
        <w:rPr>
          <w:spacing w:val="0"/>
          <w:w w:val="100"/>
          <w:position w:val="0"/>
        </w:rPr>
        <w:t>，平均</w:t>
      </w:r>
      <w:r>
        <w:rPr>
          <w:spacing w:val="0"/>
          <w:w w:val="100"/>
          <w:position w:val="0"/>
        </w:rPr>
        <w:t>42.316m</w:t>
      </w:r>
      <w:r>
        <w:rPr>
          <w:spacing w:val="0"/>
          <w:w w:val="100"/>
          <w:position w:val="0"/>
        </w:rPr>
        <w:t>，煤层厚度为</w:t>
      </w:r>
      <w:r>
        <w:rPr>
          <w:spacing w:val="0"/>
          <w:w w:val="100"/>
          <w:position w:val="0"/>
        </w:rPr>
        <w:t>0.24-1.19m</w:t>
      </w:r>
      <w:r>
        <w:rPr>
          <w:spacing w:val="0"/>
          <w:w w:val="100"/>
          <w:position w:val="0"/>
        </w:rPr>
        <w:t>，平均</w:t>
      </w:r>
      <w:r>
        <w:rPr>
          <w:spacing w:val="0"/>
          <w:w w:val="100"/>
          <w:position w:val="0"/>
        </w:rPr>
        <w:t>0.92m</w:t>
      </w:r>
      <w:r>
        <w:rPr>
          <w:spacing w:val="0"/>
          <w:w w:val="100"/>
          <w:position w:val="0"/>
        </w:rPr>
        <w:t>，是结构 简单层位稳定的大部可采煤层，一般不含夹矸。其顶板岩性为石灰岩，局部有一层炭质泥岩伪顶；底板岩性为泥岩、炭质泥岩。</w:t>
      </w:r>
    </w:p>
    <w:p>
      <w:pPr>
        <w:pStyle w:val="a2"/>
        <w:keepNext w:val="0"/>
        <w:keepLines w:val="0"/>
        <w:widowControl w:val="0"/>
        <w:shd w:val="clear" w:color="auto" w:fill="auto"/>
        <w:bidi w:val="0"/>
        <w:spacing w:before="0" w:after="0" w:line="473" w:lineRule="exact"/>
        <w:ind w:left="0" w:right="0" w:firstLine="540"/>
        <w:jc w:val="both"/>
      </w:pPr>
      <w:r>
        <w:rPr>
          <w:spacing w:val="0"/>
          <w:w w:val="100"/>
          <w:position w:val="0"/>
        </w:rPr>
        <w:t>8</w:t>
      </w:r>
      <w:r>
        <w:rPr>
          <w:spacing w:val="0"/>
          <w:w w:val="100"/>
          <w:position w:val="0"/>
          <w:sz w:val="13"/>
          <w:szCs w:val="13"/>
        </w:rPr>
        <w:t>-2</w:t>
      </w:r>
      <w:r>
        <w:rPr>
          <w:spacing w:val="0"/>
          <w:w w:val="100"/>
          <w:position w:val="0"/>
        </w:rPr>
        <w:t>号煤层：位于太原组中下部，上距</w:t>
      </w:r>
      <w:r>
        <w:rPr>
          <w:spacing w:val="0"/>
          <w:w w:val="100"/>
          <w:position w:val="0"/>
        </w:rPr>
        <w:t>8</w:t>
      </w:r>
      <w:r>
        <w:rPr>
          <w:spacing w:val="0"/>
          <w:w w:val="100"/>
          <w:position w:val="0"/>
          <w:sz w:val="13"/>
          <w:szCs w:val="13"/>
        </w:rPr>
        <w:t>-1</w:t>
      </w:r>
      <w:r>
        <w:rPr>
          <w:spacing w:val="0"/>
          <w:w w:val="100"/>
          <w:position w:val="0"/>
        </w:rPr>
        <w:t>号煤层</w:t>
      </w:r>
      <w:r>
        <w:rPr>
          <w:spacing w:val="0"/>
          <w:w w:val="100"/>
          <w:position w:val="0"/>
        </w:rPr>
        <w:t>0.88-1.66m</w:t>
      </w:r>
      <w:r>
        <w:rPr>
          <w:spacing w:val="0"/>
          <w:w w:val="100"/>
          <w:position w:val="0"/>
        </w:rPr>
        <w:t>，平均</w:t>
      </w:r>
      <w:r>
        <w:rPr>
          <w:spacing w:val="0"/>
          <w:w w:val="100"/>
          <w:position w:val="0"/>
        </w:rPr>
        <w:t>1.18m。</w:t>
      </w:r>
      <w:r>
        <w:rPr>
          <w:spacing w:val="0"/>
          <w:w w:val="100"/>
          <w:position w:val="0"/>
        </w:rPr>
        <w:t>煤层厚度为</w:t>
      </w:r>
      <w:r>
        <w:rPr>
          <w:spacing w:val="0"/>
          <w:w w:val="100"/>
          <w:position w:val="0"/>
        </w:rPr>
        <w:t>0.35-1.61m</w:t>
      </w:r>
      <w:r>
        <w:rPr>
          <w:spacing w:val="0"/>
          <w:w w:val="100"/>
          <w:position w:val="0"/>
        </w:rPr>
        <w:t>，平均</w:t>
      </w:r>
      <w:r>
        <w:rPr>
          <w:spacing w:val="0"/>
          <w:w w:val="100"/>
          <w:position w:val="0"/>
        </w:rPr>
        <w:t>0.94m，</w:t>
      </w:r>
      <w:r>
        <w:rPr>
          <w:spacing w:val="0"/>
          <w:w w:val="100"/>
          <w:position w:val="0"/>
        </w:rPr>
        <w:t>是结构简单 层位稳定的大部可采煤层，一般含</w:t>
      </w:r>
      <w:r>
        <w:rPr>
          <w:spacing w:val="0"/>
          <w:w w:val="100"/>
          <w:position w:val="0"/>
        </w:rPr>
        <w:t>0-1</w:t>
      </w:r>
      <w:r>
        <w:rPr>
          <w:spacing w:val="0"/>
          <w:w w:val="100"/>
          <w:position w:val="0"/>
        </w:rPr>
        <w:t>层厚度为</w:t>
      </w:r>
      <w:r>
        <w:rPr>
          <w:spacing w:val="0"/>
          <w:w w:val="100"/>
          <w:position w:val="0"/>
        </w:rPr>
        <w:t>0-0.45m</w:t>
      </w:r>
      <w:r>
        <w:rPr>
          <w:spacing w:val="0"/>
          <w:w w:val="100"/>
          <w:position w:val="0"/>
        </w:rPr>
        <w:t>的夹矸。其顶板岩性为泥岩、炭质泥岩；底板岩性为泥岩、炭质泥岩、 细至中粒砂岩、砂质泥岩。</w:t>
      </w:r>
    </w:p>
    <w:p>
      <w:pPr>
        <w:pStyle w:val="a2"/>
        <w:keepNext w:val="0"/>
        <w:keepLines w:val="0"/>
        <w:widowControl w:val="0"/>
        <w:shd w:val="clear" w:color="auto" w:fill="auto"/>
        <w:bidi w:val="0"/>
        <w:spacing w:before="0" w:after="140" w:line="480" w:lineRule="exact"/>
        <w:ind w:left="0" w:right="0" w:firstLine="540"/>
        <w:jc w:val="both"/>
      </w:pPr>
      <w:r>
        <w:rPr>
          <w:spacing w:val="0"/>
          <w:w w:val="100"/>
          <w:position w:val="0"/>
        </w:rPr>
        <w:t>9号煤层：位于太原组中下部，上距</w:t>
      </w:r>
      <w:r>
        <w:rPr>
          <w:spacing w:val="0"/>
          <w:w w:val="100"/>
          <w:position w:val="0"/>
        </w:rPr>
        <w:t>8</w:t>
      </w:r>
      <w:r>
        <w:rPr>
          <w:spacing w:val="0"/>
          <w:w w:val="100"/>
          <w:position w:val="0"/>
          <w:sz w:val="13"/>
          <w:szCs w:val="13"/>
        </w:rPr>
        <w:t>-2</w:t>
      </w:r>
      <w:r>
        <w:rPr>
          <w:spacing w:val="0"/>
          <w:w w:val="100"/>
          <w:position w:val="0"/>
        </w:rPr>
        <w:t>号煤层</w:t>
      </w:r>
      <w:r>
        <w:rPr>
          <w:spacing w:val="0"/>
          <w:w w:val="100"/>
          <w:position w:val="0"/>
        </w:rPr>
        <w:t>5.99-13.97m</w:t>
      </w:r>
      <w:r>
        <w:rPr>
          <w:spacing w:val="0"/>
          <w:w w:val="100"/>
          <w:position w:val="0"/>
        </w:rPr>
        <w:t>，平均</w:t>
      </w:r>
      <w:r>
        <w:rPr>
          <w:spacing w:val="0"/>
          <w:w w:val="100"/>
          <w:position w:val="0"/>
        </w:rPr>
        <w:t>9.32m。</w:t>
      </w:r>
      <w:r>
        <w:rPr>
          <w:spacing w:val="0"/>
          <w:w w:val="100"/>
          <w:position w:val="0"/>
        </w:rPr>
        <w:t>煤层厚度为</w:t>
      </w:r>
      <w:r>
        <w:rPr>
          <w:spacing w:val="0"/>
          <w:w w:val="100"/>
          <w:position w:val="0"/>
        </w:rPr>
        <w:t>4.25-5.82m，</w:t>
      </w:r>
      <w:r>
        <w:rPr>
          <w:spacing w:val="0"/>
          <w:w w:val="100"/>
          <w:position w:val="0"/>
        </w:rPr>
        <w:t>平均</w:t>
      </w:r>
      <w:r>
        <w:rPr>
          <w:spacing w:val="0"/>
          <w:w w:val="100"/>
          <w:position w:val="0"/>
        </w:rPr>
        <w:t>4.93m</w:t>
      </w:r>
      <w:r>
        <w:rPr>
          <w:spacing w:val="0"/>
          <w:w w:val="100"/>
          <w:position w:val="0"/>
        </w:rPr>
        <w:t>，含</w:t>
      </w:r>
      <w:r>
        <w:rPr>
          <w:spacing w:val="0"/>
          <w:w w:val="100"/>
          <w:position w:val="0"/>
        </w:rPr>
        <w:t>1-3</w:t>
      </w:r>
      <w:r>
        <w:rPr>
          <w:spacing w:val="0"/>
          <w:w w:val="100"/>
          <w:position w:val="0"/>
        </w:rPr>
        <w:t>层 厚度为</w:t>
      </w:r>
      <w:r>
        <w:rPr>
          <w:spacing w:val="0"/>
          <w:w w:val="100"/>
          <w:position w:val="0"/>
        </w:rPr>
        <w:t>0.05-0.55m</w:t>
      </w:r>
      <w:r>
        <w:rPr>
          <w:spacing w:val="0"/>
          <w:w w:val="100"/>
          <w:position w:val="0"/>
        </w:rPr>
        <w:t>的夹矸，是结构较简单层位稳定的全区可采煤层。其顶板岩性为泥岩、砂质泥岩，有时有炭质泥岩伪顶；底板 岩性为泥岩、细粒砂岩、粉砂岩，有时有炭质泥岩伪底。</w:t>
      </w:r>
    </w:p>
    <w:p>
      <w:pPr>
        <w:pStyle w:val="a4"/>
        <w:keepNext w:val="0"/>
        <w:keepLines w:val="0"/>
        <w:widowControl w:val="0"/>
        <w:shd w:val="clear" w:color="auto" w:fill="auto"/>
        <w:tabs>
          <w:tab w:val="left" w:pos="3355"/>
        </w:tabs>
        <w:bidi w:val="0"/>
        <w:spacing w:before="0" w:after="0" w:line="240" w:lineRule="auto"/>
        <w:ind w:left="101" w:right="0" w:firstLine="0"/>
        <w:jc w:val="left"/>
      </w:pPr>
      <w:r>
        <w:rPr>
          <w:spacing w:val="0"/>
          <w:w w:val="100"/>
          <w:position w:val="0"/>
        </w:rPr>
        <w:t>表</w:t>
      </w:r>
      <w:r>
        <w:rPr>
          <w:spacing w:val="0"/>
          <w:w w:val="100"/>
          <w:position w:val="0"/>
        </w:rPr>
        <w:t>1.2-1</w:t>
        <w:tab/>
      </w:r>
      <w:r>
        <w:rPr>
          <w:spacing w:val="0"/>
          <w:w w:val="100"/>
          <w:position w:val="0"/>
        </w:rPr>
        <w:t>可米煤层情况一览表</w:t>
      </w:r>
    </w:p>
    <w:tbl>
      <w:tblPr>
        <w:tblStyle w:val="TableNormal"/>
        <w:tblOverlap w:val="never"/>
        <w:jc w:val="center"/>
        <w:tblLayout w:type="fixed"/>
        <w:tblCellMar>
          <w:left w:w="10" w:type="dxa"/>
          <w:right w:w="10" w:type="dxa"/>
        </w:tblCellMar>
      </w:tblPr>
      <w:tblGrid>
        <w:gridCol w:w="706"/>
        <w:gridCol w:w="2102"/>
        <w:gridCol w:w="658"/>
        <w:gridCol w:w="1781"/>
        <w:gridCol w:w="2117"/>
        <w:gridCol w:w="960"/>
        <w:gridCol w:w="878"/>
        <w:gridCol w:w="1162"/>
        <w:gridCol w:w="1781"/>
        <w:gridCol w:w="1051"/>
      </w:tblGrid>
      <w:tr>
        <w:tblPrEx>
          <w:jc w:val="center"/>
          <w:tblLayout w:type="fixed"/>
          <w:tblCellMar>
            <w:left w:w="10" w:type="dxa"/>
            <w:right w:w="10" w:type="dxa"/>
          </w:tblCellMar>
        </w:tblPrEx>
        <w:trPr>
          <w:trHeight w:hRule="exact" w:val="590"/>
          <w:jc w:val="center"/>
        </w:trPr>
        <w:tc>
          <w:tcPr>
            <w:tcW w:w="706"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160" w:line="240" w:lineRule="auto"/>
              <w:ind w:left="0" w:right="0" w:firstLine="0"/>
              <w:jc w:val="center"/>
            </w:pPr>
            <w:r>
              <w:rPr>
                <w:spacing w:val="0"/>
                <w:w w:val="100"/>
                <w:position w:val="0"/>
              </w:rPr>
              <w:t>含煤</w:t>
            </w:r>
          </w:p>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组段</w:t>
            </w:r>
          </w:p>
        </w:tc>
        <w:tc>
          <w:tcPr>
            <w:tcW w:w="2102"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180" w:line="240" w:lineRule="auto"/>
              <w:ind w:left="0" w:right="0" w:firstLine="0"/>
              <w:jc w:val="center"/>
            </w:pPr>
            <w:r>
              <w:rPr>
                <w:spacing w:val="0"/>
                <w:w w:val="100"/>
                <w:position w:val="0"/>
              </w:rPr>
              <w:t>组段厚度</w:t>
            </w:r>
          </w:p>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(m)</w:t>
            </w:r>
          </w:p>
        </w:tc>
        <w:tc>
          <w:tcPr>
            <w:tcW w:w="658"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466" w:lineRule="exact"/>
              <w:ind w:left="0" w:right="0" w:firstLine="0"/>
              <w:jc w:val="center"/>
            </w:pPr>
            <w:r>
              <w:rPr>
                <w:spacing w:val="0"/>
                <w:w w:val="100"/>
                <w:position w:val="0"/>
              </w:rPr>
              <w:t>煤层 号</w:t>
            </w:r>
          </w:p>
        </w:tc>
        <w:tc>
          <w:tcPr>
            <w:tcW w:w="1781"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煤层厚度</w:t>
            </w:r>
            <w:r>
              <w:rPr>
                <w:spacing w:val="0"/>
                <w:w w:val="100"/>
                <w:position w:val="0"/>
              </w:rPr>
              <w:t>(m)</w:t>
            </w:r>
          </w:p>
        </w:tc>
        <w:tc>
          <w:tcPr>
            <w:tcW w:w="2117"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180" w:line="240" w:lineRule="auto"/>
              <w:ind w:left="0" w:right="0" w:firstLine="0"/>
              <w:jc w:val="center"/>
            </w:pPr>
            <w:r>
              <w:rPr>
                <w:spacing w:val="0"/>
                <w:w w:val="100"/>
                <w:position w:val="0"/>
              </w:rPr>
              <w:t>层间距</w:t>
            </w:r>
          </w:p>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(m)</w:t>
            </w:r>
          </w:p>
        </w:tc>
        <w:tc>
          <w:tcPr>
            <w:tcW w:w="960"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466" w:lineRule="exact"/>
              <w:ind w:left="0" w:right="0" w:firstLine="0"/>
              <w:jc w:val="center"/>
            </w:pPr>
            <w:r>
              <w:rPr>
                <w:spacing w:val="0"/>
                <w:w w:val="100"/>
                <w:position w:val="0"/>
              </w:rPr>
              <w:t>层位稳 定性</w:t>
            </w:r>
          </w:p>
        </w:tc>
        <w:tc>
          <w:tcPr>
            <w:tcW w:w="2040" w:type="dxa"/>
            <w:gridSpan w:val="2"/>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厚度稳定性</w:t>
            </w:r>
          </w:p>
        </w:tc>
        <w:tc>
          <w:tcPr>
            <w:tcW w:w="1781"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煤层可采性</w:t>
            </w:r>
          </w:p>
        </w:tc>
        <w:tc>
          <w:tcPr>
            <w:tcW w:w="1051" w:type="dxa"/>
            <w:vMerge w:val="restart"/>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备注</w:t>
            </w:r>
          </w:p>
        </w:tc>
      </w:tr>
      <w:tr>
        <w:tblPrEx>
          <w:jc w:val="center"/>
          <w:tblLayout w:type="fixed"/>
          <w:tblCellMar>
            <w:left w:w="10" w:type="dxa"/>
            <w:right w:w="10" w:type="dxa"/>
          </w:tblCellMar>
        </w:tblPrEx>
        <w:trPr>
          <w:trHeight w:hRule="exact" w:val="998"/>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87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pPr>
            <w:r>
              <w:rPr>
                <w:spacing w:val="0"/>
                <w:w w:val="100"/>
                <w:position w:val="0"/>
              </w:rPr>
              <w:t>结构</w:t>
            </w:r>
          </w:p>
        </w:tc>
        <w:tc>
          <w:tcPr>
            <w:tcW w:w="116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pPr>
            <w:r>
              <w:rPr>
                <w:spacing w:val="0"/>
                <w:w w:val="100"/>
                <w:position w:val="0"/>
              </w:rPr>
              <w:t>稳定性</w:t>
            </w:r>
          </w:p>
        </w:tc>
        <w:tc>
          <w:tcPr>
            <w:tcW w:w="1" w:type="dxa"/>
            <w:vMerge/>
            <w:tcBorders>
              <w:left w:val="single" w:sz="4" w:space="0" w:color="auto"/>
            </w:tcBorders>
            <w:shd w:val="clear" w:color="auto" w:fill="FFFFFF"/>
            <w:vAlign w:val="center"/>
          </w:tcP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523"/>
          <w:jc w:val="center"/>
        </w:trPr>
        <w:tc>
          <w:tcPr>
            <w:tcW w:w="706"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160" w:line="240" w:lineRule="auto"/>
              <w:ind w:left="0" w:right="0" w:firstLine="0"/>
              <w:jc w:val="center"/>
            </w:pPr>
            <w:r>
              <w:rPr>
                <w:spacing w:val="0"/>
                <w:w w:val="100"/>
                <w:position w:val="0"/>
              </w:rPr>
              <w:t>山</w:t>
            </w:r>
          </w:p>
          <w:p>
            <w:pPr>
              <w:pStyle w:val="a3"/>
              <w:keepNext w:val="0"/>
              <w:keepLines w:val="0"/>
              <w:widowControl w:val="0"/>
              <w:shd w:val="clear" w:color="auto" w:fill="auto"/>
              <w:bidi w:val="0"/>
              <w:spacing w:before="0" w:after="160" w:line="240" w:lineRule="auto"/>
              <w:ind w:left="0" w:right="0" w:firstLine="0"/>
              <w:jc w:val="center"/>
            </w:pPr>
            <w:r>
              <w:rPr>
                <w:spacing w:val="0"/>
                <w:w w:val="100"/>
                <w:position w:val="0"/>
              </w:rPr>
              <w:t>西</w:t>
            </w:r>
          </w:p>
          <w:p>
            <w:pPr>
              <w:pStyle w:val="a3"/>
              <w:keepNext w:val="0"/>
              <w:keepLines w:val="0"/>
              <w:widowControl w:val="0"/>
              <w:shd w:val="clear" w:color="auto" w:fill="auto"/>
              <w:bidi w:val="0"/>
              <w:spacing w:before="0" w:after="160" w:line="240" w:lineRule="auto"/>
              <w:ind w:left="0" w:right="0" w:firstLine="0"/>
              <w:jc w:val="center"/>
            </w:pPr>
            <w:r>
              <w:rPr>
                <w:spacing w:val="0"/>
                <w:w w:val="100"/>
                <w:position w:val="0"/>
              </w:rPr>
              <w:t>组</w:t>
            </w:r>
          </w:p>
        </w:tc>
        <w:tc>
          <w:tcPr>
            <w:tcW w:w="2102" w:type="dxa"/>
            <w:vMerge w:val="restart"/>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20"/>
              <w:jc w:val="left"/>
            </w:pPr>
            <w:r>
              <w:rPr>
                <w:spacing w:val="0"/>
                <w:w w:val="100"/>
                <w:position w:val="0"/>
                <w:u w:val="single"/>
              </w:rPr>
              <w:t>42</w:t>
            </w:r>
            <w:r>
              <w:rPr>
                <w:spacing w:val="0"/>
                <w:w w:val="100"/>
                <w:position w:val="0"/>
              </w:rPr>
              <w:t>.</w:t>
            </w:r>
            <w:r>
              <w:rPr>
                <w:spacing w:val="0"/>
                <w:w w:val="100"/>
                <w:position w:val="0"/>
                <w:u w:val="single"/>
              </w:rPr>
              <w:t>89</w:t>
            </w:r>
            <w:r>
              <w:rPr>
                <w:spacing w:val="0"/>
                <w:w w:val="100"/>
                <w:position w:val="0"/>
              </w:rPr>
              <w:t>-</w:t>
            </w:r>
            <w:r>
              <w:rPr>
                <w:spacing w:val="0"/>
                <w:w w:val="100"/>
                <w:position w:val="0"/>
                <w:u w:val="single"/>
              </w:rPr>
              <w:t>79</w:t>
            </w:r>
            <w:r>
              <w:rPr>
                <w:spacing w:val="0"/>
                <w:w w:val="100"/>
                <w:position w:val="0"/>
              </w:rPr>
              <w:t>.</w:t>
            </w:r>
            <w:r>
              <w:rPr>
                <w:spacing w:val="0"/>
                <w:w w:val="100"/>
                <w:position w:val="0"/>
                <w:u w:val="single"/>
              </w:rPr>
              <w:t>92</w:t>
            </w:r>
            <w:r>
              <w:rPr>
                <w:spacing w:val="0"/>
                <w:w w:val="100"/>
                <w:position w:val="0"/>
              </w:rPr>
              <w:t>—</w:t>
            </w:r>
          </w:p>
        </w:tc>
        <w:tc>
          <w:tcPr>
            <w:tcW w:w="658"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3</w:t>
            </w:r>
          </w:p>
        </w:tc>
        <w:tc>
          <w:tcPr>
            <w:tcW w:w="178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00"/>
              <w:jc w:val="left"/>
            </w:pPr>
            <w:r>
              <w:rPr>
                <w:spacing w:val="0"/>
                <w:w w:val="100"/>
                <w:position w:val="0"/>
                <w:u w:val="single"/>
              </w:rPr>
              <w:t>0</w:t>
            </w:r>
            <w:r>
              <w:rPr>
                <w:spacing w:val="0"/>
                <w:w w:val="100"/>
                <w:position w:val="0"/>
              </w:rPr>
              <w:t>.</w:t>
            </w:r>
            <w:r>
              <w:rPr>
                <w:spacing w:val="0"/>
                <w:w w:val="100"/>
                <w:position w:val="0"/>
                <w:u w:val="single"/>
              </w:rPr>
              <w:t xml:space="preserve">25 </w:t>
            </w:r>
            <w:r>
              <w:rPr>
                <w:rFonts w:ascii="Arial Unicode MS" w:eastAsia="Arial Unicode MS" w:hAnsi="Arial Unicode MS" w:cs="Arial Unicode MS"/>
                <w:spacing w:val="0"/>
                <w:w w:val="100"/>
                <w:position w:val="0"/>
                <w:sz w:val="22"/>
                <w:szCs w:val="22"/>
                <w:u w:val="single"/>
              </w:rPr>
              <w:t>〜</w:t>
            </w:r>
            <w:r>
              <w:rPr>
                <w:spacing w:val="0"/>
                <w:w w:val="100"/>
                <w:position w:val="0"/>
                <w:u w:val="single"/>
              </w:rPr>
              <w:t>1</w:t>
            </w:r>
            <w:r>
              <w:rPr>
                <w:spacing w:val="0"/>
                <w:w w:val="100"/>
                <w:position w:val="0"/>
              </w:rPr>
              <w:t>.</w:t>
            </w:r>
            <w:r>
              <w:rPr>
                <w:spacing w:val="0"/>
                <w:w w:val="100"/>
                <w:position w:val="0"/>
                <w:u w:val="single"/>
              </w:rPr>
              <w:t>4</w:t>
            </w:r>
            <w:r>
              <w:rPr>
                <w:spacing w:val="0"/>
                <w:w w:val="100"/>
                <w:position w:val="0"/>
              </w:rPr>
              <w:t>3</w:t>
            </w:r>
          </w:p>
        </w:tc>
        <w:tc>
          <w:tcPr>
            <w:tcW w:w="2117" w:type="dxa"/>
            <w:tcBorders>
              <w:top w:val="single" w:sz="4" w:space="0" w:color="auto"/>
              <w:left w:val="single" w:sz="4" w:space="0" w:color="auto"/>
            </w:tcBorders>
            <w:shd w:val="clear" w:color="auto" w:fill="FFFFFF"/>
            <w:vAlign w:val="top"/>
          </w:tcPr>
          <w:p>
            <w:pPr>
              <w:widowControl w:val="0"/>
              <w:rPr>
                <w:sz w:val="10"/>
                <w:szCs w:val="10"/>
              </w:rPr>
            </w:pPr>
          </w:p>
        </w:tc>
        <w:tc>
          <w:tcPr>
            <w:tcW w:w="960"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80"/>
              <w:jc w:val="left"/>
            </w:pPr>
            <w:r>
              <w:rPr>
                <w:spacing w:val="0"/>
                <w:w w:val="100"/>
                <w:position w:val="0"/>
              </w:rPr>
              <w:t>稳定</w:t>
            </w:r>
          </w:p>
        </w:tc>
        <w:tc>
          <w:tcPr>
            <w:tcW w:w="878"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pPr>
            <w:r>
              <w:rPr>
                <w:spacing w:val="0"/>
                <w:w w:val="100"/>
                <w:position w:val="0"/>
              </w:rPr>
              <w:t>简单</w:t>
            </w:r>
          </w:p>
        </w:tc>
        <w:tc>
          <w:tcPr>
            <w:tcW w:w="1162"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pPr>
            <w:r>
              <w:rPr>
                <w:spacing w:val="0"/>
                <w:w w:val="100"/>
                <w:position w:val="0"/>
              </w:rPr>
              <w:t>较稳定</w:t>
            </w:r>
          </w:p>
        </w:tc>
        <w:tc>
          <w:tcPr>
            <w:tcW w:w="1781"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20"/>
              <w:jc w:val="left"/>
            </w:pPr>
            <w:r>
              <w:rPr>
                <w:spacing w:val="0"/>
                <w:w w:val="100"/>
                <w:position w:val="0"/>
              </w:rPr>
              <w:t>局部可采</w:t>
            </w:r>
          </w:p>
        </w:tc>
        <w:tc>
          <w:tcPr>
            <w:tcW w:w="1051" w:type="dxa"/>
            <w:vMerge w:val="restart"/>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86"/>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bottom"/>
          </w:tcPr>
          <w:p/>
        </w:tc>
        <w:tc>
          <w:tcPr>
            <w:tcW w:w="1" w:type="dxa"/>
            <w:vMerge/>
            <w:tcBorders>
              <w:left w:val="single" w:sz="4" w:space="0" w:color="auto"/>
            </w:tcBorders>
            <w:shd w:val="clear" w:color="auto" w:fill="FFFFFF"/>
            <w:vAlign w:val="center"/>
          </w:tcPr>
          <w:p/>
        </w:tc>
        <w:tc>
          <w:tcPr>
            <w:tcW w:w="178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0.91</w:t>
            </w:r>
          </w:p>
        </w:tc>
        <w:tc>
          <w:tcPr>
            <w:tcW w:w="211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5.</w:t>
            </w:r>
            <w:r>
              <w:rPr>
                <w:spacing w:val="0"/>
                <w:w w:val="100"/>
                <w:position w:val="0"/>
                <w:u w:val="single"/>
              </w:rPr>
              <w:t>75</w:t>
            </w:r>
            <w:r>
              <w:rPr>
                <w:spacing w:val="0"/>
                <w:w w:val="100"/>
                <w:position w:val="0"/>
              </w:rPr>
              <w:t xml:space="preserve"> </w:t>
            </w:r>
            <w:r>
              <w:rPr>
                <w:rFonts w:ascii="Arial Unicode MS" w:eastAsia="Arial Unicode MS" w:hAnsi="Arial Unicode MS" w:cs="Arial Unicode MS"/>
                <w:spacing w:val="0"/>
                <w:w w:val="100"/>
                <w:position w:val="0"/>
                <w:sz w:val="22"/>
                <w:szCs w:val="22"/>
              </w:rPr>
              <w:t>〜</w:t>
            </w:r>
            <w:r>
              <w:rPr>
                <w:spacing w:val="0"/>
                <w:w w:val="100"/>
                <w:position w:val="0"/>
                <w:u w:val="single"/>
              </w:rPr>
              <w:t>3</w:t>
            </w:r>
            <w:r>
              <w:rPr>
                <w:spacing w:val="0"/>
                <w:w w:val="100"/>
                <w:position w:val="0"/>
              </w:rPr>
              <w:t>5.</w:t>
            </w:r>
            <w:r>
              <w:rPr>
                <w:spacing w:val="0"/>
                <w:w w:val="100"/>
                <w:position w:val="0"/>
                <w:u w:val="single"/>
              </w:rPr>
              <w:t>04</w:t>
            </w: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right w:val="single" w:sz="4" w:space="0" w:color="auto"/>
            </w:tcBorders>
            <w:shd w:val="clear" w:color="auto" w:fill="FFFFFF"/>
            <w:vAlign w:val="top"/>
          </w:tcPr>
          <w:p/>
        </w:tc>
      </w:tr>
      <w:tr>
        <w:tblPrEx>
          <w:jc w:val="center"/>
          <w:tblLayout w:type="fixed"/>
          <w:tblCellMar>
            <w:left w:w="10" w:type="dxa"/>
            <w:right w:w="10" w:type="dxa"/>
          </w:tblCellMar>
        </w:tblPrEx>
        <w:trPr>
          <w:trHeight w:hRule="exact" w:val="557"/>
          <w:jc w:val="center"/>
        </w:trPr>
        <w:tc>
          <w:tcPr>
            <w:tcW w:w="1" w:type="dxa"/>
            <w:vMerge/>
            <w:tcBorders>
              <w:left w:val="single" w:sz="4" w:space="0" w:color="auto"/>
            </w:tcBorders>
            <w:shd w:val="clear" w:color="auto" w:fill="FFFFFF"/>
            <w:vAlign w:val="center"/>
          </w:tcPr>
          <w:p/>
        </w:tc>
        <w:tc>
          <w:tcPr>
            <w:tcW w:w="2102" w:type="dxa"/>
            <w:vMerge w:val="restart"/>
            <w:tcBorders>
              <w:top w:val="single" w:sz="4" w:space="0" w:color="auto"/>
              <w:left w:val="single" w:sz="4" w:space="0" w:color="auto"/>
            </w:tcBorders>
            <w:shd w:val="clear" w:color="auto" w:fill="FFFFFF"/>
            <w:vAlign w:val="top"/>
          </w:tcPr>
          <w:p>
            <w:pPr>
              <w:pStyle w:val="a3"/>
              <w:keepNext w:val="0"/>
              <w:keepLines w:val="0"/>
              <w:widowControl w:val="0"/>
              <w:shd w:val="clear" w:color="auto" w:fill="auto"/>
              <w:bidi w:val="0"/>
              <w:spacing w:before="140" w:after="0" w:line="240" w:lineRule="auto"/>
              <w:ind w:left="0" w:right="0" w:firstLine="0"/>
              <w:jc w:val="center"/>
            </w:pPr>
            <w:r>
              <w:rPr>
                <w:spacing w:val="0"/>
                <w:w w:val="100"/>
                <w:position w:val="0"/>
              </w:rPr>
              <w:t>60.80</w:t>
            </w:r>
          </w:p>
        </w:tc>
        <w:tc>
          <w:tcPr>
            <w:tcW w:w="658"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4</w:t>
            </w:r>
          </w:p>
        </w:tc>
        <w:tc>
          <w:tcPr>
            <w:tcW w:w="178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00"/>
              <w:jc w:val="left"/>
            </w:pPr>
            <w:r>
              <w:rPr>
                <w:spacing w:val="0"/>
                <w:w w:val="100"/>
                <w:position w:val="0"/>
                <w:u w:val="single"/>
              </w:rPr>
              <w:t>0.16</w:t>
            </w:r>
            <w:r>
              <w:rPr>
                <w:rFonts w:ascii="Arial Unicode MS" w:eastAsia="Arial Unicode MS" w:hAnsi="Arial Unicode MS" w:cs="Arial Unicode MS"/>
                <w:spacing w:val="0"/>
                <w:w w:val="100"/>
                <w:position w:val="0"/>
                <w:sz w:val="22"/>
                <w:szCs w:val="22"/>
                <w:u w:val="single"/>
              </w:rPr>
              <w:t>〜</w:t>
            </w:r>
            <w:r>
              <w:rPr>
                <w:spacing w:val="0"/>
                <w:w w:val="100"/>
                <w:position w:val="0"/>
                <w:u w:val="single"/>
              </w:rPr>
              <w:t>1.69</w:t>
            </w:r>
          </w:p>
        </w:tc>
        <w:tc>
          <w:tcPr>
            <w:tcW w:w="211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18.34</w:t>
            </w:r>
          </w:p>
        </w:tc>
        <w:tc>
          <w:tcPr>
            <w:tcW w:w="960"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80"/>
              <w:jc w:val="left"/>
            </w:pPr>
            <w:r>
              <w:rPr>
                <w:spacing w:val="0"/>
                <w:w w:val="100"/>
                <w:position w:val="0"/>
              </w:rPr>
              <w:t>稳定</w:t>
            </w:r>
          </w:p>
        </w:tc>
        <w:tc>
          <w:tcPr>
            <w:tcW w:w="878"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pPr>
            <w:r>
              <w:rPr>
                <w:spacing w:val="0"/>
                <w:w w:val="100"/>
                <w:position w:val="0"/>
              </w:rPr>
              <w:t>简单</w:t>
            </w:r>
          </w:p>
        </w:tc>
        <w:tc>
          <w:tcPr>
            <w:tcW w:w="1162"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160"/>
              <w:jc w:val="left"/>
            </w:pPr>
            <w:r>
              <w:rPr>
                <w:spacing w:val="0"/>
                <w:w w:val="100"/>
                <w:position w:val="0"/>
              </w:rPr>
              <w:t>较稳定</w:t>
            </w:r>
          </w:p>
        </w:tc>
        <w:tc>
          <w:tcPr>
            <w:tcW w:w="1781"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20"/>
              <w:jc w:val="left"/>
            </w:pPr>
            <w:r>
              <w:rPr>
                <w:spacing w:val="0"/>
                <w:w w:val="100"/>
                <w:position w:val="0"/>
              </w:rPr>
              <w:t>局部可采</w:t>
            </w:r>
          </w:p>
        </w:tc>
        <w:tc>
          <w:tcPr>
            <w:tcW w:w="1051" w:type="dxa"/>
            <w:vMerge w:val="restart"/>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600"/>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178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1.01</w:t>
            </w:r>
          </w:p>
        </w:tc>
        <w:tc>
          <w:tcPr>
            <w:tcW w:w="211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5</w:t>
            </w:r>
            <w:r>
              <w:rPr>
                <w:spacing w:val="0"/>
                <w:w w:val="100"/>
                <w:position w:val="0"/>
                <w:u w:val="single"/>
              </w:rPr>
              <w:t>8</w:t>
            </w:r>
            <w:r>
              <w:rPr>
                <w:spacing w:val="0"/>
                <w:w w:val="100"/>
                <w:position w:val="0"/>
              </w:rPr>
              <w:t>.</w:t>
            </w:r>
            <w:r>
              <w:rPr>
                <w:spacing w:val="0"/>
                <w:w w:val="100"/>
                <w:position w:val="0"/>
                <w:u w:val="single"/>
              </w:rPr>
              <w:t>9</w:t>
            </w:r>
            <w:r>
              <w:rPr>
                <w:spacing w:val="0"/>
                <w:w w:val="100"/>
                <w:position w:val="0"/>
              </w:rPr>
              <w:t xml:space="preserve">5 </w:t>
            </w:r>
            <w:r>
              <w:rPr>
                <w:rFonts w:ascii="Arial Unicode MS" w:eastAsia="Arial Unicode MS" w:hAnsi="Arial Unicode MS" w:cs="Arial Unicode MS"/>
                <w:spacing w:val="0"/>
                <w:w w:val="100"/>
                <w:position w:val="0"/>
                <w:sz w:val="22"/>
                <w:szCs w:val="22"/>
              </w:rPr>
              <w:t>〜</w:t>
            </w:r>
            <w:r>
              <w:rPr>
                <w:spacing w:val="0"/>
                <w:w w:val="100"/>
                <w:position w:val="0"/>
                <w:u w:val="single"/>
              </w:rPr>
              <w:t>70</w:t>
            </w:r>
            <w:r>
              <w:rPr>
                <w:spacing w:val="0"/>
                <w:w w:val="100"/>
                <w:position w:val="0"/>
              </w:rPr>
              <w:t>.</w:t>
            </w:r>
            <w:r>
              <w:rPr>
                <w:spacing w:val="0"/>
                <w:w w:val="100"/>
                <w:position w:val="0"/>
                <w:u w:val="single"/>
              </w:rPr>
              <w:t>86</w:t>
            </w: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right w:val="single" w:sz="4" w:space="0" w:color="auto"/>
            </w:tcBorders>
            <w:shd w:val="clear" w:color="auto" w:fill="FFFFFF"/>
            <w:vAlign w:val="top"/>
          </w:tcPr>
          <w:p/>
        </w:tc>
      </w:tr>
    </w:tbl>
    <w:p>
      <w:pPr>
        <w:sectPr>
          <w:type w:val="nextPage"/>
          <w:pgSz w:w="17861" w:h="25258"/>
          <w:pgMar w:top="1240" w:right="1022" w:bottom="2060" w:left="1397" w:header="0" w:footer="3" w:gutter="0"/>
          <w:pgNumType w:start="2"/>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706"/>
        <w:gridCol w:w="2102"/>
        <w:gridCol w:w="658"/>
        <w:gridCol w:w="1781"/>
        <w:gridCol w:w="2117"/>
        <w:gridCol w:w="960"/>
        <w:gridCol w:w="878"/>
        <w:gridCol w:w="1162"/>
        <w:gridCol w:w="1781"/>
        <w:gridCol w:w="1051"/>
      </w:tblGrid>
      <w:tr>
        <w:tblPrEx>
          <w:jc w:val="center"/>
          <w:tblLayout w:type="fixed"/>
          <w:tblCellMar>
            <w:left w:w="10" w:type="dxa"/>
            <w:right w:w="10" w:type="dxa"/>
          </w:tblCellMar>
        </w:tblPrEx>
        <w:trPr>
          <w:trHeight w:hRule="exact" w:val="586"/>
          <w:jc w:val="center"/>
        </w:trPr>
        <w:tc>
          <w:tcPr>
            <w:tcW w:w="706" w:type="dxa"/>
            <w:tcBorders>
              <w:top w:val="single" w:sz="4" w:space="0" w:color="auto"/>
              <w:left w:val="single" w:sz="4" w:space="0" w:color="auto"/>
            </w:tcBorders>
            <w:shd w:val="clear" w:color="auto" w:fill="FFFFFF"/>
            <w:vAlign w:val="top"/>
          </w:tcPr>
          <w:p>
            <w:pPr>
              <w:widowControl w:val="0"/>
              <w:rPr>
                <w:sz w:val="10"/>
                <w:szCs w:val="10"/>
              </w:rPr>
            </w:pPr>
          </w:p>
        </w:tc>
        <w:tc>
          <w:tcPr>
            <w:tcW w:w="210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u w:val="single"/>
              </w:rPr>
              <w:t>81</w:t>
            </w:r>
            <w:r>
              <w:rPr>
                <w:spacing w:val="0"/>
                <w:w w:val="100"/>
                <w:position w:val="0"/>
              </w:rPr>
              <w:t>.</w:t>
            </w:r>
            <w:r>
              <w:rPr>
                <w:spacing w:val="0"/>
                <w:w w:val="100"/>
                <w:position w:val="0"/>
                <w:u w:val="single"/>
              </w:rPr>
              <w:t>02-116</w:t>
            </w:r>
            <w:r>
              <w:rPr>
                <w:spacing w:val="0"/>
                <w:w w:val="100"/>
                <w:position w:val="0"/>
              </w:rPr>
              <w:t>.</w:t>
            </w:r>
            <w:r>
              <w:rPr>
                <w:spacing w:val="0"/>
                <w:w w:val="100"/>
                <w:position w:val="0"/>
                <w:u w:val="single"/>
              </w:rPr>
              <w:t>76</w:t>
            </w:r>
          </w:p>
        </w:tc>
        <w:tc>
          <w:tcPr>
            <w:tcW w:w="658"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spacing w:val="0"/>
                <w:w w:val="100"/>
                <w:position w:val="0"/>
                <w:sz w:val="26"/>
                <w:szCs w:val="26"/>
              </w:rPr>
              <w:t>8</w:t>
            </w:r>
            <w:r>
              <w:rPr>
                <w:spacing w:val="0"/>
                <w:w w:val="100"/>
                <w:position w:val="0"/>
                <w:sz w:val="13"/>
                <w:szCs w:val="13"/>
              </w:rPr>
              <w:t>-1</w:t>
            </w:r>
          </w:p>
        </w:tc>
        <w:tc>
          <w:tcPr>
            <w:tcW w:w="178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200"/>
              <w:jc w:val="left"/>
            </w:pPr>
            <w:r>
              <w:rPr>
                <w:spacing w:val="0"/>
                <w:w w:val="100"/>
                <w:position w:val="0"/>
                <w:u w:val="single"/>
              </w:rPr>
              <w:t>0</w:t>
            </w:r>
            <w:r>
              <w:rPr>
                <w:spacing w:val="0"/>
                <w:w w:val="100"/>
                <w:position w:val="0"/>
              </w:rPr>
              <w:t>.</w:t>
            </w:r>
            <w:r>
              <w:rPr>
                <w:spacing w:val="0"/>
                <w:w w:val="100"/>
                <w:position w:val="0"/>
                <w:u w:val="single"/>
              </w:rPr>
              <w:t xml:space="preserve">24 </w:t>
            </w:r>
            <w:r>
              <w:rPr>
                <w:rFonts w:ascii="Arial Unicode MS" w:eastAsia="Arial Unicode MS" w:hAnsi="Arial Unicode MS" w:cs="Arial Unicode MS"/>
                <w:spacing w:val="0"/>
                <w:w w:val="100"/>
                <w:position w:val="0"/>
                <w:sz w:val="22"/>
                <w:szCs w:val="22"/>
                <w:u w:val="single"/>
              </w:rPr>
              <w:t>〜</w:t>
            </w:r>
            <w:r>
              <w:rPr>
                <w:spacing w:val="0"/>
                <w:w w:val="100"/>
                <w:position w:val="0"/>
                <w:u w:val="single"/>
              </w:rPr>
              <w:t>1</w:t>
            </w:r>
            <w:r>
              <w:rPr>
                <w:spacing w:val="0"/>
                <w:w w:val="100"/>
                <w:position w:val="0"/>
              </w:rPr>
              <w:t>.</w:t>
            </w:r>
            <w:r>
              <w:rPr>
                <w:spacing w:val="0"/>
                <w:w w:val="100"/>
                <w:position w:val="0"/>
                <w:u w:val="single"/>
              </w:rPr>
              <w:t>19</w:t>
            </w:r>
          </w:p>
        </w:tc>
        <w:tc>
          <w:tcPr>
            <w:tcW w:w="2117"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62.83</w:t>
            </w:r>
          </w:p>
        </w:tc>
        <w:tc>
          <w:tcPr>
            <w:tcW w:w="960"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80"/>
              <w:jc w:val="left"/>
            </w:pPr>
            <w:r>
              <w:rPr>
                <w:spacing w:val="0"/>
                <w:w w:val="100"/>
                <w:position w:val="0"/>
              </w:rPr>
              <w:t>稳定</w:t>
            </w:r>
          </w:p>
        </w:tc>
        <w:tc>
          <w:tcPr>
            <w:tcW w:w="878"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160"/>
              <w:jc w:val="left"/>
            </w:pPr>
            <w:r>
              <w:rPr>
                <w:spacing w:val="0"/>
                <w:w w:val="100"/>
                <w:position w:val="0"/>
              </w:rPr>
              <w:t>简单</w:t>
            </w:r>
          </w:p>
        </w:tc>
        <w:tc>
          <w:tcPr>
            <w:tcW w:w="116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稳定</w:t>
            </w:r>
          </w:p>
        </w:tc>
        <w:tc>
          <w:tcPr>
            <w:tcW w:w="178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320"/>
              <w:jc w:val="left"/>
            </w:pPr>
            <w:r>
              <w:rPr>
                <w:spacing w:val="0"/>
                <w:w w:val="100"/>
                <w:position w:val="0"/>
              </w:rPr>
              <w:t>大部可采</w:t>
            </w:r>
          </w:p>
        </w:tc>
        <w:tc>
          <w:tcPr>
            <w:tcW w:w="10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bl>
    <w:p>
      <w:pPr>
        <w:sectPr>
          <w:type w:val="nextPage"/>
          <w:pgSz w:w="17861" w:h="25258"/>
          <w:pgMar w:top="1240" w:right="1022" w:bottom="2060" w:left="1397" w:header="0" w:footer="3" w:gutter="0"/>
          <w:pgNumType w:start="3"/>
          <w:cols w:space="720"/>
          <w:noEndnote/>
          <w:titlePg w:val="0"/>
          <w:rtlGutter w:val="0"/>
          <w:docGrid w:linePitch="360"/>
        </w:sectPr>
      </w:pPr>
    </w:p>
    <w:p>
      <w:pPr>
        <w:widowControl w:val="0"/>
        <w:spacing w:line="1" w:lineRule="exact"/>
      </w:pPr>
      <w:r>
        <mc:AlternateContent>
          <mc:Choice Requires="wps">
            <w:drawing>
              <wp:anchor distT="140335" distB="1758315" distL="0" distR="0" simplePos="0" relativeHeight="251659264" behindDoc="0" locked="0" layoutInCell="1" allowOverlap="1">
                <wp:simplePos x="0" y="0"/>
                <wp:positionH relativeFrom="page">
                  <wp:posOffset>2397760</wp:posOffset>
                </wp:positionH>
                <wp:positionV relativeFrom="paragraph">
                  <wp:posOffset>140335</wp:posOffset>
                </wp:positionV>
                <wp:extent cx="454025" cy="201295"/>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4025" cy="20129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spacing w:val="0"/>
                                <w:w w:val="100"/>
                                <w:position w:val="0"/>
                              </w:rPr>
                              <w:t>96.22</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35.75pt;height:15.85pt;margin-top:11.05pt;margin-left:188.8pt;mso-position-horizontal-relative:page;mso-wrap-distance-bottom:138.45pt;mso-wrap-distance-left:0;mso-wrap-distance-right:0;mso-wrap-distance-top:11.05pt;mso-wrap-style:none;position:absolute;v-text-anchor:top;z-index:251658240" filled="f" fillcolor="this">
                <v:textbox inset="0,0,0,0">
                  <w:txbxContent>
                    <w:p>
                      <w:pPr>
                        <w:pStyle w:val="a2"/>
                        <w:keepNext w:val="0"/>
                        <w:keepLines w:val="0"/>
                        <w:widowControl w:val="0"/>
                        <w:shd w:val="clear" w:color="auto" w:fill="auto"/>
                        <w:bidi w:val="0"/>
                        <w:spacing w:before="0" w:after="0" w:line="240" w:lineRule="auto"/>
                        <w:ind w:left="0" w:right="0" w:firstLine="0"/>
                        <w:jc w:val="left"/>
                      </w:pPr>
                      <w:r>
                        <w:rPr>
                          <w:spacing w:val="0"/>
                          <w:w w:val="100"/>
                          <w:position w:val="0"/>
                        </w:rPr>
                        <w:t>96.22</w:t>
                      </w:r>
                    </w:p>
                  </w:txbxContent>
                </v:textbox>
                <w10:wrap type="topAndBottom"/>
              </v:shape>
            </w:pict>
          </mc:Fallback>
        </mc:AlternateContent>
      </w:r>
      <w:r>
        <mc:AlternateContent>
          <mc:Choice Requires="wps">
            <w:drawing>
              <wp:anchor distT="0" distB="304800" distL="0" distR="0" simplePos="0" relativeHeight="251661312" behindDoc="0" locked="0" layoutInCell="1" allowOverlap="1">
                <wp:simplePos x="0" y="0"/>
                <wp:positionH relativeFrom="page">
                  <wp:posOffset>3293745</wp:posOffset>
                </wp:positionH>
                <wp:positionV relativeFrom="paragraph">
                  <wp:posOffset>0</wp:posOffset>
                </wp:positionV>
                <wp:extent cx="1560830" cy="179514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560830" cy="1795145"/>
                        </a:xfrm>
                        <a:prstGeom prst="rect">
                          <a:avLst/>
                        </a:prstGeom>
                        <a:noFill/>
                      </wps:spPr>
                      <wps:txbx>
                        <w:txbxContent>
                          <w:tbl>
                            <w:tblPr>
                              <w:tblStyle w:val="TableNormal"/>
                              <w:tblOverlap w:val="never"/>
                              <w:jc w:val="left"/>
                              <w:tblLayout w:type="fixed"/>
                              <w:tblCellMar>
                                <w:left w:w="10" w:type="dxa"/>
                                <w:right w:w="10" w:type="dxa"/>
                              </w:tblCellMar>
                            </w:tblPr>
                            <w:tblGrid>
                              <w:gridCol w:w="667"/>
                              <w:gridCol w:w="1790"/>
                            </w:tblGrid>
                            <w:tr>
                              <w:tblPrEx>
                                <w:jc w:val="left"/>
                                <w:tblLayout w:type="fixed"/>
                                <w:tblCellMar>
                                  <w:left w:w="10" w:type="dxa"/>
                                  <w:right w:w="10" w:type="dxa"/>
                                </w:tblCellMar>
                              </w:tblPrEx>
                              <w:trPr>
                                <w:trHeight w:hRule="exact" w:val="619"/>
                                <w:tblHeader/>
                                <w:jc w:val="left"/>
                              </w:trPr>
                              <w:tc>
                                <w:tcPr>
                                  <w:tcW w:w="667" w:type="dxa"/>
                                  <w:tcBorders>
                                    <w:top w:val="single" w:sz="4" w:space="0" w:color="auto"/>
                                    <w:left w:val="single" w:sz="4" w:space="0" w:color="auto"/>
                                  </w:tcBorders>
                                  <w:shd w:val="clear" w:color="auto" w:fill="FFFFFF"/>
                                  <w:vAlign w:val="top"/>
                                </w:tcPr>
                                <w:p>
                                  <w:pPr>
                                    <w:widowControl w:val="0"/>
                                    <w:rPr>
                                      <w:sz w:val="10"/>
                                      <w:szCs w:val="10"/>
                                    </w:rPr>
                                  </w:pPr>
                                </w:p>
                              </w:tc>
                              <w:tc>
                                <w:tcPr>
                                  <w:tcW w:w="179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0.92</w:t>
                                  </w:r>
                                </w:p>
                              </w:tc>
                            </w:tr>
                            <w:tr>
                              <w:tblPrEx>
                                <w:jc w:val="left"/>
                                <w:tblLayout w:type="fixed"/>
                                <w:tblCellMar>
                                  <w:left w:w="10" w:type="dxa"/>
                                  <w:right w:w="10" w:type="dxa"/>
                                </w:tblCellMar>
                              </w:tblPrEx>
                              <w:trPr>
                                <w:trHeight w:hRule="exact" w:val="475"/>
                                <w:jc w:val="left"/>
                              </w:trPr>
                              <w:tc>
                                <w:tcPr>
                                  <w:tcW w:w="667"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13"/>
                                      <w:szCs w:val="13"/>
                                    </w:rPr>
                                  </w:pPr>
                                  <w:r>
                                    <w:rPr>
                                      <w:spacing w:val="0"/>
                                      <w:w w:val="100"/>
                                      <w:position w:val="0"/>
                                      <w:sz w:val="26"/>
                                      <w:szCs w:val="26"/>
                                    </w:rPr>
                                    <w:t>8</w:t>
                                  </w:r>
                                  <w:r>
                                    <w:rPr>
                                      <w:spacing w:val="0"/>
                                      <w:w w:val="100"/>
                                      <w:position w:val="0"/>
                                      <w:sz w:val="13"/>
                                      <w:szCs w:val="13"/>
                                    </w:rPr>
                                    <w:t>-2</w:t>
                                  </w:r>
                                </w:p>
                              </w:tc>
                              <w:tc>
                                <w:tcPr>
                                  <w:tcW w:w="179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u w:val="single"/>
                                    </w:rPr>
                                    <w:t>0</w:t>
                                  </w:r>
                                  <w:r>
                                    <w:rPr>
                                      <w:spacing w:val="0"/>
                                      <w:w w:val="100"/>
                                      <w:position w:val="0"/>
                                    </w:rPr>
                                    <w:t>.</w:t>
                                  </w:r>
                                  <w:r>
                                    <w:rPr>
                                      <w:spacing w:val="0"/>
                                      <w:w w:val="100"/>
                                      <w:position w:val="0"/>
                                      <w:u w:val="single"/>
                                    </w:rPr>
                                    <w:t xml:space="preserve">35 </w:t>
                                  </w:r>
                                  <w:r>
                                    <w:rPr>
                                      <w:rFonts w:ascii="Arial Unicode MS" w:eastAsia="Arial Unicode MS" w:hAnsi="Arial Unicode MS" w:cs="Arial Unicode MS"/>
                                      <w:spacing w:val="0"/>
                                      <w:w w:val="100"/>
                                      <w:position w:val="0"/>
                                      <w:sz w:val="22"/>
                                      <w:szCs w:val="22"/>
                                      <w:u w:val="single"/>
                                    </w:rPr>
                                    <w:t>〜</w:t>
                                  </w:r>
                                  <w:r>
                                    <w:rPr>
                                      <w:spacing w:val="0"/>
                                      <w:w w:val="100"/>
                                      <w:position w:val="0"/>
                                      <w:u w:val="single"/>
                                    </w:rPr>
                                    <w:t>1</w:t>
                                  </w:r>
                                  <w:r>
                                    <w:rPr>
                                      <w:spacing w:val="0"/>
                                      <w:w w:val="100"/>
                                      <w:position w:val="0"/>
                                    </w:rPr>
                                    <w:t>.</w:t>
                                  </w:r>
                                  <w:r>
                                    <w:rPr>
                                      <w:spacing w:val="0"/>
                                      <w:w w:val="100"/>
                                      <w:position w:val="0"/>
                                      <w:u w:val="single"/>
                                    </w:rPr>
                                    <w:t>61</w:t>
                                  </w:r>
                                </w:p>
                              </w:tc>
                            </w:tr>
                            <w:tr>
                              <w:tblPrEx>
                                <w:jc w:val="left"/>
                                <w:tblLayout w:type="fixed"/>
                                <w:tblCellMar>
                                  <w:left w:w="10" w:type="dxa"/>
                                  <w:right w:w="10" w:type="dxa"/>
                                </w:tblCellMar>
                              </w:tblPrEx>
                              <w:trPr>
                                <w:trHeight w:hRule="exact" w:val="686"/>
                                <w:jc w:val="left"/>
                              </w:trPr>
                              <w:tc>
                                <w:tcPr>
                                  <w:tcW w:w="1" w:type="dxa"/>
                                  <w:vMerge/>
                                  <w:tcBorders>
                                    <w:left w:val="single" w:sz="4" w:space="0" w:color="auto"/>
                                  </w:tcBorders>
                                  <w:shd w:val="clear" w:color="auto" w:fill="FFFFFF"/>
                                  <w:vAlign w:val="center"/>
                                </w:tcPr>
                                <w:p/>
                              </w:tc>
                              <w:tc>
                                <w:tcPr>
                                  <w:tcW w:w="179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0.94</w:t>
                                  </w:r>
                                </w:p>
                              </w:tc>
                            </w:tr>
                            <w:tr>
                              <w:tblPrEx>
                                <w:jc w:val="left"/>
                                <w:tblLayout w:type="fixed"/>
                                <w:tblCellMar>
                                  <w:left w:w="10" w:type="dxa"/>
                                  <w:right w:w="10" w:type="dxa"/>
                                </w:tblCellMar>
                              </w:tblPrEx>
                              <w:trPr>
                                <w:trHeight w:hRule="exact" w:val="413"/>
                                <w:jc w:val="left"/>
                              </w:trPr>
                              <w:tc>
                                <w:tcPr>
                                  <w:tcW w:w="667"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9</w:t>
                                  </w:r>
                                </w:p>
                              </w:tc>
                              <w:tc>
                                <w:tcPr>
                                  <w:tcW w:w="179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u w:val="single"/>
                                    </w:rPr>
                                    <w:t>4</w:t>
                                  </w:r>
                                  <w:r>
                                    <w:rPr>
                                      <w:spacing w:val="0"/>
                                      <w:w w:val="100"/>
                                      <w:position w:val="0"/>
                                    </w:rPr>
                                    <w:t>.</w:t>
                                  </w:r>
                                  <w:r>
                                    <w:rPr>
                                      <w:spacing w:val="0"/>
                                      <w:w w:val="100"/>
                                      <w:position w:val="0"/>
                                      <w:u w:val="single"/>
                                    </w:rPr>
                                    <w:t xml:space="preserve">25 </w:t>
                                  </w:r>
                                  <w:r>
                                    <w:rPr>
                                      <w:rFonts w:ascii="Arial Unicode MS" w:eastAsia="Arial Unicode MS" w:hAnsi="Arial Unicode MS" w:cs="Arial Unicode MS"/>
                                      <w:spacing w:val="0"/>
                                      <w:w w:val="100"/>
                                      <w:position w:val="0"/>
                                      <w:sz w:val="22"/>
                                      <w:szCs w:val="22"/>
                                      <w:u w:val="single"/>
                                    </w:rPr>
                                    <w:t>〜</w:t>
                                  </w:r>
                                  <w:r>
                                    <w:rPr>
                                      <w:spacing w:val="0"/>
                                      <w:w w:val="100"/>
                                      <w:position w:val="0"/>
                                      <w:u w:val="single"/>
                                    </w:rPr>
                                    <w:t>5</w:t>
                                  </w:r>
                                  <w:r>
                                    <w:rPr>
                                      <w:spacing w:val="0"/>
                                      <w:w w:val="100"/>
                                      <w:position w:val="0"/>
                                    </w:rPr>
                                    <w:t>.</w:t>
                                  </w:r>
                                  <w:r>
                                    <w:rPr>
                                      <w:spacing w:val="0"/>
                                      <w:w w:val="100"/>
                                      <w:position w:val="0"/>
                                      <w:u w:val="single"/>
                                    </w:rPr>
                                    <w:t>82</w:t>
                                  </w:r>
                                </w:p>
                              </w:tc>
                            </w:tr>
                            <w:tr>
                              <w:tblPrEx>
                                <w:jc w:val="left"/>
                                <w:tblLayout w:type="fixed"/>
                                <w:tblCellMar>
                                  <w:left w:w="10" w:type="dxa"/>
                                  <w:right w:w="10" w:type="dxa"/>
                                </w:tblCellMar>
                              </w:tblPrEx>
                              <w:trPr>
                                <w:trHeight w:hRule="exact" w:val="634"/>
                                <w:jc w:val="left"/>
                              </w:trPr>
                              <w:tc>
                                <w:tcPr>
                                  <w:tcW w:w="1" w:type="dxa"/>
                                  <w:vMerge/>
                                  <w:tcBorders>
                                    <w:left w:val="single" w:sz="4" w:space="0" w:color="auto"/>
                                    <w:bottom w:val="single" w:sz="4" w:space="0" w:color="auto"/>
                                  </w:tcBorders>
                                  <w:shd w:val="clear" w:color="auto" w:fill="FFFFFF"/>
                                  <w:vAlign w:val="center"/>
                                </w:tcPr>
                                <w:p/>
                              </w:tc>
                              <w:tc>
                                <w:tcPr>
                                  <w:tcW w:w="179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4.93</w:t>
                                  </w:r>
                                </w:p>
                              </w:tc>
                            </w:tr>
                          </w:tbl>
                          <w:p>
                            <w:pPr>
                              <w:widowControl w:val="0"/>
                              <w:spacing w:line="1" w:lineRule="exact"/>
                            </w:pPr>
                          </w:p>
                        </w:txbxContent>
                      </wps:txbx>
                      <wps:bodyPr lIns="0" tIns="0" rIns="0" bIns="0"/>
                    </wps:wsp>
                  </a:graphicData>
                </a:graphic>
              </wp:anchor>
            </w:drawing>
          </mc:Choice>
          <mc:Fallback>
            <w:pict>
              <v:shape id="Shape 3" o:spid="_x0000_s1026" type="#_x0000_t202" style="width:122.9pt;height:141.35pt;margin-top:0;margin-left:259.35pt;mso-position-horizontal-relative:page;mso-wrap-distance-bottom:24pt;mso-wrap-distance-left:0;mso-wrap-distance-right:0;mso-wrap-distance-top:0;position:absolute;v-text-anchor:top;z-index:251660288" filled="f" fillcolor="this">
                <v:textbox inset="0,0,0,0">
                  <w:txbxContent>
                    <w:tbl>
                      <w:tblPr>
                        <w:tblStyle w:val="TableNormal"/>
                        <w:tblOverlap w:val="never"/>
                        <w:jc w:val="left"/>
                        <w:tblLayout w:type="fixed"/>
                        <w:tblCellMar>
                          <w:left w:w="10" w:type="dxa"/>
                          <w:right w:w="10" w:type="dxa"/>
                        </w:tblCellMar>
                      </w:tblPr>
                      <w:tblGrid>
                        <w:gridCol w:w="667"/>
                        <w:gridCol w:w="1790"/>
                      </w:tblGrid>
                      <w:tr>
                        <w:tblPrEx>
                          <w:jc w:val="left"/>
                          <w:tblLayout w:type="fixed"/>
                          <w:tblCellMar>
                            <w:left w:w="10" w:type="dxa"/>
                            <w:right w:w="10" w:type="dxa"/>
                          </w:tblCellMar>
                        </w:tblPrEx>
                        <w:trPr>
                          <w:trHeight w:hRule="exact" w:val="619"/>
                          <w:tblHeader/>
                          <w:jc w:val="left"/>
                        </w:trPr>
                        <w:tc>
                          <w:tcPr>
                            <w:tcW w:w="667" w:type="dxa"/>
                            <w:tcBorders>
                              <w:top w:val="single" w:sz="4" w:space="0" w:color="auto"/>
                              <w:left w:val="single" w:sz="4" w:space="0" w:color="auto"/>
                            </w:tcBorders>
                            <w:shd w:val="clear" w:color="auto" w:fill="FFFFFF"/>
                            <w:vAlign w:val="top"/>
                          </w:tcPr>
                          <w:p>
                            <w:pPr>
                              <w:widowControl w:val="0"/>
                              <w:rPr>
                                <w:sz w:val="10"/>
                                <w:szCs w:val="10"/>
                              </w:rPr>
                            </w:pPr>
                          </w:p>
                        </w:tc>
                        <w:tc>
                          <w:tcPr>
                            <w:tcW w:w="179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0.92</w:t>
                            </w:r>
                          </w:p>
                        </w:tc>
                      </w:tr>
                      <w:tr>
                        <w:tblPrEx>
                          <w:jc w:val="left"/>
                          <w:tblLayout w:type="fixed"/>
                          <w:tblCellMar>
                            <w:left w:w="10" w:type="dxa"/>
                            <w:right w:w="10" w:type="dxa"/>
                          </w:tblCellMar>
                        </w:tblPrEx>
                        <w:trPr>
                          <w:trHeight w:hRule="exact" w:val="475"/>
                          <w:jc w:val="left"/>
                        </w:trPr>
                        <w:tc>
                          <w:tcPr>
                            <w:tcW w:w="667"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rPr>
                                <w:sz w:val="13"/>
                                <w:szCs w:val="13"/>
                              </w:rPr>
                            </w:pPr>
                            <w:r>
                              <w:rPr>
                                <w:spacing w:val="0"/>
                                <w:w w:val="100"/>
                                <w:position w:val="0"/>
                                <w:sz w:val="26"/>
                                <w:szCs w:val="26"/>
                              </w:rPr>
                              <w:t>8</w:t>
                            </w:r>
                            <w:r>
                              <w:rPr>
                                <w:spacing w:val="0"/>
                                <w:w w:val="100"/>
                                <w:position w:val="0"/>
                                <w:sz w:val="13"/>
                                <w:szCs w:val="13"/>
                              </w:rPr>
                              <w:t>-2</w:t>
                            </w:r>
                          </w:p>
                        </w:tc>
                        <w:tc>
                          <w:tcPr>
                            <w:tcW w:w="179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u w:val="single"/>
                              </w:rPr>
                              <w:t>0</w:t>
                            </w:r>
                            <w:r>
                              <w:rPr>
                                <w:spacing w:val="0"/>
                                <w:w w:val="100"/>
                                <w:position w:val="0"/>
                              </w:rPr>
                              <w:t>.</w:t>
                            </w:r>
                            <w:r>
                              <w:rPr>
                                <w:spacing w:val="0"/>
                                <w:w w:val="100"/>
                                <w:position w:val="0"/>
                                <w:u w:val="single"/>
                              </w:rPr>
                              <w:t xml:space="preserve">35 </w:t>
                            </w:r>
                            <w:r>
                              <w:rPr>
                                <w:rFonts w:ascii="Arial Unicode MS" w:eastAsia="Arial Unicode MS" w:hAnsi="Arial Unicode MS" w:cs="Arial Unicode MS"/>
                                <w:spacing w:val="0"/>
                                <w:w w:val="100"/>
                                <w:position w:val="0"/>
                                <w:sz w:val="22"/>
                                <w:szCs w:val="22"/>
                                <w:u w:val="single"/>
                              </w:rPr>
                              <w:t>〜</w:t>
                            </w:r>
                            <w:r>
                              <w:rPr>
                                <w:spacing w:val="0"/>
                                <w:w w:val="100"/>
                                <w:position w:val="0"/>
                                <w:u w:val="single"/>
                              </w:rPr>
                              <w:t>1</w:t>
                            </w:r>
                            <w:r>
                              <w:rPr>
                                <w:spacing w:val="0"/>
                                <w:w w:val="100"/>
                                <w:position w:val="0"/>
                              </w:rPr>
                              <w:t>.</w:t>
                            </w:r>
                            <w:r>
                              <w:rPr>
                                <w:spacing w:val="0"/>
                                <w:w w:val="100"/>
                                <w:position w:val="0"/>
                                <w:u w:val="single"/>
                              </w:rPr>
                              <w:t>61</w:t>
                            </w:r>
                          </w:p>
                        </w:tc>
                      </w:tr>
                      <w:tr>
                        <w:tblPrEx>
                          <w:jc w:val="left"/>
                          <w:tblLayout w:type="fixed"/>
                          <w:tblCellMar>
                            <w:left w:w="10" w:type="dxa"/>
                            <w:right w:w="10" w:type="dxa"/>
                          </w:tblCellMar>
                        </w:tblPrEx>
                        <w:trPr>
                          <w:trHeight w:hRule="exact" w:val="686"/>
                          <w:jc w:val="left"/>
                        </w:trPr>
                        <w:tc>
                          <w:tcPr>
                            <w:tcW w:w="1" w:type="dxa"/>
                            <w:vMerge/>
                            <w:tcBorders>
                              <w:left w:val="single" w:sz="4" w:space="0" w:color="auto"/>
                            </w:tcBorders>
                            <w:shd w:val="clear" w:color="auto" w:fill="FFFFFF"/>
                            <w:vAlign w:val="center"/>
                          </w:tcPr>
                          <w:p/>
                        </w:tc>
                        <w:tc>
                          <w:tcPr>
                            <w:tcW w:w="179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0.94</w:t>
                            </w:r>
                          </w:p>
                        </w:tc>
                      </w:tr>
                      <w:tr>
                        <w:tblPrEx>
                          <w:jc w:val="left"/>
                          <w:tblLayout w:type="fixed"/>
                          <w:tblCellMar>
                            <w:left w:w="10" w:type="dxa"/>
                            <w:right w:w="10" w:type="dxa"/>
                          </w:tblCellMar>
                        </w:tblPrEx>
                        <w:trPr>
                          <w:trHeight w:hRule="exact" w:val="413"/>
                          <w:jc w:val="left"/>
                        </w:trPr>
                        <w:tc>
                          <w:tcPr>
                            <w:tcW w:w="667"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9</w:t>
                            </w:r>
                          </w:p>
                        </w:tc>
                        <w:tc>
                          <w:tcPr>
                            <w:tcW w:w="179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u w:val="single"/>
                              </w:rPr>
                              <w:t>4</w:t>
                            </w:r>
                            <w:r>
                              <w:rPr>
                                <w:spacing w:val="0"/>
                                <w:w w:val="100"/>
                                <w:position w:val="0"/>
                              </w:rPr>
                              <w:t>.</w:t>
                            </w:r>
                            <w:r>
                              <w:rPr>
                                <w:spacing w:val="0"/>
                                <w:w w:val="100"/>
                                <w:position w:val="0"/>
                                <w:u w:val="single"/>
                              </w:rPr>
                              <w:t xml:space="preserve">25 </w:t>
                            </w:r>
                            <w:r>
                              <w:rPr>
                                <w:rFonts w:ascii="Arial Unicode MS" w:eastAsia="Arial Unicode MS" w:hAnsi="Arial Unicode MS" w:cs="Arial Unicode MS"/>
                                <w:spacing w:val="0"/>
                                <w:w w:val="100"/>
                                <w:position w:val="0"/>
                                <w:sz w:val="22"/>
                                <w:szCs w:val="22"/>
                                <w:u w:val="single"/>
                              </w:rPr>
                              <w:t>〜</w:t>
                            </w:r>
                            <w:r>
                              <w:rPr>
                                <w:spacing w:val="0"/>
                                <w:w w:val="100"/>
                                <w:position w:val="0"/>
                                <w:u w:val="single"/>
                              </w:rPr>
                              <w:t>5</w:t>
                            </w:r>
                            <w:r>
                              <w:rPr>
                                <w:spacing w:val="0"/>
                                <w:w w:val="100"/>
                                <w:position w:val="0"/>
                              </w:rPr>
                              <w:t>.</w:t>
                            </w:r>
                            <w:r>
                              <w:rPr>
                                <w:spacing w:val="0"/>
                                <w:w w:val="100"/>
                                <w:position w:val="0"/>
                                <w:u w:val="single"/>
                              </w:rPr>
                              <w:t>82</w:t>
                            </w:r>
                          </w:p>
                        </w:tc>
                      </w:tr>
                      <w:tr>
                        <w:tblPrEx>
                          <w:jc w:val="left"/>
                          <w:tblLayout w:type="fixed"/>
                          <w:tblCellMar>
                            <w:left w:w="10" w:type="dxa"/>
                            <w:right w:w="10" w:type="dxa"/>
                          </w:tblCellMar>
                        </w:tblPrEx>
                        <w:trPr>
                          <w:trHeight w:hRule="exact" w:val="634"/>
                          <w:jc w:val="left"/>
                        </w:trPr>
                        <w:tc>
                          <w:tcPr>
                            <w:tcW w:w="1" w:type="dxa"/>
                            <w:vMerge/>
                            <w:tcBorders>
                              <w:left w:val="single" w:sz="4" w:space="0" w:color="auto"/>
                              <w:bottom w:val="single" w:sz="4" w:space="0" w:color="auto"/>
                            </w:tcBorders>
                            <w:shd w:val="clear" w:color="auto" w:fill="FFFFFF"/>
                            <w:vAlign w:val="center"/>
                          </w:tcPr>
                          <w:p/>
                        </w:tc>
                        <w:tc>
                          <w:tcPr>
                            <w:tcW w:w="179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4.93</w:t>
                            </w:r>
                          </w:p>
                        </w:tc>
                      </w:tr>
                    </w:tbl>
                    <w:p>
                      <w:pPr>
                        <w:widowControl w:val="0"/>
                        <w:spacing w:line="1" w:lineRule="exact"/>
                      </w:pPr>
                    </w:p>
                  </w:txbxContent>
                </v:textbox>
                <w10:wrap type="topAndBottom"/>
              </v:shape>
            </w:pict>
          </mc:Fallback>
        </mc:AlternateContent>
      </w:r>
      <w:r>
        <mc:AlternateContent>
          <mc:Choice Requires="wps">
            <w:drawing>
              <wp:anchor distT="18415" distB="304800" distL="0" distR="0" simplePos="0" relativeHeight="251663360" behindDoc="0" locked="0" layoutInCell="1" allowOverlap="1">
                <wp:simplePos x="0" y="0"/>
                <wp:positionH relativeFrom="page">
                  <wp:posOffset>4842510</wp:posOffset>
                </wp:positionH>
                <wp:positionV relativeFrom="paragraph">
                  <wp:posOffset>18415</wp:posOffset>
                </wp:positionV>
                <wp:extent cx="1356360" cy="177673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356360" cy="1776730"/>
                        </a:xfrm>
                        <a:prstGeom prst="rect">
                          <a:avLst/>
                        </a:prstGeom>
                        <a:noFill/>
                      </wps:spPr>
                      <wps:txbx>
                        <w:txbxContent>
                          <w:tbl>
                            <w:tblPr>
                              <w:tblStyle w:val="TableNormal"/>
                              <w:tblOverlap w:val="never"/>
                              <w:jc w:val="left"/>
                              <w:tblLayout w:type="fixed"/>
                              <w:tblCellMar>
                                <w:left w:w="10" w:type="dxa"/>
                                <w:right w:w="10" w:type="dxa"/>
                              </w:tblCellMar>
                            </w:tblPr>
                            <w:tblGrid>
                              <w:gridCol w:w="2136"/>
                            </w:tblGrid>
                            <w:tr>
                              <w:tblPrEx>
                                <w:jc w:val="left"/>
                                <w:tblLayout w:type="fixed"/>
                                <w:tblCellMar>
                                  <w:left w:w="10" w:type="dxa"/>
                                  <w:right w:w="10" w:type="dxa"/>
                                </w:tblCellMar>
                              </w:tblPrEx>
                              <w:trPr>
                                <w:trHeight w:hRule="exact" w:val="485"/>
                                <w:tblHeader/>
                                <w:jc w:val="left"/>
                              </w:trPr>
                              <w:tc>
                                <w:tcPr>
                                  <w:tcW w:w="2136"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u w:val="single"/>
                                    </w:rPr>
                                    <w:t>0</w:t>
                                  </w:r>
                                  <w:r>
                                    <w:rPr>
                                      <w:spacing w:val="0"/>
                                      <w:w w:val="100"/>
                                      <w:position w:val="0"/>
                                    </w:rPr>
                                    <w:t>.</w:t>
                                  </w:r>
                                  <w:r>
                                    <w:rPr>
                                      <w:spacing w:val="0"/>
                                      <w:w w:val="100"/>
                                      <w:position w:val="0"/>
                                      <w:u w:val="single"/>
                                    </w:rPr>
                                    <w:t xml:space="preserve">88 </w:t>
                                  </w:r>
                                  <w:r>
                                    <w:rPr>
                                      <w:rFonts w:ascii="Arial Unicode MS" w:eastAsia="Arial Unicode MS" w:hAnsi="Arial Unicode MS" w:cs="Arial Unicode MS"/>
                                      <w:spacing w:val="0"/>
                                      <w:w w:val="100"/>
                                      <w:position w:val="0"/>
                                      <w:sz w:val="22"/>
                                      <w:szCs w:val="22"/>
                                      <w:u w:val="single"/>
                                    </w:rPr>
                                    <w:t>〜</w:t>
                                  </w:r>
                                  <w:r>
                                    <w:rPr>
                                      <w:spacing w:val="0"/>
                                      <w:w w:val="100"/>
                                      <w:position w:val="0"/>
                                      <w:u w:val="single"/>
                                    </w:rPr>
                                    <w:t>1</w:t>
                                  </w:r>
                                  <w:r>
                                    <w:rPr>
                                      <w:spacing w:val="0"/>
                                      <w:w w:val="100"/>
                                      <w:position w:val="0"/>
                                    </w:rPr>
                                    <w:t>.</w:t>
                                  </w:r>
                                  <w:r>
                                    <w:rPr>
                                      <w:spacing w:val="0"/>
                                      <w:w w:val="100"/>
                                      <w:position w:val="0"/>
                                      <w:u w:val="single"/>
                                    </w:rPr>
                                    <w:t>6</w:t>
                                  </w:r>
                                  <w:r>
                                    <w:rPr>
                                      <w:spacing w:val="0"/>
                                      <w:w w:val="100"/>
                                      <w:position w:val="0"/>
                                    </w:rPr>
                                    <w:t>6</w:t>
                                  </w:r>
                                  <w:r>
                                    <w:rPr>
                                      <w:spacing w:val="0"/>
                                      <w:w w:val="100"/>
                                      <w:position w:val="0"/>
                                    </w:rPr>
                                    <w:t>_</w:t>
                                  </w:r>
                                </w:p>
                              </w:tc>
                            </w:tr>
                            <w:tr>
                              <w:tblPrEx>
                                <w:jc w:val="left"/>
                                <w:tblLayout w:type="fixed"/>
                                <w:tblCellMar>
                                  <w:left w:w="10" w:type="dxa"/>
                                  <w:right w:w="10" w:type="dxa"/>
                                </w:tblCellMar>
                              </w:tblPrEx>
                              <w:trPr>
                                <w:trHeight w:hRule="exact" w:val="662"/>
                                <w:jc w:val="left"/>
                              </w:trPr>
                              <w:tc>
                                <w:tcPr>
                                  <w:tcW w:w="2136"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1.18</w:t>
                                  </w:r>
                                </w:p>
                              </w:tc>
                            </w:tr>
                            <w:tr>
                              <w:tblPrEx>
                                <w:jc w:val="left"/>
                                <w:tblLayout w:type="fixed"/>
                                <w:tblCellMar>
                                  <w:left w:w="10" w:type="dxa"/>
                                  <w:right w:w="10" w:type="dxa"/>
                                </w:tblCellMar>
                              </w:tblPrEx>
                              <w:trPr>
                                <w:trHeight w:hRule="exact" w:val="720"/>
                                <w:jc w:val="left"/>
                              </w:trPr>
                              <w:tc>
                                <w:tcPr>
                                  <w:tcW w:w="2136"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u w:val="single"/>
                                    </w:rPr>
                                    <w:t>5</w:t>
                                  </w:r>
                                  <w:r>
                                    <w:rPr>
                                      <w:spacing w:val="0"/>
                                      <w:w w:val="100"/>
                                      <w:position w:val="0"/>
                                    </w:rPr>
                                    <w:t>.</w:t>
                                  </w:r>
                                  <w:r>
                                    <w:rPr>
                                      <w:spacing w:val="0"/>
                                      <w:w w:val="100"/>
                                      <w:position w:val="0"/>
                                      <w:u w:val="single"/>
                                    </w:rPr>
                                    <w:t xml:space="preserve">99 </w:t>
                                  </w:r>
                                  <w:r>
                                    <w:rPr>
                                      <w:rFonts w:ascii="Arial Unicode MS" w:eastAsia="Arial Unicode MS" w:hAnsi="Arial Unicode MS" w:cs="Arial Unicode MS"/>
                                      <w:spacing w:val="0"/>
                                      <w:w w:val="100"/>
                                      <w:position w:val="0"/>
                                      <w:sz w:val="22"/>
                                      <w:szCs w:val="22"/>
                                      <w:u w:val="single"/>
                                    </w:rPr>
                                    <w:t>〜</w:t>
                                  </w:r>
                                  <w:r>
                                    <w:rPr>
                                      <w:spacing w:val="0"/>
                                      <w:w w:val="100"/>
                                      <w:position w:val="0"/>
                                      <w:u w:val="single"/>
                                    </w:rPr>
                                    <w:t>13</w:t>
                                  </w:r>
                                  <w:r>
                                    <w:rPr>
                                      <w:spacing w:val="0"/>
                                      <w:w w:val="100"/>
                                      <w:position w:val="0"/>
                                    </w:rPr>
                                    <w:t>.</w:t>
                                  </w:r>
                                  <w:r>
                                    <w:rPr>
                                      <w:spacing w:val="0"/>
                                      <w:w w:val="100"/>
                                      <w:position w:val="0"/>
                                      <w:u w:val="single"/>
                                    </w:rPr>
                                    <w:t>9</w:t>
                                  </w:r>
                                  <w:r>
                                    <w:rPr>
                                      <w:spacing w:val="0"/>
                                      <w:w w:val="100"/>
                                      <w:position w:val="0"/>
                                    </w:rPr>
                                    <w:t>7</w:t>
                                  </w:r>
                                </w:p>
                              </w:tc>
                            </w:tr>
                            <w:tr>
                              <w:tblPrEx>
                                <w:jc w:val="left"/>
                                <w:tblLayout w:type="fixed"/>
                                <w:tblCellMar>
                                  <w:left w:w="10" w:type="dxa"/>
                                  <w:right w:w="10" w:type="dxa"/>
                                </w:tblCellMar>
                              </w:tblPrEx>
                              <w:trPr>
                                <w:trHeight w:hRule="exact" w:val="931"/>
                                <w:jc w:val="left"/>
                              </w:trPr>
                              <w:tc>
                                <w:tcPr>
                                  <w:tcW w:w="2136"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9.32</w:t>
                                  </w:r>
                                </w:p>
                              </w:tc>
                            </w:tr>
                          </w:tbl>
                          <w:p>
                            <w:pPr>
                              <w:widowControl w:val="0"/>
                              <w:spacing w:line="1" w:lineRule="exact"/>
                            </w:pPr>
                          </w:p>
                        </w:txbxContent>
                      </wps:txbx>
                      <wps:bodyPr lIns="0" tIns="0" rIns="0" bIns="0"/>
                    </wps:wsp>
                  </a:graphicData>
                </a:graphic>
              </wp:anchor>
            </w:drawing>
          </mc:Choice>
          <mc:Fallback>
            <w:pict>
              <v:shape id="Shape 5" o:spid="_x0000_s1027" type="#_x0000_t202" style="width:106.8pt;height:139.9pt;margin-top:1.45pt;margin-left:381.3pt;mso-position-horizontal-relative:page;mso-wrap-distance-bottom:24pt;mso-wrap-distance-left:0;mso-wrap-distance-right:0;mso-wrap-distance-top:1.45pt;position:absolute;v-text-anchor:top;z-index:251662336" filled="f" fillcolor="this">
                <v:textbox inset="0,0,0,0">
                  <w:txbxContent>
                    <w:tbl>
                      <w:tblPr>
                        <w:tblStyle w:val="TableNormal"/>
                        <w:tblOverlap w:val="never"/>
                        <w:jc w:val="left"/>
                        <w:tblLayout w:type="fixed"/>
                        <w:tblCellMar>
                          <w:left w:w="10" w:type="dxa"/>
                          <w:right w:w="10" w:type="dxa"/>
                        </w:tblCellMar>
                      </w:tblPr>
                      <w:tblGrid>
                        <w:gridCol w:w="2136"/>
                      </w:tblGrid>
                      <w:tr>
                        <w:tblPrEx>
                          <w:jc w:val="left"/>
                          <w:tblLayout w:type="fixed"/>
                          <w:tblCellMar>
                            <w:left w:w="10" w:type="dxa"/>
                            <w:right w:w="10" w:type="dxa"/>
                          </w:tblCellMar>
                        </w:tblPrEx>
                        <w:trPr>
                          <w:trHeight w:hRule="exact" w:val="485"/>
                          <w:tblHeader/>
                          <w:jc w:val="left"/>
                        </w:trPr>
                        <w:tc>
                          <w:tcPr>
                            <w:tcW w:w="2136"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u w:val="single"/>
                              </w:rPr>
                              <w:t>0</w:t>
                            </w:r>
                            <w:r>
                              <w:rPr>
                                <w:spacing w:val="0"/>
                                <w:w w:val="100"/>
                                <w:position w:val="0"/>
                              </w:rPr>
                              <w:t>.</w:t>
                            </w:r>
                            <w:r>
                              <w:rPr>
                                <w:spacing w:val="0"/>
                                <w:w w:val="100"/>
                                <w:position w:val="0"/>
                                <w:u w:val="single"/>
                              </w:rPr>
                              <w:t xml:space="preserve">88 </w:t>
                            </w:r>
                            <w:r>
                              <w:rPr>
                                <w:rFonts w:ascii="Arial Unicode MS" w:eastAsia="Arial Unicode MS" w:hAnsi="Arial Unicode MS" w:cs="Arial Unicode MS"/>
                                <w:spacing w:val="0"/>
                                <w:w w:val="100"/>
                                <w:position w:val="0"/>
                                <w:sz w:val="22"/>
                                <w:szCs w:val="22"/>
                                <w:u w:val="single"/>
                              </w:rPr>
                              <w:t>〜</w:t>
                            </w:r>
                            <w:r>
                              <w:rPr>
                                <w:spacing w:val="0"/>
                                <w:w w:val="100"/>
                                <w:position w:val="0"/>
                                <w:u w:val="single"/>
                              </w:rPr>
                              <w:t>1</w:t>
                            </w:r>
                            <w:r>
                              <w:rPr>
                                <w:spacing w:val="0"/>
                                <w:w w:val="100"/>
                                <w:position w:val="0"/>
                              </w:rPr>
                              <w:t>.</w:t>
                            </w:r>
                            <w:r>
                              <w:rPr>
                                <w:spacing w:val="0"/>
                                <w:w w:val="100"/>
                                <w:position w:val="0"/>
                                <w:u w:val="single"/>
                              </w:rPr>
                              <w:t>6</w:t>
                            </w:r>
                            <w:r>
                              <w:rPr>
                                <w:spacing w:val="0"/>
                                <w:w w:val="100"/>
                                <w:position w:val="0"/>
                              </w:rPr>
                              <w:t>6</w:t>
                            </w:r>
                            <w:r>
                              <w:rPr>
                                <w:spacing w:val="0"/>
                                <w:w w:val="100"/>
                                <w:position w:val="0"/>
                              </w:rPr>
                              <w:t>_</w:t>
                            </w:r>
                          </w:p>
                        </w:tc>
                      </w:tr>
                      <w:tr>
                        <w:tblPrEx>
                          <w:jc w:val="left"/>
                          <w:tblLayout w:type="fixed"/>
                          <w:tblCellMar>
                            <w:left w:w="10" w:type="dxa"/>
                            <w:right w:w="10" w:type="dxa"/>
                          </w:tblCellMar>
                        </w:tblPrEx>
                        <w:trPr>
                          <w:trHeight w:hRule="exact" w:val="662"/>
                          <w:jc w:val="left"/>
                        </w:trPr>
                        <w:tc>
                          <w:tcPr>
                            <w:tcW w:w="2136"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1.18</w:t>
                            </w:r>
                          </w:p>
                        </w:tc>
                      </w:tr>
                      <w:tr>
                        <w:tblPrEx>
                          <w:jc w:val="left"/>
                          <w:tblLayout w:type="fixed"/>
                          <w:tblCellMar>
                            <w:left w:w="10" w:type="dxa"/>
                            <w:right w:w="10" w:type="dxa"/>
                          </w:tblCellMar>
                        </w:tblPrEx>
                        <w:trPr>
                          <w:trHeight w:hRule="exact" w:val="720"/>
                          <w:jc w:val="left"/>
                        </w:trPr>
                        <w:tc>
                          <w:tcPr>
                            <w:tcW w:w="2136"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u w:val="single"/>
                              </w:rPr>
                              <w:t>5</w:t>
                            </w:r>
                            <w:r>
                              <w:rPr>
                                <w:spacing w:val="0"/>
                                <w:w w:val="100"/>
                                <w:position w:val="0"/>
                              </w:rPr>
                              <w:t>.</w:t>
                            </w:r>
                            <w:r>
                              <w:rPr>
                                <w:spacing w:val="0"/>
                                <w:w w:val="100"/>
                                <w:position w:val="0"/>
                                <w:u w:val="single"/>
                              </w:rPr>
                              <w:t xml:space="preserve">99 </w:t>
                            </w:r>
                            <w:r>
                              <w:rPr>
                                <w:rFonts w:ascii="Arial Unicode MS" w:eastAsia="Arial Unicode MS" w:hAnsi="Arial Unicode MS" w:cs="Arial Unicode MS"/>
                                <w:spacing w:val="0"/>
                                <w:w w:val="100"/>
                                <w:position w:val="0"/>
                                <w:sz w:val="22"/>
                                <w:szCs w:val="22"/>
                                <w:u w:val="single"/>
                              </w:rPr>
                              <w:t>〜</w:t>
                            </w:r>
                            <w:r>
                              <w:rPr>
                                <w:spacing w:val="0"/>
                                <w:w w:val="100"/>
                                <w:position w:val="0"/>
                                <w:u w:val="single"/>
                              </w:rPr>
                              <w:t>13</w:t>
                            </w:r>
                            <w:r>
                              <w:rPr>
                                <w:spacing w:val="0"/>
                                <w:w w:val="100"/>
                                <w:position w:val="0"/>
                              </w:rPr>
                              <w:t>.</w:t>
                            </w:r>
                            <w:r>
                              <w:rPr>
                                <w:spacing w:val="0"/>
                                <w:w w:val="100"/>
                                <w:position w:val="0"/>
                                <w:u w:val="single"/>
                              </w:rPr>
                              <w:t>9</w:t>
                            </w:r>
                            <w:r>
                              <w:rPr>
                                <w:spacing w:val="0"/>
                                <w:w w:val="100"/>
                                <w:position w:val="0"/>
                              </w:rPr>
                              <w:t>7</w:t>
                            </w:r>
                          </w:p>
                        </w:tc>
                      </w:tr>
                      <w:tr>
                        <w:tblPrEx>
                          <w:jc w:val="left"/>
                          <w:tblLayout w:type="fixed"/>
                          <w:tblCellMar>
                            <w:left w:w="10" w:type="dxa"/>
                            <w:right w:w="10" w:type="dxa"/>
                          </w:tblCellMar>
                        </w:tblPrEx>
                        <w:trPr>
                          <w:trHeight w:hRule="exact" w:val="931"/>
                          <w:jc w:val="left"/>
                        </w:trPr>
                        <w:tc>
                          <w:tcPr>
                            <w:tcW w:w="2136"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9.32</w:t>
                            </w:r>
                          </w:p>
                        </w:tc>
                      </w:tr>
                    </w:tbl>
                    <w:p>
                      <w:pPr>
                        <w:widowControl w:val="0"/>
                        <w:spacing w:line="1" w:lineRule="exact"/>
                      </w:pPr>
                    </w:p>
                  </w:txbxContent>
                </v:textbox>
                <w10:wrap type="topAndBottom"/>
              </v:shape>
            </w:pict>
          </mc:Fallback>
        </mc:AlternateContent>
      </w:r>
      <w:r>
        <mc:AlternateContent>
          <mc:Choice Requires="wps">
            <w:drawing>
              <wp:anchor distT="0" distB="304800" distL="0" distR="0" simplePos="0" relativeHeight="251665408" behindDoc="0" locked="0" layoutInCell="1" allowOverlap="1">
                <wp:simplePos x="0" y="0"/>
                <wp:positionH relativeFrom="page">
                  <wp:posOffset>6186170</wp:posOffset>
                </wp:positionH>
                <wp:positionV relativeFrom="paragraph">
                  <wp:posOffset>0</wp:posOffset>
                </wp:positionV>
                <wp:extent cx="3709670" cy="1795145"/>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709670" cy="1795145"/>
                        </a:xfrm>
                        <a:prstGeom prst="rect">
                          <a:avLst/>
                        </a:prstGeom>
                        <a:noFill/>
                      </wps:spPr>
                      <wps:txbx>
                        <w:txbxContent>
                          <w:tbl>
                            <w:tblPr>
                              <w:tblStyle w:val="TableNormal"/>
                              <w:tblOverlap w:val="never"/>
                              <w:jc w:val="left"/>
                              <w:tblLayout w:type="fixed"/>
                              <w:tblCellMar>
                                <w:left w:w="10" w:type="dxa"/>
                                <w:right w:w="10" w:type="dxa"/>
                              </w:tblCellMar>
                            </w:tblPr>
                            <w:tblGrid>
                              <w:gridCol w:w="970"/>
                              <w:gridCol w:w="878"/>
                              <w:gridCol w:w="1162"/>
                              <w:gridCol w:w="1781"/>
                              <w:gridCol w:w="1051"/>
                            </w:tblGrid>
                            <w:tr>
                              <w:tblPrEx>
                                <w:jc w:val="left"/>
                                <w:tblLayout w:type="fixed"/>
                                <w:tblCellMar>
                                  <w:left w:w="10" w:type="dxa"/>
                                  <w:right w:w="10" w:type="dxa"/>
                                </w:tblCellMar>
                              </w:tblPrEx>
                              <w:trPr>
                                <w:trHeight w:hRule="exact" w:val="619"/>
                                <w:tblHeader/>
                                <w:jc w:val="left"/>
                              </w:trPr>
                              <w:tc>
                                <w:tcPr>
                                  <w:tcW w:w="970" w:type="dxa"/>
                                  <w:tcBorders>
                                    <w:left w:val="single" w:sz="4" w:space="0" w:color="auto"/>
                                  </w:tcBorders>
                                  <w:shd w:val="clear" w:color="auto" w:fill="FFFFFF"/>
                                  <w:vAlign w:val="top"/>
                                </w:tcPr>
                                <w:p>
                                  <w:pPr>
                                    <w:widowControl w:val="0"/>
                                    <w:rPr>
                                      <w:sz w:val="10"/>
                                      <w:szCs w:val="10"/>
                                    </w:rPr>
                                  </w:pPr>
                                </w:p>
                              </w:tc>
                              <w:tc>
                                <w:tcPr>
                                  <w:tcW w:w="878" w:type="dxa"/>
                                  <w:tcBorders>
                                    <w:left w:val="single" w:sz="4" w:space="0" w:color="auto"/>
                                  </w:tcBorders>
                                  <w:shd w:val="clear" w:color="auto" w:fill="FFFFFF"/>
                                  <w:vAlign w:val="top"/>
                                </w:tcPr>
                                <w:p>
                                  <w:pPr>
                                    <w:widowControl w:val="0"/>
                                    <w:rPr>
                                      <w:sz w:val="10"/>
                                      <w:szCs w:val="10"/>
                                    </w:rPr>
                                  </w:pPr>
                                </w:p>
                              </w:tc>
                              <w:tc>
                                <w:tcPr>
                                  <w:tcW w:w="1162" w:type="dxa"/>
                                  <w:tcBorders>
                                    <w:left w:val="single" w:sz="4" w:space="0" w:color="auto"/>
                                  </w:tcBorders>
                                  <w:shd w:val="clear" w:color="auto" w:fill="FFFFFF"/>
                                  <w:vAlign w:val="top"/>
                                </w:tcPr>
                                <w:p>
                                  <w:pPr>
                                    <w:widowControl w:val="0"/>
                                    <w:rPr>
                                      <w:sz w:val="10"/>
                                      <w:szCs w:val="10"/>
                                    </w:rPr>
                                  </w:pPr>
                                </w:p>
                              </w:tc>
                              <w:tc>
                                <w:tcPr>
                                  <w:tcW w:w="1781" w:type="dxa"/>
                                  <w:tcBorders>
                                    <w:left w:val="single" w:sz="4" w:space="0" w:color="auto"/>
                                  </w:tcBorders>
                                  <w:shd w:val="clear" w:color="auto" w:fill="FFFFFF"/>
                                  <w:vAlign w:val="top"/>
                                </w:tcPr>
                                <w:p>
                                  <w:pPr>
                                    <w:widowControl w:val="0"/>
                                    <w:rPr>
                                      <w:sz w:val="10"/>
                                      <w:szCs w:val="10"/>
                                    </w:rPr>
                                  </w:pPr>
                                </w:p>
                              </w:tc>
                              <w:tc>
                                <w:tcPr>
                                  <w:tcW w:w="1051" w:type="dxa"/>
                                  <w:tcBorders>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1162"/>
                                <w:jc w:val="left"/>
                              </w:trPr>
                              <w:tc>
                                <w:tcPr>
                                  <w:tcW w:w="97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稳定</w:t>
                                  </w:r>
                                </w:p>
                              </w:tc>
                              <w:tc>
                                <w:tcPr>
                                  <w:tcW w:w="87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简单</w:t>
                                  </w:r>
                                </w:p>
                              </w:tc>
                              <w:tc>
                                <w:tcPr>
                                  <w:tcW w:w="116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较稳定</w:t>
                                  </w:r>
                                </w:p>
                              </w:tc>
                              <w:tc>
                                <w:tcPr>
                                  <w:tcW w:w="1781"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大部可采</w:t>
                                  </w:r>
                                </w:p>
                              </w:tc>
                              <w:tc>
                                <w:tcPr>
                                  <w:tcW w:w="10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1046"/>
                                <w:jc w:val="left"/>
                              </w:trPr>
                              <w:tc>
                                <w:tcPr>
                                  <w:tcW w:w="970"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稳定</w:t>
                                  </w:r>
                                </w:p>
                              </w:tc>
                              <w:tc>
                                <w:tcPr>
                                  <w:tcW w:w="878"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较简单</w:t>
                                  </w:r>
                                </w:p>
                              </w:tc>
                              <w:tc>
                                <w:tcPr>
                                  <w:tcW w:w="116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稳定</w:t>
                                  </w:r>
                                </w:p>
                              </w:tc>
                              <w:tc>
                                <w:tcPr>
                                  <w:tcW w:w="1781"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全区可采</w:t>
                                  </w:r>
                                </w:p>
                              </w:tc>
                              <w:tc>
                                <w:tcPr>
                                  <w:tcW w:w="1051"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line="1" w:lineRule="exact"/>
                            </w:pPr>
                          </w:p>
                        </w:txbxContent>
                      </wps:txbx>
                      <wps:bodyPr lIns="0" tIns="0" rIns="0" bIns="0"/>
                    </wps:wsp>
                  </a:graphicData>
                </a:graphic>
              </wp:anchor>
            </w:drawing>
          </mc:Choice>
          <mc:Fallback>
            <w:pict>
              <v:shape id="Shape 7" o:spid="_x0000_s1028" type="#_x0000_t202" style="width:292.1pt;height:141.35pt;margin-top:0;margin-left:487.1pt;mso-position-horizontal-relative:page;mso-wrap-distance-bottom:24pt;mso-wrap-distance-left:0;mso-wrap-distance-right:0;mso-wrap-distance-top:0;position:absolute;v-text-anchor:top;z-index:251664384" filled="f" fillcolor="this">
                <v:textbox inset="0,0,0,0">
                  <w:txbxContent>
                    <w:tbl>
                      <w:tblPr>
                        <w:tblStyle w:val="TableNormal"/>
                        <w:tblOverlap w:val="never"/>
                        <w:jc w:val="left"/>
                        <w:tblLayout w:type="fixed"/>
                        <w:tblCellMar>
                          <w:left w:w="10" w:type="dxa"/>
                          <w:right w:w="10" w:type="dxa"/>
                        </w:tblCellMar>
                      </w:tblPr>
                      <w:tblGrid>
                        <w:gridCol w:w="970"/>
                        <w:gridCol w:w="878"/>
                        <w:gridCol w:w="1162"/>
                        <w:gridCol w:w="1781"/>
                        <w:gridCol w:w="1051"/>
                      </w:tblGrid>
                      <w:tr>
                        <w:tblPrEx>
                          <w:jc w:val="left"/>
                          <w:tblLayout w:type="fixed"/>
                          <w:tblCellMar>
                            <w:left w:w="10" w:type="dxa"/>
                            <w:right w:w="10" w:type="dxa"/>
                          </w:tblCellMar>
                        </w:tblPrEx>
                        <w:trPr>
                          <w:trHeight w:hRule="exact" w:val="619"/>
                          <w:tblHeader/>
                          <w:jc w:val="left"/>
                        </w:trPr>
                        <w:tc>
                          <w:tcPr>
                            <w:tcW w:w="970" w:type="dxa"/>
                            <w:tcBorders>
                              <w:left w:val="single" w:sz="4" w:space="0" w:color="auto"/>
                            </w:tcBorders>
                            <w:shd w:val="clear" w:color="auto" w:fill="FFFFFF"/>
                            <w:vAlign w:val="top"/>
                          </w:tcPr>
                          <w:p>
                            <w:pPr>
                              <w:widowControl w:val="0"/>
                              <w:rPr>
                                <w:sz w:val="10"/>
                                <w:szCs w:val="10"/>
                              </w:rPr>
                            </w:pPr>
                          </w:p>
                        </w:tc>
                        <w:tc>
                          <w:tcPr>
                            <w:tcW w:w="878" w:type="dxa"/>
                            <w:tcBorders>
                              <w:left w:val="single" w:sz="4" w:space="0" w:color="auto"/>
                            </w:tcBorders>
                            <w:shd w:val="clear" w:color="auto" w:fill="FFFFFF"/>
                            <w:vAlign w:val="top"/>
                          </w:tcPr>
                          <w:p>
                            <w:pPr>
                              <w:widowControl w:val="0"/>
                              <w:rPr>
                                <w:sz w:val="10"/>
                                <w:szCs w:val="10"/>
                              </w:rPr>
                            </w:pPr>
                          </w:p>
                        </w:tc>
                        <w:tc>
                          <w:tcPr>
                            <w:tcW w:w="1162" w:type="dxa"/>
                            <w:tcBorders>
                              <w:left w:val="single" w:sz="4" w:space="0" w:color="auto"/>
                            </w:tcBorders>
                            <w:shd w:val="clear" w:color="auto" w:fill="FFFFFF"/>
                            <w:vAlign w:val="top"/>
                          </w:tcPr>
                          <w:p>
                            <w:pPr>
                              <w:widowControl w:val="0"/>
                              <w:rPr>
                                <w:sz w:val="10"/>
                                <w:szCs w:val="10"/>
                              </w:rPr>
                            </w:pPr>
                          </w:p>
                        </w:tc>
                        <w:tc>
                          <w:tcPr>
                            <w:tcW w:w="1781" w:type="dxa"/>
                            <w:tcBorders>
                              <w:left w:val="single" w:sz="4" w:space="0" w:color="auto"/>
                            </w:tcBorders>
                            <w:shd w:val="clear" w:color="auto" w:fill="FFFFFF"/>
                            <w:vAlign w:val="top"/>
                          </w:tcPr>
                          <w:p>
                            <w:pPr>
                              <w:widowControl w:val="0"/>
                              <w:rPr>
                                <w:sz w:val="10"/>
                                <w:szCs w:val="10"/>
                              </w:rPr>
                            </w:pPr>
                          </w:p>
                        </w:tc>
                        <w:tc>
                          <w:tcPr>
                            <w:tcW w:w="1051" w:type="dxa"/>
                            <w:tcBorders>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1162"/>
                          <w:jc w:val="left"/>
                        </w:trPr>
                        <w:tc>
                          <w:tcPr>
                            <w:tcW w:w="97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稳定</w:t>
                            </w:r>
                          </w:p>
                        </w:tc>
                        <w:tc>
                          <w:tcPr>
                            <w:tcW w:w="87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简单</w:t>
                            </w:r>
                          </w:p>
                        </w:tc>
                        <w:tc>
                          <w:tcPr>
                            <w:tcW w:w="116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较稳定</w:t>
                            </w:r>
                          </w:p>
                        </w:tc>
                        <w:tc>
                          <w:tcPr>
                            <w:tcW w:w="1781"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大部可采</w:t>
                            </w:r>
                          </w:p>
                        </w:tc>
                        <w:tc>
                          <w:tcPr>
                            <w:tcW w:w="1051"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left"/>
                          <w:tblLayout w:type="fixed"/>
                          <w:tblCellMar>
                            <w:left w:w="10" w:type="dxa"/>
                            <w:right w:w="10" w:type="dxa"/>
                          </w:tblCellMar>
                        </w:tblPrEx>
                        <w:trPr>
                          <w:trHeight w:hRule="exact" w:val="1046"/>
                          <w:jc w:val="left"/>
                        </w:trPr>
                        <w:tc>
                          <w:tcPr>
                            <w:tcW w:w="970"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稳定</w:t>
                            </w:r>
                          </w:p>
                        </w:tc>
                        <w:tc>
                          <w:tcPr>
                            <w:tcW w:w="878"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较简单</w:t>
                            </w:r>
                          </w:p>
                        </w:tc>
                        <w:tc>
                          <w:tcPr>
                            <w:tcW w:w="116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稳定</w:t>
                            </w:r>
                          </w:p>
                        </w:tc>
                        <w:tc>
                          <w:tcPr>
                            <w:tcW w:w="1781"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全区可采</w:t>
                            </w:r>
                          </w:p>
                        </w:tc>
                        <w:tc>
                          <w:tcPr>
                            <w:tcW w:w="1051"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widowControl w:val="0"/>
                        <w:spacing w:line="1" w:lineRule="exact"/>
                      </w:pPr>
                    </w:p>
                  </w:txbxContent>
                </v:textbox>
                <w10:wrap type="topAndBottom"/>
              </v:shape>
            </w:pict>
          </mc:Fallback>
        </mc:AlternateContent>
      </w:r>
    </w:p>
    <w:p>
      <w:pPr>
        <w:pStyle w:val="a2"/>
        <w:keepNext w:val="0"/>
        <w:keepLines w:val="0"/>
        <w:widowControl w:val="0"/>
        <w:shd w:val="clear" w:color="auto" w:fill="auto"/>
        <w:bidi w:val="0"/>
        <w:spacing w:before="0" w:after="100" w:line="240" w:lineRule="auto"/>
        <w:ind w:left="0" w:right="0" w:firstLine="0"/>
        <w:jc w:val="left"/>
      </w:pPr>
      <w:r>
        <w:rPr>
          <w:color w:val="000000"/>
          <w:spacing w:val="0"/>
          <w:w w:val="100"/>
          <w:position w:val="0"/>
        </w:rPr>
        <w:t>（二）煤质</w:t>
      </w:r>
    </w:p>
    <w:p>
      <w:pPr>
        <w:pStyle w:val="a2"/>
        <w:keepNext w:val="0"/>
        <w:keepLines w:val="0"/>
        <w:widowControl w:val="0"/>
        <w:numPr>
          <w:ilvl w:val="0"/>
          <w:numId w:val="19"/>
        </w:numPr>
        <w:shd w:val="clear" w:color="auto" w:fill="auto"/>
        <w:bidi w:val="0"/>
        <w:spacing w:before="0" w:after="0" w:line="240" w:lineRule="auto"/>
        <w:ind w:left="0" w:right="0" w:firstLine="540"/>
        <w:jc w:val="both"/>
      </w:pPr>
      <w:bookmarkStart w:id="6" w:name="bookmark6"/>
      <w:bookmarkEnd w:id="6"/>
      <w:r>
        <w:rPr>
          <w:color w:val="008080"/>
          <w:spacing w:val="0"/>
          <w:w w:val="100"/>
          <w:position w:val="0"/>
        </w:rPr>
        <w:t>物理性质</w:t>
      </w:r>
    </w:p>
    <w:p>
      <w:pPr>
        <w:pStyle w:val="a2"/>
        <w:keepNext w:val="0"/>
        <w:keepLines w:val="0"/>
        <w:widowControl w:val="0"/>
        <w:shd w:val="clear" w:color="auto" w:fill="auto"/>
        <w:bidi w:val="0"/>
        <w:spacing w:before="0" w:after="0" w:line="469" w:lineRule="exact"/>
        <w:ind w:left="0" w:right="0" w:firstLine="540"/>
        <w:jc w:val="both"/>
      </w:pPr>
      <w:r>
        <w:rPr>
          <w:color w:val="008080"/>
          <w:spacing w:val="0"/>
          <w:w w:val="100"/>
          <w:position w:val="0"/>
        </w:rPr>
        <w:t>勘探区内各煤层的物理性质基本相同，表现为黑色或棕黑色，条痕为深黑色或褐黑色，沥青光泽</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玻璃光泽，硬度一般为2</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 xml:space="preserve"> 3,内生裂隙相对较发育。</w:t>
      </w:r>
    </w:p>
    <w:p>
      <w:pPr>
        <w:pStyle w:val="a2"/>
        <w:keepNext w:val="0"/>
        <w:keepLines w:val="0"/>
        <w:widowControl w:val="0"/>
        <w:shd w:val="clear" w:color="auto" w:fill="auto"/>
        <w:bidi w:val="0"/>
        <w:spacing w:before="0" w:after="0" w:line="469" w:lineRule="exact"/>
        <w:ind w:left="0" w:right="0" w:firstLine="540"/>
        <w:jc w:val="both"/>
      </w:pPr>
      <w:r>
        <w:rPr>
          <w:color w:val="008080"/>
          <w:spacing w:val="0"/>
          <w:w w:val="100"/>
          <w:position w:val="0"/>
        </w:rPr>
        <w:t>宏观煤岩组分以亮煤、镜煤为主，其次为暗煤，夹少量丝炭条带。宏观结构以条带状、均一状为主，有少量线理状、透镜状 结构，构造为层状构造。宏观类型为光亮</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半亮型煤，含少量半暗</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暗淡型煤分层。各煤层显微煤岩结构以碎屑状结构、条带状 结构、均一状结构、粒状结构为主。显微煤岩构造为斑状、碎集状、平行状及块状构造。</w:t>
      </w:r>
    </w:p>
    <w:p>
      <w:pPr>
        <w:pStyle w:val="a2"/>
        <w:keepNext w:val="0"/>
        <w:keepLines w:val="0"/>
        <w:widowControl w:val="0"/>
        <w:shd w:val="clear" w:color="auto" w:fill="auto"/>
        <w:bidi w:val="0"/>
        <w:spacing w:before="0" w:after="0" w:line="469" w:lineRule="exact"/>
        <w:ind w:left="0" w:right="0" w:firstLine="540"/>
        <w:jc w:val="both"/>
      </w:pPr>
      <w:r>
        <w:rPr>
          <w:color w:val="008080"/>
          <w:spacing w:val="0"/>
          <w:w w:val="100"/>
          <w:position w:val="0"/>
        </w:rPr>
        <w:t>2煤质及工业用途评价</w:t>
      </w:r>
    </w:p>
    <w:p>
      <w:pPr>
        <w:pStyle w:val="a2"/>
        <w:keepNext w:val="0"/>
        <w:keepLines w:val="0"/>
        <w:widowControl w:val="0"/>
        <w:numPr>
          <w:ilvl w:val="0"/>
          <w:numId w:val="5"/>
        </w:numPr>
        <w:shd w:val="clear" w:color="auto" w:fill="auto"/>
        <w:tabs>
          <w:tab w:val="left" w:pos="990"/>
        </w:tabs>
        <w:bidi w:val="0"/>
        <w:spacing w:before="0" w:after="0" w:line="469" w:lineRule="exact"/>
        <w:ind w:left="0" w:right="0" w:firstLine="540"/>
        <w:jc w:val="both"/>
      </w:pPr>
      <w:bookmarkStart w:id="7" w:name="bookmark7"/>
      <w:bookmarkEnd w:id="7"/>
      <w:r>
        <w:rPr>
          <w:color w:val="008080"/>
          <w:spacing w:val="0"/>
          <w:w w:val="100"/>
          <w:position w:val="0"/>
        </w:rPr>
        <w:t>煤质及研究程度</w:t>
      </w:r>
    </w:p>
    <w:p>
      <w:pPr>
        <w:pStyle w:val="a2"/>
        <w:keepNext w:val="0"/>
        <w:keepLines w:val="0"/>
        <w:widowControl w:val="0"/>
        <w:shd w:val="clear" w:color="auto" w:fill="auto"/>
        <w:bidi w:val="0"/>
        <w:spacing w:before="0" w:after="0" w:line="475" w:lineRule="exact"/>
        <w:ind w:left="0" w:right="0" w:firstLine="540"/>
        <w:jc w:val="both"/>
      </w:pPr>
      <w:r>
        <w:rPr>
          <w:color w:val="008080"/>
          <w:spacing w:val="0"/>
          <w:w w:val="100"/>
          <w:position w:val="0"/>
        </w:rPr>
        <w:t>3号煤层以低灰煤为主，少量特低灰煤和中灰煤；中等挥发分煤为主，低挥发分煤次之；低硫分煤为主，少量特低硫煤和中 硫分煤；低磷分煤为主的焦煤（</w:t>
      </w:r>
      <w:r>
        <w:rPr>
          <w:color w:val="008080"/>
          <w:spacing w:val="0"/>
          <w:w w:val="100"/>
          <w:position w:val="0"/>
        </w:rPr>
        <w:t>JM），</w:t>
      </w:r>
      <w:r>
        <w:rPr>
          <w:color w:val="008080"/>
          <w:spacing w:val="0"/>
          <w:w w:val="100"/>
          <w:position w:val="0"/>
        </w:rPr>
        <w:t>极个别为瘦煤</w:t>
      </w:r>
      <w:r>
        <w:rPr>
          <w:color w:val="008080"/>
          <w:spacing w:val="0"/>
          <w:w w:val="100"/>
          <w:position w:val="0"/>
        </w:rPr>
        <w:t>（SM）。</w:t>
      </w:r>
    </w:p>
    <w:p>
      <w:pPr>
        <w:pStyle w:val="a2"/>
        <w:keepNext w:val="0"/>
        <w:keepLines w:val="0"/>
        <w:widowControl w:val="0"/>
        <w:shd w:val="clear" w:color="auto" w:fill="auto"/>
        <w:bidi w:val="0"/>
        <w:spacing w:before="0" w:after="0" w:line="475" w:lineRule="exact"/>
        <w:ind w:left="0" w:right="0" w:firstLine="540"/>
        <w:jc w:val="both"/>
      </w:pPr>
      <w:r>
        <w:rPr>
          <w:color w:val="008080"/>
          <w:spacing w:val="0"/>
          <w:w w:val="100"/>
          <w:position w:val="0"/>
        </w:rPr>
        <w:t>4号煤层以中灰煤为主，少量特低灰煤、低灰煤和高灰煤；中等挥发分煤为主，少量低挥发分煤；低硫分煤为主，少量特低 硫煤和中低硫煤；低磷分煤为主，少量特低磷煤的焦煤（</w:t>
      </w:r>
      <w:r>
        <w:rPr>
          <w:color w:val="008080"/>
          <w:spacing w:val="0"/>
          <w:w w:val="100"/>
          <w:position w:val="0"/>
        </w:rPr>
        <w:t>JM），</w:t>
      </w:r>
      <w:r>
        <w:rPr>
          <w:color w:val="008080"/>
          <w:spacing w:val="0"/>
          <w:w w:val="100"/>
          <w:position w:val="0"/>
        </w:rPr>
        <w:t>少量瘦煤</w:t>
      </w:r>
      <w:r>
        <w:rPr>
          <w:color w:val="008080"/>
          <w:spacing w:val="0"/>
          <w:w w:val="100"/>
          <w:position w:val="0"/>
        </w:rPr>
        <w:t>（SM）。</w:t>
      </w:r>
    </w:p>
    <w:p>
      <w:pPr>
        <w:pStyle w:val="a2"/>
        <w:keepNext w:val="0"/>
        <w:keepLines w:val="0"/>
        <w:widowControl w:val="0"/>
        <w:shd w:val="clear" w:color="auto" w:fill="auto"/>
        <w:bidi w:val="0"/>
        <w:spacing w:before="0" w:after="0" w:line="475" w:lineRule="exact"/>
        <w:ind w:left="0" w:right="0" w:firstLine="540"/>
        <w:jc w:val="both"/>
      </w:pPr>
      <w:r>
        <w:rPr>
          <w:color w:val="008080"/>
          <w:spacing w:val="0"/>
          <w:w w:val="100"/>
          <w:position w:val="0"/>
        </w:rPr>
        <w:t>8</w:t>
      </w:r>
      <w:r>
        <w:rPr>
          <w:color w:val="008080"/>
          <w:spacing w:val="0"/>
          <w:w w:val="100"/>
          <w:position w:val="0"/>
          <w:sz w:val="13"/>
          <w:szCs w:val="13"/>
        </w:rPr>
        <w:t>-1</w:t>
      </w:r>
      <w:r>
        <w:rPr>
          <w:color w:val="008080"/>
          <w:spacing w:val="0"/>
          <w:w w:val="100"/>
          <w:position w:val="0"/>
        </w:rPr>
        <w:t>号煤层以低灰煤为主，少量特低灰煤；低挥发分煤为主，中等挥发分煤次之；高硫分煤为主，少量特低硫煤、中低硫煤和 中高硫煤；低磷分煤为主的焦煤（</w:t>
      </w:r>
      <w:r>
        <w:rPr>
          <w:color w:val="008080"/>
          <w:spacing w:val="0"/>
          <w:w w:val="100"/>
          <w:position w:val="0"/>
        </w:rPr>
        <w:t>JM），</w:t>
      </w:r>
      <w:r>
        <w:rPr>
          <w:color w:val="008080"/>
          <w:spacing w:val="0"/>
          <w:w w:val="100"/>
          <w:position w:val="0"/>
        </w:rPr>
        <w:t>少量瘦煤</w:t>
      </w:r>
      <w:r>
        <w:rPr>
          <w:color w:val="008080"/>
          <w:spacing w:val="0"/>
          <w:w w:val="100"/>
          <w:position w:val="0"/>
        </w:rPr>
        <w:t>（SM）。</w:t>
      </w:r>
    </w:p>
    <w:p>
      <w:pPr>
        <w:pStyle w:val="a2"/>
        <w:keepNext w:val="0"/>
        <w:keepLines w:val="0"/>
        <w:widowControl w:val="0"/>
        <w:shd w:val="clear" w:color="auto" w:fill="auto"/>
        <w:bidi w:val="0"/>
        <w:spacing w:before="0" w:after="0" w:line="485" w:lineRule="exact"/>
        <w:ind w:left="0" w:right="0" w:firstLine="540"/>
        <w:jc w:val="both"/>
      </w:pPr>
      <w:r>
        <w:rPr>
          <w:color w:val="008080"/>
          <w:spacing w:val="0"/>
          <w:w w:val="100"/>
          <w:position w:val="0"/>
        </w:rPr>
        <w:t>8</w:t>
      </w:r>
      <w:r>
        <w:rPr>
          <w:color w:val="008080"/>
          <w:spacing w:val="0"/>
          <w:w w:val="100"/>
          <w:position w:val="0"/>
          <w:sz w:val="13"/>
          <w:szCs w:val="13"/>
        </w:rPr>
        <w:t>-2</w:t>
      </w:r>
      <w:r>
        <w:rPr>
          <w:color w:val="008080"/>
          <w:spacing w:val="0"/>
          <w:w w:val="100"/>
          <w:position w:val="0"/>
        </w:rPr>
        <w:t>号煤层以低灰煤为主，特低灰煤次之，少量中灰煤；中等挥发分煤为主，低挥发分煤次之；高硫分煤为主，少量特低硫煤 和中硫分煤；低磷分煤为主的焦煤（</w:t>
      </w:r>
      <w:r>
        <w:rPr>
          <w:color w:val="008080"/>
          <w:spacing w:val="0"/>
          <w:w w:val="100"/>
          <w:position w:val="0"/>
        </w:rPr>
        <w:t>JM），</w:t>
      </w:r>
      <w:r>
        <w:rPr>
          <w:color w:val="008080"/>
          <w:spacing w:val="0"/>
          <w:w w:val="100"/>
          <w:position w:val="0"/>
        </w:rPr>
        <w:t>少量瘦煤（</w:t>
      </w:r>
      <w:r>
        <w:rPr>
          <w:color w:val="008080"/>
          <w:spacing w:val="0"/>
          <w:w w:val="100"/>
          <w:position w:val="0"/>
        </w:rPr>
        <w:t>SM）。</w:t>
      </w:r>
    </w:p>
    <w:p>
      <w:pPr>
        <w:pStyle w:val="a2"/>
        <w:keepNext w:val="0"/>
        <w:keepLines w:val="0"/>
        <w:widowControl w:val="0"/>
        <w:shd w:val="clear" w:color="auto" w:fill="auto"/>
        <w:bidi w:val="0"/>
        <w:spacing w:before="0" w:after="0" w:line="456" w:lineRule="exact"/>
        <w:ind w:left="0" w:right="0" w:firstLine="540"/>
        <w:jc w:val="both"/>
      </w:pPr>
      <w:r>
        <w:rPr>
          <w:color w:val="008080"/>
          <w:spacing w:val="0"/>
          <w:w w:val="100"/>
          <w:position w:val="0"/>
        </w:rPr>
        <w:t>9号煤层以低灰煤为主，少量特低灰煤；低挥发分煤为主，少量中等挥发分煤；中硫分煤为主，中低硫煤、中高硫煤次之， 少量特低硫煤和高硫分煤；低磷分煤为主的焦煤</w:t>
      </w:r>
      <w:r>
        <w:rPr>
          <w:color w:val="008080"/>
          <w:spacing w:val="0"/>
          <w:w w:val="100"/>
          <w:position w:val="0"/>
        </w:rPr>
        <w:t>（JM）</w:t>
      </w:r>
      <w:r>
        <w:rPr>
          <w:color w:val="008080"/>
          <w:spacing w:val="0"/>
          <w:w w:val="100"/>
          <w:position w:val="0"/>
        </w:rPr>
        <w:t>和瘦煤</w:t>
      </w:r>
      <w:r>
        <w:rPr>
          <w:color w:val="008080"/>
          <w:spacing w:val="0"/>
          <w:w w:val="100"/>
          <w:position w:val="0"/>
        </w:rPr>
        <w:t>（SM）</w:t>
      </w:r>
      <w:r>
        <w:rPr>
          <w:color w:val="008080"/>
          <w:spacing w:val="0"/>
          <w:w w:val="100"/>
          <w:position w:val="0"/>
        </w:rPr>
        <w:t>。</w:t>
      </w:r>
    </w:p>
    <w:p>
      <w:pPr>
        <w:pStyle w:val="a2"/>
        <w:keepNext w:val="0"/>
        <w:keepLines w:val="0"/>
        <w:widowControl w:val="0"/>
        <w:numPr>
          <w:ilvl w:val="0"/>
          <w:numId w:val="5"/>
        </w:numPr>
        <w:shd w:val="clear" w:color="auto" w:fill="auto"/>
        <w:tabs>
          <w:tab w:val="left" w:pos="990"/>
        </w:tabs>
        <w:bidi w:val="0"/>
        <w:spacing w:before="0" w:after="0" w:line="464" w:lineRule="exact"/>
        <w:ind w:left="0" w:right="0" w:firstLine="540"/>
        <w:jc w:val="both"/>
      </w:pPr>
      <w:bookmarkStart w:id="8" w:name="bookmark8"/>
      <w:bookmarkEnd w:id="8"/>
      <w:r>
        <w:rPr>
          <w:color w:val="008080"/>
          <w:spacing w:val="0"/>
          <w:w w:val="100"/>
          <w:position w:val="0"/>
        </w:rPr>
        <w:t>工业用途</w:t>
      </w:r>
    </w:p>
    <w:p>
      <w:pPr>
        <w:pStyle w:val="a2"/>
        <w:keepNext w:val="0"/>
        <w:keepLines w:val="0"/>
        <w:widowControl w:val="0"/>
        <w:shd w:val="clear" w:color="auto" w:fill="auto"/>
        <w:bidi w:val="0"/>
        <w:spacing w:before="0" w:after="0" w:line="464" w:lineRule="exact"/>
        <w:ind w:left="0" w:right="0" w:firstLine="540"/>
        <w:jc w:val="both"/>
      </w:pPr>
      <w:r>
        <w:rPr>
          <w:color w:val="008080"/>
          <w:spacing w:val="0"/>
          <w:w w:val="100"/>
          <w:position w:val="0"/>
        </w:rPr>
        <w:t>上述煤层的焦煤和瘦煤直接或经洗选后可用作炼焦（配）煤。</w:t>
      </w:r>
    </w:p>
    <w:p>
      <w:pPr>
        <w:pStyle w:val="a2"/>
        <w:keepNext w:val="0"/>
        <w:keepLines w:val="0"/>
        <w:widowControl w:val="0"/>
        <w:shd w:val="clear" w:color="auto" w:fill="auto"/>
        <w:bidi w:val="0"/>
        <w:spacing w:before="0" w:after="0" w:line="464" w:lineRule="exact"/>
        <w:ind w:left="0" w:right="0" w:firstLine="0"/>
        <w:jc w:val="left"/>
      </w:pPr>
      <w:r>
        <w:rPr>
          <w:color w:val="000000"/>
          <w:spacing w:val="0"/>
          <w:w w:val="100"/>
          <w:position w:val="0"/>
        </w:rPr>
        <w:t>三水文地质</w:t>
      </w:r>
    </w:p>
    <w:p>
      <w:pPr>
        <w:pStyle w:val="a2"/>
        <w:keepNext w:val="0"/>
        <w:keepLines w:val="0"/>
        <w:widowControl w:val="0"/>
        <w:shd w:val="clear" w:color="auto" w:fill="auto"/>
        <w:bidi w:val="0"/>
        <w:spacing w:before="0" w:after="0" w:line="464" w:lineRule="exact"/>
        <w:ind w:left="0" w:right="0" w:firstLine="0"/>
        <w:jc w:val="left"/>
      </w:pPr>
      <w:r>
        <w:rPr>
          <w:color w:val="000000"/>
          <w:spacing w:val="0"/>
          <w:w w:val="100"/>
          <w:position w:val="0"/>
        </w:rPr>
        <w:t>（一）区域水文地质概况</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1本区域位于鄂尔多斯断块、兴县</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石楼南北向褶带的东侧，与离石</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中阳菱形复向斜相邻，地层总体倾向南西，呈一单斜 构造，由东向西出露地层依次有古生界奥陶系碳酸盐岩、石炭系、二叠系、三叠系碎屑岩和新生界松散岩层。区域地貌可划分为: 剥蚀构造中、低山区、剥蚀堆积黄土丘陵区和侵蚀堆积的河流谷地三种地貌形态。区域深部奥陶系岩溶地下水属柳林泉域水文地 质单元。</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区域地表水属黄河流域的三川河水系，季节性沟谷地表水由南向北汇入三川河，三川河由东向西迳流，于柳林城西注入黄 河，年平均流量</w:t>
      </w:r>
      <w:r>
        <w:rPr>
          <w:color w:val="008080"/>
          <w:spacing w:val="0"/>
          <w:w w:val="100"/>
          <w:position w:val="0"/>
        </w:rPr>
        <w:t>2.88</w:t>
      </w:r>
      <w:r>
        <w:rPr>
          <w:color w:val="008080"/>
          <w:spacing w:val="0"/>
          <w:w w:val="100"/>
          <w:position w:val="0"/>
        </w:rPr>
        <w:t>亿m</w:t>
      </w:r>
      <w:r>
        <w:rPr>
          <w:color w:val="008080"/>
          <w:spacing w:val="0"/>
          <w:w w:val="100"/>
          <w:position w:val="0"/>
          <w:sz w:val="13"/>
          <w:szCs w:val="13"/>
        </w:rPr>
        <w:t>3</w:t>
      </w:r>
      <w:r>
        <w:rPr>
          <w:color w:val="008080"/>
          <w:spacing w:val="0"/>
          <w:w w:val="100"/>
          <w:position w:val="0"/>
        </w:rPr>
        <w:t>。</w:t>
      </w:r>
    </w:p>
    <w:p>
      <w:pPr>
        <w:pStyle w:val="a2"/>
        <w:keepNext w:val="0"/>
        <w:keepLines w:val="0"/>
        <w:widowControl w:val="0"/>
        <w:shd w:val="clear" w:color="auto" w:fill="auto"/>
        <w:bidi w:val="0"/>
        <w:spacing w:before="0" w:after="0" w:line="464" w:lineRule="exact"/>
        <w:ind w:left="0" w:right="0" w:firstLine="420"/>
        <w:jc w:val="left"/>
      </w:pPr>
      <w:r>
        <w:rPr>
          <w:color w:val="008080"/>
          <w:spacing w:val="0"/>
          <w:w w:val="100"/>
          <w:position w:val="0"/>
        </w:rPr>
        <w:t>2区域内主要含水岩组</w:t>
      </w:r>
    </w:p>
    <w:p>
      <w:pPr>
        <w:pStyle w:val="a2"/>
        <w:keepNext w:val="0"/>
        <w:keepLines w:val="0"/>
        <w:widowControl w:val="0"/>
        <w:shd w:val="clear" w:color="auto" w:fill="auto"/>
        <w:bidi w:val="0"/>
        <w:spacing w:before="0" w:after="0" w:line="469" w:lineRule="exact"/>
        <w:ind w:left="0" w:right="0" w:firstLine="740"/>
        <w:jc w:val="left"/>
      </w:pPr>
      <w:r>
        <w:rPr>
          <w:color w:val="008080"/>
          <w:spacing w:val="0"/>
          <w:w w:val="100"/>
          <w:position w:val="0"/>
        </w:rPr>
        <w:t>⑴碳酸盐岩类岩溶裂隙含水岩组</w:t>
      </w:r>
    </w:p>
    <w:p>
      <w:pPr>
        <w:pStyle w:val="a2"/>
        <w:keepNext w:val="0"/>
        <w:keepLines w:val="0"/>
        <w:widowControl w:val="0"/>
        <w:shd w:val="clear" w:color="auto" w:fill="auto"/>
        <w:bidi w:val="0"/>
        <w:spacing w:before="0" w:after="0" w:line="442" w:lineRule="exact"/>
        <w:ind w:left="0" w:right="0" w:firstLine="740"/>
        <w:jc w:val="left"/>
      </w:pPr>
      <w:r>
        <w:rPr>
          <w:color w:val="008080"/>
          <w:spacing w:val="0"/>
          <w:w w:val="100"/>
          <w:position w:val="0"/>
        </w:rPr>
        <w:t xml:space="preserve">该含水岩组主要指奥陶系中统石灰岩、泥灰岩和白云岩等可溶盐岩，区域东部和青龙城附近有大面积出露。该组地层厚约 </w:t>
      </w:r>
      <w:r>
        <w:rPr>
          <w:color w:val="008080"/>
          <w:spacing w:val="0"/>
          <w:w w:val="100"/>
          <w:position w:val="0"/>
        </w:rPr>
        <w:t>450m</w:t>
      </w:r>
      <w:r>
        <w:rPr>
          <w:color w:val="008080"/>
          <w:spacing w:val="0"/>
          <w:w w:val="100"/>
          <w:position w:val="0"/>
        </w:rPr>
        <w:t>左右，岩溶裂隙发育，是区内最主要的含水岩组。</w:t>
      </w:r>
    </w:p>
    <w:p>
      <w:pPr>
        <w:pStyle w:val="a2"/>
        <w:keepNext w:val="0"/>
        <w:keepLines w:val="0"/>
        <w:widowControl w:val="0"/>
        <w:shd w:val="clear" w:color="auto" w:fill="auto"/>
        <w:bidi w:val="0"/>
        <w:spacing w:before="0" w:after="0" w:line="475" w:lineRule="exact"/>
        <w:ind w:left="0" w:right="0" w:firstLine="740"/>
        <w:jc w:val="both"/>
      </w:pPr>
      <w:r>
        <w:rPr>
          <w:color w:val="008080"/>
          <w:spacing w:val="0"/>
          <w:w w:val="100"/>
          <w:position w:val="0"/>
        </w:rPr>
        <w:t>⑵碎屑岩夹碳酸盐岩类岩溶裂隙含水岩组</w:t>
      </w:r>
    </w:p>
    <w:p>
      <w:pPr>
        <w:pStyle w:val="a2"/>
        <w:keepNext w:val="0"/>
        <w:keepLines w:val="0"/>
        <w:widowControl w:val="0"/>
        <w:shd w:val="clear" w:color="auto" w:fill="auto"/>
        <w:bidi w:val="0"/>
        <w:spacing w:before="0" w:after="0" w:line="475" w:lineRule="exact"/>
        <w:ind w:left="0" w:right="0" w:firstLine="740"/>
        <w:jc w:val="both"/>
      </w:pPr>
      <w:r>
        <w:rPr>
          <w:color w:val="008080"/>
          <w:spacing w:val="0"/>
          <w:w w:val="100"/>
          <w:position w:val="0"/>
        </w:rPr>
        <w:t>本含水岩组为上石炭统太原组一套海陆交互沉积地层，由砂岩、泥岩、煤层及3</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5层石灰岩组成，是区内主要含水岩组之 一，含层间裂隙水，具承压性，但富水性不均一</w:t>
      </w:r>
    </w:p>
    <w:p>
      <w:pPr>
        <w:pStyle w:val="a2"/>
        <w:keepNext w:val="0"/>
        <w:keepLines w:val="0"/>
        <w:widowControl w:val="0"/>
        <w:shd w:val="clear" w:color="auto" w:fill="auto"/>
        <w:bidi w:val="0"/>
        <w:spacing w:before="0" w:after="0" w:line="475" w:lineRule="exact"/>
        <w:ind w:left="0" w:right="0" w:firstLine="740"/>
        <w:jc w:val="both"/>
      </w:pPr>
      <w:r>
        <w:rPr>
          <w:color w:val="008080"/>
          <w:spacing w:val="0"/>
          <w:w w:val="100"/>
          <w:position w:val="0"/>
        </w:rPr>
        <w:t>⑶碎屑岩类砂岩裂隙含水岩组</w:t>
      </w:r>
    </w:p>
    <w:p>
      <w:pPr>
        <w:pStyle w:val="a2"/>
        <w:keepNext w:val="0"/>
        <w:keepLines w:val="0"/>
        <w:widowControl w:val="0"/>
        <w:shd w:val="clear" w:color="auto" w:fill="auto"/>
        <w:bidi w:val="0"/>
        <w:spacing w:before="0" w:after="0" w:line="475" w:lineRule="exact"/>
        <w:ind w:left="0" w:right="0" w:firstLine="740"/>
        <w:jc w:val="both"/>
      </w:pPr>
      <w:r>
        <w:rPr>
          <w:color w:val="008080"/>
          <w:spacing w:val="0"/>
          <w:w w:val="100"/>
          <w:position w:val="0"/>
        </w:rPr>
        <w:t xml:space="preserve">主要包括二叠系的一套陆相，过渡相碎屑岩沉积地层，在区域东部沟谷中有出露，由砂岩、砂质泥岩夹煤层等组成。该地 </w:t>
      </w:r>
      <w:r>
        <w:rPr>
          <w:color w:val="008080"/>
          <w:spacing w:val="0"/>
          <w:w w:val="100"/>
          <w:position w:val="0"/>
        </w:rPr>
        <w:t>层含砂岩裂隙水，含水空间以风化裂隙和构造裂隙为主，泉流量</w:t>
      </w:r>
      <w:r>
        <w:rPr>
          <w:color w:val="008080"/>
          <w:spacing w:val="0"/>
          <w:w w:val="100"/>
          <w:position w:val="0"/>
        </w:rPr>
        <w:t>0.1—1.0L/s</w:t>
      </w:r>
    </w:p>
    <w:p>
      <w:pPr>
        <w:pStyle w:val="a2"/>
        <w:keepNext w:val="0"/>
        <w:keepLines w:val="0"/>
        <w:widowControl w:val="0"/>
        <w:numPr>
          <w:ilvl w:val="0"/>
          <w:numId w:val="3"/>
        </w:numPr>
        <w:shd w:val="clear" w:color="auto" w:fill="auto"/>
        <w:bidi w:val="0"/>
        <w:spacing w:before="0" w:after="0" w:line="464" w:lineRule="exact"/>
        <w:ind w:left="0" w:right="0" w:firstLine="740"/>
        <w:jc w:val="both"/>
      </w:pPr>
      <w:bookmarkStart w:id="9" w:name="bookmark9"/>
      <w:bookmarkEnd w:id="9"/>
      <w:r>
        <w:rPr>
          <w:color w:val="008080"/>
          <w:spacing w:val="0"/>
          <w:w w:val="100"/>
          <w:position w:val="0"/>
        </w:rPr>
        <w:t>地下水的补给、迳流、排泄条件</w:t>
      </w:r>
    </w:p>
    <w:p>
      <w:pPr>
        <w:pStyle w:val="a2"/>
        <w:keepNext w:val="0"/>
        <w:keepLines w:val="0"/>
        <w:widowControl w:val="0"/>
        <w:shd w:val="clear" w:color="auto" w:fill="auto"/>
        <w:bidi w:val="0"/>
        <w:spacing w:before="0" w:after="0" w:line="464" w:lineRule="exact"/>
        <w:ind w:left="0" w:right="0" w:firstLine="740"/>
        <w:jc w:val="both"/>
        <w:sectPr>
          <w:type w:val="nextPage"/>
          <w:pgSz w:w="17861" w:h="25258"/>
          <w:pgMar w:top="1240" w:right="1022" w:bottom="2060" w:left="1397" w:header="0" w:footer="3" w:gutter="0"/>
          <w:pgNumType w:start="4"/>
          <w:cols w:space="720"/>
          <w:noEndnote/>
          <w:titlePg w:val="0"/>
          <w:rtlGutter w:val="0"/>
          <w:docGrid w:linePitch="360"/>
        </w:sectPr>
      </w:pPr>
      <w:r>
        <w:rPr>
          <w:color w:val="008080"/>
          <w:spacing w:val="0"/>
          <w:w w:val="100"/>
          <w:position w:val="0"/>
        </w:rPr>
        <w:t>⑴岩溶地下水</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区域岩溶地下水属柳林泉域水文地质单元。大气降水和地表水通过奥陶系灰岩裸露区垂直入渗补给是其主要补给方式，另 外松散岩类孔隙水和其它含水层地下水通过断层、陷落柱等构造通道向深部越流补给，也是岩溶地下水的补给来源之一。</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岩溶地下水接受补给后，由北、东、南三个方向向柳林城附近汇集，于柳林城东至青龙城附近以群泉的形式排向三川河河 谷中，泉水出露标高</w:t>
      </w:r>
      <w:r>
        <w:rPr>
          <w:color w:val="008080"/>
          <w:spacing w:val="0"/>
          <w:w w:val="100"/>
          <w:position w:val="0"/>
        </w:rPr>
        <w:t>801m</w:t>
      </w:r>
      <w:r>
        <w:rPr>
          <w:color w:val="008080"/>
          <w:spacing w:val="0"/>
          <w:w w:val="100"/>
          <w:position w:val="0"/>
        </w:rPr>
        <w:t>，泉流量</w:t>
      </w:r>
      <w:r>
        <w:rPr>
          <w:color w:val="008080"/>
          <w:spacing w:val="0"/>
          <w:w w:val="100"/>
          <w:position w:val="0"/>
        </w:rPr>
        <w:t>3.6m</w:t>
      </w:r>
      <w:r>
        <w:rPr>
          <w:color w:val="008080"/>
          <w:spacing w:val="0"/>
          <w:w w:val="100"/>
          <w:position w:val="0"/>
          <w:sz w:val="13"/>
          <w:szCs w:val="13"/>
        </w:rPr>
        <w:t>3</w:t>
      </w:r>
      <w:r>
        <w:rPr>
          <w:color w:val="008080"/>
          <w:spacing w:val="0"/>
          <w:w w:val="100"/>
          <w:position w:val="0"/>
        </w:rPr>
        <w:t>/s，</w:t>
      </w:r>
      <w:r>
        <w:rPr>
          <w:color w:val="008080"/>
          <w:spacing w:val="0"/>
          <w:w w:val="100"/>
          <w:position w:val="0"/>
        </w:rPr>
        <w:t>水质类型复杂，以</w:t>
      </w:r>
      <w:r>
        <w:rPr>
          <w:color w:val="008080"/>
          <w:spacing w:val="0"/>
          <w:w w:val="100"/>
          <w:position w:val="0"/>
        </w:rPr>
        <w:t>HCO</w:t>
      </w:r>
      <w:r>
        <w:rPr>
          <w:color w:val="008080"/>
          <w:spacing w:val="0"/>
          <w:w w:val="100"/>
          <w:position w:val="0"/>
          <w:sz w:val="13"/>
          <w:szCs w:val="13"/>
        </w:rPr>
        <w:t>3—</w:t>
      </w:r>
      <w:r>
        <w:rPr>
          <w:color w:val="008080"/>
          <w:spacing w:val="0"/>
          <w:w w:val="100"/>
          <w:position w:val="0"/>
        </w:rPr>
        <w:t>Na</w:t>
      </w:r>
      <w:r>
        <w:rPr>
          <w:color w:val="008080"/>
          <w:spacing w:val="0"/>
          <w:w w:val="100"/>
          <w:position w:val="0"/>
          <w:sz w:val="13"/>
          <w:szCs w:val="13"/>
        </w:rPr>
        <w:t>+</w:t>
      </w:r>
      <w:r>
        <w:rPr>
          <w:color w:val="008080"/>
          <w:spacing w:val="0"/>
          <w:w w:val="100"/>
          <w:position w:val="0"/>
        </w:rPr>
        <w:t>型为主，矿化度</w:t>
      </w:r>
      <w:r>
        <w:rPr>
          <w:color w:val="008080"/>
          <w:spacing w:val="0"/>
          <w:w w:val="100"/>
          <w:position w:val="0"/>
        </w:rPr>
        <w:t>0.3—1.3g/L。</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⑵碎屑岩砂岩裂隙水的补给、迳流、排泄条件</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大气降水的垂直入渗是碎屑岩砂岩裂隙地下水的主要补给来源，另外通过断层，陷落柱等构造通道，也可接受其它含水层 的补给。含水岩组内各个含水层相对呈层状，水力联系微弱，各具不同的水位。地下水一般沿地层倾斜方向运动，在沟谷切割深 处，常以泉的形式排出地表。目前矿坑排水是其主要的排泄方式。</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⑶松散岩类孔隙水的补给、迳流、排泄条件</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松散岩类孔隙水的来源主要是大气降水和地表水的入渗补给，局部与基岩裂隙水有互补现象，其迳流方向与地表水的迳流 方向基本一致，排泄方式除排向地表沟谷外，主要是人工开采。在奥灰岩裸露区，往往下渗补给深层岩溶水。</w:t>
      </w:r>
    </w:p>
    <w:p>
      <w:pPr>
        <w:pStyle w:val="a2"/>
        <w:keepNext w:val="0"/>
        <w:keepLines w:val="0"/>
        <w:widowControl w:val="0"/>
        <w:shd w:val="clear" w:color="auto" w:fill="auto"/>
        <w:bidi w:val="0"/>
        <w:spacing w:before="0" w:after="0" w:line="464" w:lineRule="exact"/>
        <w:ind w:left="0" w:right="0" w:firstLine="740"/>
        <w:jc w:val="both"/>
      </w:pPr>
      <w:r>
        <w:rPr>
          <w:color w:val="000000"/>
          <w:spacing w:val="0"/>
          <w:w w:val="100"/>
          <w:position w:val="0"/>
        </w:rPr>
        <w:t>（二）矿井充水条件</w:t>
      </w:r>
    </w:p>
    <w:p>
      <w:pPr>
        <w:pStyle w:val="a2"/>
        <w:keepNext w:val="0"/>
        <w:keepLines w:val="0"/>
        <w:widowControl w:val="0"/>
        <w:numPr>
          <w:ilvl w:val="0"/>
          <w:numId w:val="6"/>
        </w:numPr>
        <w:shd w:val="clear" w:color="auto" w:fill="auto"/>
        <w:tabs>
          <w:tab w:val="left" w:pos="358"/>
        </w:tabs>
        <w:bidi w:val="0"/>
        <w:spacing w:before="0" w:after="0" w:line="464" w:lineRule="exact"/>
        <w:ind w:left="0" w:right="0" w:firstLine="0"/>
        <w:jc w:val="both"/>
      </w:pPr>
      <w:bookmarkStart w:id="10" w:name="bookmark10"/>
      <w:bookmarkEnd w:id="10"/>
      <w:r>
        <w:rPr>
          <w:color w:val="008080"/>
          <w:spacing w:val="0"/>
          <w:w w:val="100"/>
          <w:position w:val="0"/>
        </w:rPr>
        <w:t>主要含水层</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⑴奥陶系岩溶裂隙含水层</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奥陶系灰岩在矿区内属深埋型，据钻孔资料，勘探区南西部埋藏最深，北东部埋藏最浅，从区域资料总体分析，在垂直方 向上峰峰组灰岩由白云质灰岩、泥灰岩及少量角砾状灰岩所组成，岩溶裂隙不甚发育，据邻区的陈家湾矿区</w:t>
      </w:r>
      <w:r>
        <w:rPr>
          <w:color w:val="008080"/>
          <w:spacing w:val="0"/>
          <w:w w:val="100"/>
          <w:position w:val="0"/>
        </w:rPr>
        <w:t>ZK6-0</w:t>
      </w:r>
      <w:r>
        <w:rPr>
          <w:color w:val="008080"/>
          <w:spacing w:val="0"/>
          <w:w w:val="100"/>
          <w:position w:val="0"/>
        </w:rPr>
        <w:t>水文孔资料， 由于矿区距排泄区距离较近，峰峰组地层中就有较好的含水层。但也属中等富水含水层。上、下马家沟组地层岩溶裂隙发育，是 奥灰岩的主要含水层，揭露奥陶系灰岩</w:t>
      </w:r>
      <w:r>
        <w:rPr>
          <w:color w:val="008080"/>
          <w:spacing w:val="0"/>
          <w:w w:val="100"/>
          <w:position w:val="0"/>
        </w:rPr>
        <w:t>215.88m，</w:t>
      </w:r>
      <w:r>
        <w:rPr>
          <w:color w:val="008080"/>
          <w:spacing w:val="0"/>
          <w:w w:val="100"/>
          <w:position w:val="0"/>
        </w:rPr>
        <w:t>抽水试验结果，井田内奥灰水水位标高在</w:t>
      </w:r>
      <w:r>
        <w:rPr>
          <w:color w:val="008080"/>
          <w:spacing w:val="0"/>
          <w:w w:val="100"/>
          <w:position w:val="0"/>
        </w:rPr>
        <w:t>810.5</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814.5m</w:t>
      </w:r>
      <w:r>
        <w:rPr>
          <w:color w:val="008080"/>
          <w:spacing w:val="0"/>
          <w:w w:val="100"/>
          <w:position w:val="0"/>
        </w:rPr>
        <w:t>之间。</w:t>
      </w:r>
    </w:p>
    <w:p>
      <w:pPr>
        <w:pStyle w:val="a2"/>
        <w:keepNext w:val="0"/>
        <w:keepLines w:val="0"/>
        <w:widowControl w:val="0"/>
        <w:shd w:val="clear" w:color="auto" w:fill="auto"/>
        <w:bidi w:val="0"/>
        <w:spacing w:before="0" w:after="0" w:line="464" w:lineRule="exact"/>
        <w:ind w:left="0" w:right="0" w:firstLine="740"/>
        <w:jc w:val="both"/>
      </w:pPr>
      <w:r>
        <w:rPr>
          <w:color w:val="008080"/>
          <w:spacing w:val="0"/>
          <w:w w:val="100"/>
          <w:position w:val="0"/>
        </w:rPr>
        <w:t>⑵石炭系上统太原组碎屑岩夹碳酸盐岩类岩溶裂隙含水层</w:t>
      </w:r>
    </w:p>
    <w:p>
      <w:pPr>
        <w:pStyle w:val="a2"/>
        <w:keepNext w:val="0"/>
        <w:keepLines w:val="0"/>
        <w:widowControl w:val="0"/>
        <w:shd w:val="clear" w:color="auto" w:fill="auto"/>
        <w:bidi w:val="0"/>
        <w:spacing w:before="0" w:after="0" w:line="485" w:lineRule="exact"/>
        <w:ind w:left="0" w:right="0" w:firstLine="740"/>
        <w:jc w:val="both"/>
      </w:pPr>
      <w:r>
        <w:rPr>
          <w:color w:val="008080"/>
          <w:spacing w:val="0"/>
          <w:w w:val="100"/>
          <w:position w:val="0"/>
        </w:rPr>
        <w:t>勘探区内没有出露，根据</w:t>
      </w:r>
      <w:r>
        <w:rPr>
          <w:color w:val="008080"/>
          <w:spacing w:val="0"/>
          <w:w w:val="100"/>
          <w:position w:val="0"/>
        </w:rPr>
        <w:t>ZK6-0</w:t>
      </w:r>
      <w:r>
        <w:rPr>
          <w:color w:val="008080"/>
          <w:spacing w:val="0"/>
          <w:w w:val="100"/>
          <w:position w:val="0"/>
        </w:rPr>
        <w:t>水文孔资料，其主要含水层为灰岩和中粗粒砂岩，含水层共5层，总厚度</w:t>
      </w:r>
      <w:r>
        <w:rPr>
          <w:color w:val="008080"/>
          <w:spacing w:val="0"/>
          <w:w w:val="100"/>
          <w:position w:val="0"/>
        </w:rPr>
        <w:t>6.0m</w:t>
      </w:r>
      <w:r>
        <w:rPr>
          <w:color w:val="008080"/>
          <w:spacing w:val="0"/>
          <w:w w:val="100"/>
          <w:position w:val="0"/>
        </w:rPr>
        <w:t>，埋区浅、 裂隙发育，补给条件较好富水性相对强。</w:t>
      </w:r>
    </w:p>
    <w:p>
      <w:pPr>
        <w:pStyle w:val="a2"/>
        <w:keepNext w:val="0"/>
        <w:keepLines w:val="0"/>
        <w:widowControl w:val="0"/>
        <w:shd w:val="clear" w:color="auto" w:fill="auto"/>
        <w:bidi w:val="0"/>
        <w:spacing w:before="0" w:after="0" w:line="469" w:lineRule="exact"/>
        <w:ind w:left="0" w:right="0" w:firstLine="740"/>
        <w:jc w:val="both"/>
      </w:pPr>
      <w:r>
        <w:rPr>
          <w:color w:val="008080"/>
          <w:spacing w:val="0"/>
          <w:w w:val="100"/>
          <w:position w:val="0"/>
        </w:rPr>
        <w:t>⑶二叠系山西组以及山西组以上碎屑岩裂隙含水层</w:t>
      </w:r>
    </w:p>
    <w:p>
      <w:pPr>
        <w:pStyle w:val="a2"/>
        <w:keepNext w:val="0"/>
        <w:keepLines w:val="0"/>
        <w:widowControl w:val="0"/>
        <w:shd w:val="clear" w:color="auto" w:fill="auto"/>
        <w:bidi w:val="0"/>
        <w:spacing w:before="0" w:after="0" w:line="469" w:lineRule="exact"/>
        <w:ind w:left="0" w:right="0" w:firstLine="740"/>
        <w:jc w:val="both"/>
      </w:pPr>
      <w:r>
        <w:rPr>
          <w:color w:val="008080"/>
          <w:spacing w:val="0"/>
          <w:w w:val="100"/>
          <w:position w:val="0"/>
        </w:rPr>
        <w:t>该组含水层以中粗砂岩为主。据1995年井田东部的军山煤矿建竖井时，揭露4号煤后，井筒内涌水绝大部分来自山西组含 水层，涌水量为</w:t>
      </w:r>
      <w:r>
        <w:rPr>
          <w:color w:val="008080"/>
          <w:spacing w:val="0"/>
          <w:w w:val="100"/>
          <w:position w:val="0"/>
          <w:vertAlign w:val="superscript"/>
        </w:rPr>
        <w:t>6</w:t>
      </w:r>
      <w:r>
        <w:rPr>
          <w:color w:val="008080"/>
          <w:spacing w:val="0"/>
          <w:w w:val="100"/>
          <w:position w:val="0"/>
        </w:rPr>
        <w:t>"出属矿坑涌水量小的矿井，水质类型为叫</w:t>
      </w:r>
      <w:r>
        <w:rPr>
          <w:color w:val="008080"/>
          <w:spacing w:val="0"/>
          <w:w w:val="100"/>
          <w:position w:val="0"/>
          <w:sz w:val="13"/>
          <w:szCs w:val="13"/>
        </w:rPr>
        <w:t>-</w:t>
      </w:r>
      <w:r>
        <w:rPr>
          <w:color w:val="008080"/>
          <w:spacing w:val="0"/>
          <w:w w:val="100"/>
          <w:position w:val="0"/>
        </w:rPr>
        <w:t>.S^—</w:t>
      </w:r>
      <w:r>
        <w:rPr>
          <w:color w:val="008080"/>
          <w:spacing w:val="0"/>
          <w:w w:val="100"/>
          <w:position w:val="0"/>
        </w:rPr>
        <w:t>晦</w:t>
      </w:r>
      <w:r>
        <w:rPr>
          <w:color w:val="008080"/>
          <w:spacing w:val="0"/>
          <w:w w:val="100"/>
          <w:position w:val="0"/>
          <w:sz w:val="13"/>
          <w:szCs w:val="13"/>
        </w:rPr>
        <w:t>,</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Na</w:t>
      </w:r>
      <w:r>
        <w:rPr>
          <w:color w:val="008080"/>
          <w:spacing w:val="0"/>
          <w:w w:val="100"/>
          <w:position w:val="0"/>
          <w:sz w:val="13"/>
          <w:szCs w:val="13"/>
        </w:rPr>
        <w:t xml:space="preserve">, </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Ca</w:t>
      </w:r>
      <w:r>
        <w:rPr>
          <w:color w:val="008080"/>
          <w:spacing w:val="0"/>
          <w:w w:val="100"/>
          <w:position w:val="0"/>
          <w:sz w:val="13"/>
          <w:szCs w:val="13"/>
        </w:rPr>
        <w:t>2</w:t>
      </w:r>
      <w:r>
        <w:rPr>
          <w:color w:val="008080"/>
          <w:spacing w:val="0"/>
          <w:w w:val="100"/>
          <w:position w:val="0"/>
          <w:sz w:val="13"/>
          <w:szCs w:val="13"/>
        </w:rPr>
        <w:t>,</w:t>
      </w:r>
      <w:r>
        <w:rPr>
          <w:color w:val="008080"/>
          <w:spacing w:val="0"/>
          <w:w w:val="100"/>
          <w:position w:val="0"/>
        </w:rPr>
        <w:t>型。据邻区水文孔资料，该含水层厚</w:t>
      </w:r>
      <w:r>
        <w:rPr>
          <w:color w:val="008080"/>
          <w:spacing w:val="0"/>
          <w:w w:val="100"/>
          <w:position w:val="0"/>
        </w:rPr>
        <w:t xml:space="preserve">9.6m， </w:t>
      </w:r>
      <w:r>
        <w:rPr>
          <w:color w:val="008080"/>
          <w:spacing w:val="0"/>
          <w:w w:val="100"/>
          <w:position w:val="0"/>
        </w:rPr>
        <w:t>钻孔单位涌水量为</w:t>
      </w:r>
      <w:r>
        <w:rPr>
          <w:color w:val="008080"/>
          <w:spacing w:val="0"/>
          <w:w w:val="100"/>
          <w:position w:val="0"/>
        </w:rPr>
        <w:t>0.00228L/s</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m，</w:t>
      </w:r>
      <w:r>
        <w:rPr>
          <w:color w:val="008080"/>
          <w:spacing w:val="0"/>
          <w:w w:val="100"/>
          <w:position w:val="0"/>
        </w:rPr>
        <w:t>属弱富水含水层，水质类型为</w:t>
      </w:r>
      <w:r>
        <w:rPr>
          <w:color w:val="008080"/>
          <w:spacing w:val="0"/>
          <w:w w:val="100"/>
          <w:position w:val="0"/>
        </w:rPr>
        <w:t>HCO「</w:t>
      </w:r>
      <w:r>
        <w:rPr>
          <w:rFonts w:ascii="Arial Unicode MS" w:eastAsia="Arial Unicode MS" w:hAnsi="Arial Unicode MS" w:cs="Arial Unicode MS"/>
          <w:color w:val="008080"/>
          <w:spacing w:val="0"/>
          <w:w w:val="100"/>
          <w:position w:val="0"/>
          <w:sz w:val="22"/>
          <w:szCs w:val="22"/>
        </w:rPr>
        <w:t>・</w:t>
      </w:r>
      <w:r>
        <w:rPr>
          <w:color w:val="008080"/>
          <w:spacing w:val="0"/>
          <w:w w:val="100"/>
          <w:position w:val="0"/>
        </w:rPr>
        <w:t>SO：</w:t>
      </w:r>
      <w:r>
        <w:rPr>
          <w:color w:val="008080"/>
          <w:spacing w:val="0"/>
          <w:w w:val="100"/>
          <w:position w:val="0"/>
          <w:sz w:val="13"/>
          <w:szCs w:val="13"/>
        </w:rPr>
        <w:t>-</w:t>
      </w:r>
      <w:r>
        <w:rPr>
          <w:color w:val="008080"/>
          <w:spacing w:val="0"/>
          <w:w w:val="100"/>
          <w:position w:val="0"/>
        </w:rPr>
        <w:t>—Na</w:t>
      </w:r>
      <w:r>
        <w:rPr>
          <w:color w:val="008080"/>
          <w:spacing w:val="0"/>
          <w:w w:val="100"/>
          <w:position w:val="0"/>
          <w:sz w:val="13"/>
          <w:szCs w:val="13"/>
        </w:rPr>
        <w:t>+</w:t>
      </w:r>
      <w:r>
        <w:rPr>
          <w:color w:val="008080"/>
          <w:spacing w:val="0"/>
          <w:w w:val="100"/>
          <w:position w:val="0"/>
        </w:rPr>
        <w:t>型，矿化度</w:t>
      </w:r>
      <w:r>
        <w:rPr>
          <w:color w:val="008080"/>
          <w:spacing w:val="0"/>
          <w:w w:val="100"/>
          <w:position w:val="0"/>
        </w:rPr>
        <w:t>0.65g/L。</w:t>
      </w:r>
    </w:p>
    <w:p>
      <w:pPr>
        <w:pStyle w:val="a2"/>
        <w:keepNext w:val="0"/>
        <w:keepLines w:val="0"/>
        <w:widowControl w:val="0"/>
        <w:shd w:val="clear" w:color="auto" w:fill="auto"/>
        <w:bidi w:val="0"/>
        <w:spacing w:before="0" w:after="0" w:line="469" w:lineRule="exact"/>
        <w:ind w:left="0" w:right="0" w:firstLine="740"/>
        <w:jc w:val="both"/>
      </w:pPr>
      <w:r>
        <w:rPr>
          <w:color w:val="008080"/>
          <w:spacing w:val="0"/>
          <w:w w:val="100"/>
          <w:position w:val="0"/>
        </w:rPr>
        <w:t>⑷新生界松散岩类孔隙含水层</w:t>
      </w:r>
    </w:p>
    <w:p>
      <w:pPr>
        <w:pStyle w:val="a2"/>
        <w:keepNext w:val="0"/>
        <w:keepLines w:val="0"/>
        <w:widowControl w:val="0"/>
        <w:shd w:val="clear" w:color="auto" w:fill="auto"/>
        <w:bidi w:val="0"/>
        <w:spacing w:before="0" w:after="0" w:line="469" w:lineRule="exact"/>
        <w:ind w:left="0" w:right="0" w:firstLine="740"/>
        <w:jc w:val="both"/>
      </w:pPr>
      <w:r>
        <w:rPr>
          <w:color w:val="008080"/>
          <w:spacing w:val="0"/>
          <w:w w:val="100"/>
          <w:position w:val="0"/>
        </w:rPr>
        <w:t>该含水层包括上第三系上新统和第四系中、上更新统以及全新统地层。</w:t>
      </w:r>
    </w:p>
    <w:p>
      <w:pPr>
        <w:pStyle w:val="a2"/>
        <w:keepNext w:val="0"/>
        <w:keepLines w:val="0"/>
        <w:widowControl w:val="0"/>
        <w:shd w:val="clear" w:color="auto" w:fill="auto"/>
        <w:bidi w:val="0"/>
        <w:spacing w:before="0" w:after="0" w:line="469" w:lineRule="exact"/>
        <w:ind w:left="0" w:right="0" w:firstLine="740"/>
        <w:jc w:val="both"/>
      </w:pPr>
      <w:r>
        <w:rPr>
          <w:color w:val="008080"/>
          <w:spacing w:val="0"/>
          <w:w w:val="100"/>
          <w:position w:val="0"/>
        </w:rPr>
        <w:t>上第三系上新统地层广泛出露于勘探区内沟谷两侧，含水层为底部的半胶结状砾石层，由于其不整合于基岩面之上，与基 岩风化裂隙构成较好的含水层，但由于其连续性较差，补给条件差，且厚度不稳定，故富水性差异较大，一般单井出水量</w:t>
      </w:r>
      <w:r>
        <w:rPr>
          <w:color w:val="008080"/>
          <w:spacing w:val="0"/>
          <w:w w:val="100"/>
          <w:position w:val="0"/>
        </w:rPr>
        <w:t>10m</w:t>
      </w:r>
      <w:r>
        <w:rPr>
          <w:color w:val="008080"/>
          <w:spacing w:val="0"/>
          <w:w w:val="100"/>
          <w:position w:val="0"/>
          <w:sz w:val="13"/>
          <w:szCs w:val="13"/>
        </w:rPr>
        <w:t>3</w:t>
      </w:r>
      <w:r>
        <w:rPr>
          <w:color w:val="008080"/>
          <w:spacing w:val="0"/>
          <w:w w:val="100"/>
          <w:position w:val="0"/>
        </w:rPr>
        <w:t xml:space="preserve">/d， </w:t>
      </w:r>
      <w:r>
        <w:rPr>
          <w:color w:val="008080"/>
          <w:spacing w:val="0"/>
          <w:w w:val="100"/>
          <w:position w:val="0"/>
        </w:rPr>
        <w:t>属弱富水含水层，水质类型为</w:t>
      </w:r>
      <w:r>
        <w:rPr>
          <w:color w:val="008080"/>
          <w:spacing w:val="0"/>
          <w:w w:val="100"/>
          <w:position w:val="0"/>
          <w:sz w:val="44"/>
          <w:szCs w:val="44"/>
          <w:vertAlign w:val="superscript"/>
        </w:rPr>
        <w:t>HCO</w:t>
      </w:r>
      <w:r>
        <w:rPr>
          <w:color w:val="008080"/>
          <w:spacing w:val="0"/>
          <w:w w:val="100"/>
          <w:position w:val="0"/>
          <w:sz w:val="13"/>
          <w:szCs w:val="13"/>
        </w:rPr>
        <w:t>3</w:t>
      </w:r>
      <w:r>
        <w:rPr>
          <w:color w:val="008080"/>
          <w:spacing w:val="0"/>
          <w:w w:val="100"/>
          <w:position w:val="0"/>
          <w:sz w:val="22"/>
          <w:szCs w:val="22"/>
          <w:vertAlign w:val="superscript"/>
        </w:rPr>
        <w:t>-</w:t>
      </w:r>
      <w:r>
        <w:rPr>
          <w:color w:val="008080"/>
          <w:spacing w:val="0"/>
          <w:w w:val="100"/>
          <w:position w:val="0"/>
          <w:sz w:val="44"/>
          <w:szCs w:val="44"/>
          <w:vertAlign w:val="superscript"/>
        </w:rPr>
        <w:t>—Na</w:t>
      </w:r>
      <w:r>
        <w:rPr>
          <w:color w:val="008080"/>
          <w:spacing w:val="0"/>
          <w:w w:val="100"/>
          <w:position w:val="0"/>
          <w:sz w:val="22"/>
          <w:szCs w:val="22"/>
          <w:vertAlign w:val="superscript"/>
        </w:rPr>
        <w:t>+</w:t>
      </w:r>
      <w:r>
        <w:rPr>
          <w:color w:val="008080"/>
          <w:spacing w:val="0"/>
          <w:w w:val="100"/>
          <w:position w:val="0"/>
        </w:rPr>
        <w:t>型。</w:t>
      </w:r>
    </w:p>
    <w:p>
      <w:pPr>
        <w:pStyle w:val="a2"/>
        <w:keepNext w:val="0"/>
        <w:keepLines w:val="0"/>
        <w:widowControl w:val="0"/>
        <w:shd w:val="clear" w:color="auto" w:fill="auto"/>
        <w:bidi w:val="0"/>
        <w:spacing w:before="0" w:after="0" w:line="469" w:lineRule="exact"/>
        <w:ind w:left="0" w:right="0" w:firstLine="740"/>
        <w:jc w:val="both"/>
      </w:pPr>
      <w:r>
        <w:rPr>
          <w:color w:val="008080"/>
          <w:spacing w:val="0"/>
          <w:w w:val="100"/>
          <w:position w:val="0"/>
        </w:rPr>
        <w:t>第四系中、上更新统地层多分布在梁峁之上，但由于沟谷坡度大，降水多形成地表迳流，对地下水补给有限，因此该含水 层多为透水而不含水岩层，局部含上层滞水，水量微弱。</w:t>
      </w:r>
    </w:p>
    <w:p>
      <w:pPr>
        <w:pStyle w:val="a2"/>
        <w:keepNext w:val="0"/>
        <w:keepLines w:val="0"/>
        <w:widowControl w:val="0"/>
        <w:shd w:val="clear" w:color="auto" w:fill="auto"/>
        <w:bidi w:val="0"/>
        <w:spacing w:before="0" w:after="0" w:line="469" w:lineRule="exact"/>
        <w:ind w:left="0" w:right="0" w:firstLine="740"/>
        <w:jc w:val="both"/>
      </w:pPr>
      <w:r>
        <w:rPr>
          <w:color w:val="008080"/>
          <w:spacing w:val="0"/>
          <w:w w:val="100"/>
          <w:position w:val="0"/>
        </w:rPr>
        <w:t>第四系全新统地层分布在沟谷之中，含水层主要为砂砾石层，但由于含水层厚度小，单井出水量也不大，可供生活和灌溉 用水，属弱富水含水层，水质类型为</w:t>
      </w:r>
      <w:r>
        <w:rPr>
          <w:color w:val="008080"/>
          <w:spacing w:val="0"/>
          <w:w w:val="100"/>
          <w:position w:val="0"/>
        </w:rPr>
        <w:t>He。」.％一</w:t>
      </w:r>
      <w:r>
        <w:rPr>
          <w:color w:val="008080"/>
          <w:spacing w:val="0"/>
          <w:w w:val="100"/>
          <w:position w:val="0"/>
        </w:rPr>
        <w:t>腿.畛理，矿化度</w:t>
      </w:r>
      <w:r>
        <w:rPr>
          <w:color w:val="008080"/>
          <w:spacing w:val="0"/>
          <w:w w:val="100"/>
          <w:position w:val="0"/>
        </w:rPr>
        <w:t>Eg</w:t>
      </w:r>
      <w:r>
        <w:rPr>
          <w:color w:val="008080"/>
          <w:spacing w:val="0"/>
          <w:w w:val="100"/>
          <w:position w:val="0"/>
          <w:sz w:val="44"/>
          <w:szCs w:val="44"/>
          <w:vertAlign w:val="superscript"/>
        </w:rPr>
        <w:t>/L</w:t>
      </w:r>
      <w:r>
        <w:rPr>
          <w:color w:val="008080"/>
          <w:spacing w:val="0"/>
          <w:w w:val="100"/>
          <w:position w:val="0"/>
        </w:rPr>
        <w:t>，水质较好。</w:t>
      </w:r>
    </w:p>
    <w:p>
      <w:pPr>
        <w:pStyle w:val="a2"/>
        <w:keepNext w:val="0"/>
        <w:keepLines w:val="0"/>
        <w:widowControl w:val="0"/>
        <w:numPr>
          <w:ilvl w:val="0"/>
          <w:numId w:val="6"/>
        </w:numPr>
        <w:shd w:val="clear" w:color="auto" w:fill="auto"/>
        <w:tabs>
          <w:tab w:val="left" w:pos="373"/>
        </w:tabs>
        <w:bidi w:val="0"/>
        <w:spacing w:before="0" w:after="0" w:line="469" w:lineRule="exact"/>
        <w:ind w:left="0" w:right="0" w:firstLine="0"/>
        <w:jc w:val="both"/>
      </w:pPr>
      <w:bookmarkStart w:id="11" w:name="bookmark11"/>
      <w:bookmarkEnd w:id="11"/>
      <w:r>
        <w:rPr>
          <w:spacing w:val="0"/>
          <w:w w:val="100"/>
          <w:position w:val="0"/>
        </w:rPr>
        <w:t>主要隔水层</w:t>
      </w:r>
    </w:p>
    <w:p>
      <w:pPr>
        <w:pStyle w:val="a2"/>
        <w:keepNext w:val="0"/>
        <w:keepLines w:val="0"/>
        <w:widowControl w:val="0"/>
        <w:shd w:val="clear" w:color="auto" w:fill="auto"/>
        <w:bidi w:val="0"/>
        <w:spacing w:before="0" w:after="0" w:line="469" w:lineRule="exact"/>
        <w:ind w:left="0" w:right="0" w:firstLine="740"/>
        <w:jc w:val="both"/>
      </w:pPr>
      <w:r>
        <w:rPr>
          <w:spacing w:val="0"/>
          <w:w w:val="100"/>
          <w:position w:val="0"/>
        </w:rPr>
        <w:t>⑴石炭系中统本溪组泥岩隔水层</w:t>
      </w:r>
    </w:p>
    <w:p>
      <w:pPr>
        <w:pStyle w:val="a2"/>
        <w:keepNext w:val="0"/>
        <w:keepLines w:val="0"/>
        <w:widowControl w:val="0"/>
        <w:shd w:val="clear" w:color="auto" w:fill="auto"/>
        <w:bidi w:val="0"/>
        <w:spacing w:before="0" w:after="0" w:line="469" w:lineRule="exact"/>
        <w:ind w:left="0" w:right="0" w:firstLine="740"/>
        <w:jc w:val="both"/>
      </w:pPr>
      <w:r>
        <w:rPr>
          <w:spacing w:val="0"/>
          <w:w w:val="100"/>
          <w:position w:val="0"/>
        </w:rPr>
        <w:t>据</w:t>
      </w:r>
      <w:r>
        <w:rPr>
          <w:spacing w:val="0"/>
          <w:w w:val="100"/>
          <w:position w:val="0"/>
        </w:rPr>
        <w:t>ZK3-4</w:t>
      </w:r>
      <w:r>
        <w:rPr>
          <w:spacing w:val="0"/>
          <w:w w:val="100"/>
          <w:position w:val="0"/>
        </w:rPr>
        <w:t>和延伸孔统计，本溪组地层平均厚</w:t>
      </w:r>
      <w:r>
        <w:rPr>
          <w:spacing w:val="0"/>
          <w:w w:val="100"/>
          <w:position w:val="0"/>
        </w:rPr>
        <w:t>15.75m</w:t>
      </w:r>
      <w:r>
        <w:rPr>
          <w:spacing w:val="0"/>
          <w:w w:val="100"/>
          <w:position w:val="0"/>
        </w:rPr>
        <w:t>，岩性以泥岩、粘土岩、铁铝岩为主，夹薄层石灰岩，隔水性能较好， 区域稳定连续，加之9号煤下无煤段平均厚度达</w:t>
      </w:r>
      <w:r>
        <w:rPr>
          <w:spacing w:val="0"/>
          <w:w w:val="100"/>
          <w:position w:val="0"/>
        </w:rPr>
        <w:t>37.92m</w:t>
      </w:r>
      <w:r>
        <w:rPr>
          <w:spacing w:val="0"/>
          <w:w w:val="100"/>
          <w:position w:val="0"/>
        </w:rPr>
        <w:t>，合计</w:t>
      </w:r>
      <w:r>
        <w:rPr>
          <w:spacing w:val="0"/>
          <w:w w:val="100"/>
          <w:position w:val="0"/>
        </w:rPr>
        <w:t>53.67m</w:t>
      </w:r>
      <w:r>
        <w:rPr>
          <w:spacing w:val="0"/>
          <w:w w:val="100"/>
          <w:position w:val="0"/>
        </w:rPr>
        <w:t>，是主采9号煤与奥陶系岩溶水间重要的隔水层。</w:t>
      </w:r>
    </w:p>
    <w:p>
      <w:pPr>
        <w:pStyle w:val="a2"/>
        <w:keepNext w:val="0"/>
        <w:keepLines w:val="0"/>
        <w:widowControl w:val="0"/>
        <w:shd w:val="clear" w:color="auto" w:fill="auto"/>
        <w:bidi w:val="0"/>
        <w:spacing w:before="0" w:after="0" w:line="469" w:lineRule="exact"/>
        <w:ind w:left="0" w:right="0" w:firstLine="740"/>
        <w:jc w:val="both"/>
      </w:pPr>
      <w:r>
        <w:rPr>
          <w:spacing w:val="0"/>
          <w:w w:val="100"/>
          <w:position w:val="0"/>
        </w:rPr>
        <w:t>⑵二叠系中统上、下石盒子组泥岩隔水层</w:t>
      </w:r>
    </w:p>
    <w:p>
      <w:pPr>
        <w:pStyle w:val="a2"/>
        <w:keepNext w:val="0"/>
        <w:keepLines w:val="0"/>
        <w:widowControl w:val="0"/>
        <w:shd w:val="clear" w:color="auto" w:fill="auto"/>
        <w:bidi w:val="0"/>
        <w:spacing w:before="0" w:after="0" w:line="469" w:lineRule="exact"/>
        <w:ind w:left="0" w:right="0" w:firstLine="740"/>
        <w:jc w:val="both"/>
      </w:pPr>
      <w:r>
        <w:rPr>
          <w:spacing w:val="0"/>
          <w:w w:val="100"/>
          <w:position w:val="0"/>
        </w:rPr>
        <w:t>本组隔水层厚度较大，由数层泥岩和砂质泥岩组成，垂直分布呈平行复合式结构，裂隙不发育，为山西组顶部的隔水层， 对松散岩类孔隙水与风化裂隙水的下渗起着良好的隔水作用。</w:t>
      </w:r>
    </w:p>
    <w:p>
      <w:pPr>
        <w:pStyle w:val="a2"/>
        <w:keepNext w:val="0"/>
        <w:keepLines w:val="0"/>
        <w:widowControl w:val="0"/>
        <w:numPr>
          <w:ilvl w:val="0"/>
          <w:numId w:val="6"/>
        </w:numPr>
        <w:shd w:val="clear" w:color="auto" w:fill="auto"/>
        <w:tabs>
          <w:tab w:val="left" w:pos="373"/>
        </w:tabs>
        <w:bidi w:val="0"/>
        <w:spacing w:before="0" w:after="0" w:line="469" w:lineRule="exact"/>
        <w:ind w:left="0" w:right="0" w:firstLine="0"/>
        <w:jc w:val="both"/>
      </w:pPr>
      <w:bookmarkStart w:id="12" w:name="bookmark12"/>
      <w:bookmarkEnd w:id="12"/>
      <w:r>
        <w:rPr>
          <w:spacing w:val="0"/>
          <w:w w:val="100"/>
          <w:position w:val="0"/>
        </w:rPr>
        <w:t>勘探区地下水的补、迳、排条件</w:t>
      </w:r>
    </w:p>
    <w:p>
      <w:pPr>
        <w:pStyle w:val="a2"/>
        <w:keepNext w:val="0"/>
        <w:keepLines w:val="0"/>
        <w:widowControl w:val="0"/>
        <w:shd w:val="clear" w:color="auto" w:fill="auto"/>
        <w:bidi w:val="0"/>
        <w:spacing w:before="0" w:after="0" w:line="469" w:lineRule="exact"/>
        <w:ind w:left="0" w:right="0" w:firstLine="740"/>
        <w:jc w:val="left"/>
      </w:pPr>
      <w:r>
        <w:rPr>
          <w:spacing w:val="0"/>
          <w:w w:val="100"/>
          <w:position w:val="0"/>
        </w:rPr>
        <w:t xml:space="preserve">松散岩类孔隙含水层主要接受大气降水的补给，在雨后一定时间内，各民井水位有上升现象，其迳流方向与地表水基本一 </w:t>
      </w:r>
      <w:r>
        <w:rPr>
          <w:spacing w:val="0"/>
          <w:w w:val="100"/>
          <w:position w:val="0"/>
        </w:rPr>
        <w:t>致，向沟谷下游迳流。地面蒸发和人工开采是主要的排泄方式。</w:t>
      </w:r>
    </w:p>
    <w:p>
      <w:pPr>
        <w:pStyle w:val="a2"/>
        <w:keepNext w:val="0"/>
        <w:keepLines w:val="0"/>
        <w:widowControl w:val="0"/>
        <w:shd w:val="clear" w:color="auto" w:fill="auto"/>
        <w:bidi w:val="0"/>
        <w:spacing w:before="0" w:after="0" w:line="469" w:lineRule="exact"/>
        <w:ind w:left="0" w:right="0" w:firstLine="720"/>
        <w:jc w:val="left"/>
        <w:sectPr>
          <w:type w:val="nextPage"/>
          <w:pgSz w:w="17861" w:h="25258"/>
          <w:pgMar w:top="1240" w:right="1022" w:bottom="2060" w:left="1397" w:header="0" w:footer="3" w:gutter="0"/>
          <w:pgNumType w:start="5"/>
          <w:cols w:space="720"/>
          <w:noEndnote/>
          <w:titlePg w:val="0"/>
          <w:rtlGutter w:val="0"/>
          <w:docGrid w:linePitch="360"/>
        </w:sectPr>
      </w:pPr>
      <w:r>
        <w:rPr>
          <w:spacing w:val="0"/>
          <w:w w:val="100"/>
          <w:position w:val="0"/>
        </w:rPr>
        <w:t>深部山西组砂岩裂隙含水层和太原组灰岩裂隙含水层主要是在其裸露区接受大气降水的补给。各含水层属于平行复合式结</w:t>
      </w:r>
      <w:r>
        <w:rPr>
          <w:spacing w:val="0"/>
          <w:w w:val="100"/>
          <w:position w:val="0"/>
        </w:rPr>
        <w:t xml:space="preserve"> 构，含、隔水层间均处于分散隔离状态，各含水层间的水力联系被其间隔水层所阻隔，它们之间存在着一定的水位差，若无构造</w:t>
      </w:r>
    </w:p>
    <w:p>
      <w:pPr>
        <w:pStyle w:val="a2"/>
        <w:keepNext w:val="0"/>
        <w:keepLines w:val="0"/>
        <w:widowControl w:val="0"/>
        <w:shd w:val="clear" w:color="auto" w:fill="auto"/>
        <w:bidi w:val="0"/>
        <w:spacing w:before="0" w:after="0" w:line="469" w:lineRule="exact"/>
        <w:ind w:left="0" w:right="0" w:firstLine="720"/>
        <w:jc w:val="left"/>
      </w:pPr>
      <w:r>
        <w:rPr>
          <w:spacing w:val="0"/>
          <w:w w:val="100"/>
          <w:position w:val="0"/>
        </w:rPr>
        <w:t xml:space="preserve"> 沟通隔水层不遭破坏时，则各含水层间无互补关系。地下水主要以迳流为主，迳流方向一般沿岩层倾斜方向运动，排泄方式主要</w:t>
      </w:r>
      <w:r>
        <w:rPr>
          <w:spacing w:val="0"/>
          <w:w w:val="100"/>
          <w:position w:val="0"/>
        </w:rPr>
        <w:t xml:space="preserve"> 是矿坑排水。</w:t>
      </w:r>
    </w:p>
    <w:p>
      <w:pPr>
        <w:pStyle w:val="a2"/>
        <w:keepNext w:val="0"/>
        <w:keepLines w:val="0"/>
        <w:widowControl w:val="0"/>
        <w:shd w:val="clear" w:color="auto" w:fill="auto"/>
        <w:bidi w:val="0"/>
        <w:spacing w:before="0" w:after="0" w:line="469" w:lineRule="exact"/>
        <w:ind w:left="0" w:right="0" w:firstLine="720"/>
        <w:jc w:val="left"/>
      </w:pPr>
      <w:r>
        <w:rPr>
          <w:spacing w:val="0"/>
          <w:w w:val="100"/>
          <w:position w:val="0"/>
        </w:rPr>
        <w:t>奥陶系岩溶水的补给主要是裸露区接受大气降水和地表水的入渗补给，勘探区为岩溶水迳流区，迳流方向由南东流向北西， 最终排向柳林群泉，近年来人工开采也是其主要排泄方式之一。</w:t>
      </w:r>
    </w:p>
    <w:p>
      <w:pPr>
        <w:pStyle w:val="a2"/>
        <w:keepNext w:val="0"/>
        <w:keepLines w:val="0"/>
        <w:widowControl w:val="0"/>
        <w:numPr>
          <w:ilvl w:val="0"/>
          <w:numId w:val="6"/>
        </w:numPr>
        <w:shd w:val="clear" w:color="auto" w:fill="auto"/>
        <w:tabs>
          <w:tab w:val="left" w:pos="408"/>
        </w:tabs>
        <w:bidi w:val="0"/>
        <w:spacing w:before="0" w:after="0" w:line="469" w:lineRule="exact"/>
        <w:ind w:left="0" w:right="0" w:firstLine="0"/>
        <w:jc w:val="left"/>
      </w:pPr>
      <w:bookmarkStart w:id="13" w:name="bookmark13"/>
      <w:bookmarkEnd w:id="13"/>
      <w:r>
        <w:rPr>
          <w:spacing w:val="0"/>
          <w:w w:val="100"/>
          <w:position w:val="0"/>
        </w:rPr>
        <w:t>构造对开采煤层的影响</w:t>
      </w:r>
    </w:p>
    <w:p>
      <w:pPr>
        <w:pStyle w:val="a2"/>
        <w:keepNext w:val="0"/>
        <w:keepLines w:val="0"/>
        <w:widowControl w:val="0"/>
        <w:shd w:val="clear" w:color="auto" w:fill="auto"/>
        <w:bidi w:val="0"/>
        <w:spacing w:before="0" w:after="0" w:line="469" w:lineRule="exact"/>
        <w:ind w:left="0" w:right="0" w:firstLine="720"/>
        <w:jc w:val="both"/>
      </w:pPr>
      <w:r>
        <w:rPr>
          <w:spacing w:val="0"/>
          <w:w w:val="100"/>
          <w:position w:val="0"/>
        </w:rPr>
        <w:t>矿区内尚未发现大的构造形迹，地层总体倾向南西，呈单斜构造，倾角5</w:t>
      </w:r>
      <w:r>
        <w:rPr>
          <w:rFonts w:ascii="Arial Unicode MS" w:eastAsia="Arial Unicode MS" w:hAnsi="Arial Unicode MS" w:cs="Arial Unicode MS"/>
          <w:spacing w:val="0"/>
          <w:w w:val="100"/>
          <w:position w:val="0"/>
          <w:sz w:val="22"/>
          <w:szCs w:val="22"/>
        </w:rPr>
        <w:t>〜</w:t>
      </w:r>
      <w:r>
        <w:rPr>
          <w:spacing w:val="0"/>
          <w:w w:val="100"/>
          <w:position w:val="0"/>
        </w:rPr>
        <w:t>7°。但由于9号煤层底板标高在650</w:t>
      </w:r>
      <w:r>
        <w:rPr>
          <w:rFonts w:ascii="Arial Unicode MS" w:eastAsia="Arial Unicode MS" w:hAnsi="Arial Unicode MS" w:cs="Arial Unicode MS"/>
          <w:spacing w:val="0"/>
          <w:w w:val="100"/>
          <w:position w:val="0"/>
          <w:sz w:val="22"/>
          <w:szCs w:val="22"/>
        </w:rPr>
        <w:t>〜</w:t>
      </w:r>
      <w:r>
        <w:rPr>
          <w:spacing w:val="0"/>
          <w:w w:val="100"/>
          <w:position w:val="0"/>
        </w:rPr>
        <w:t>990m</w:t>
      </w:r>
      <w:r>
        <w:rPr>
          <w:spacing w:val="0"/>
          <w:w w:val="100"/>
          <w:position w:val="0"/>
        </w:rPr>
        <w:t>之 间，而岩溶水水位标高在</w:t>
      </w:r>
      <w:r>
        <w:rPr>
          <w:spacing w:val="0"/>
          <w:w w:val="100"/>
          <w:position w:val="0"/>
        </w:rPr>
        <w:t>810.5</w:t>
      </w:r>
      <w:r>
        <w:rPr>
          <w:rFonts w:ascii="Arial Unicode MS" w:eastAsia="Arial Unicode MS" w:hAnsi="Arial Unicode MS" w:cs="Arial Unicode MS"/>
          <w:spacing w:val="0"/>
          <w:w w:val="100"/>
          <w:position w:val="0"/>
          <w:sz w:val="22"/>
          <w:szCs w:val="22"/>
        </w:rPr>
        <w:t>〜</w:t>
      </w:r>
      <w:r>
        <w:rPr>
          <w:spacing w:val="0"/>
          <w:w w:val="100"/>
          <w:position w:val="0"/>
        </w:rPr>
        <w:t>814.5m</w:t>
      </w:r>
      <w:r>
        <w:rPr>
          <w:spacing w:val="0"/>
          <w:w w:val="100"/>
          <w:position w:val="0"/>
        </w:rPr>
        <w:t>之间，也就是说在9号煤</w:t>
      </w:r>
      <w:r>
        <w:rPr>
          <w:spacing w:val="0"/>
          <w:w w:val="100"/>
          <w:position w:val="0"/>
        </w:rPr>
        <w:t>810m</w:t>
      </w:r>
      <w:r>
        <w:rPr>
          <w:spacing w:val="0"/>
          <w:w w:val="100"/>
          <w:position w:val="0"/>
        </w:rPr>
        <w:t>底板等高线以南，9号煤层属带压开采煤层，一但有断层 存在，有可能形成导水通道，使岩溶水涌入矿井，造成水害，因此一定要重视对隐伏断层以及其它构造形迹的发现与研究。以防 断层导水造成淹矿事故。</w:t>
      </w:r>
    </w:p>
    <w:p>
      <w:pPr>
        <w:pStyle w:val="a2"/>
        <w:keepNext w:val="0"/>
        <w:keepLines w:val="0"/>
        <w:widowControl w:val="0"/>
        <w:numPr>
          <w:ilvl w:val="0"/>
          <w:numId w:val="6"/>
        </w:numPr>
        <w:shd w:val="clear" w:color="auto" w:fill="auto"/>
        <w:tabs>
          <w:tab w:val="left" w:pos="408"/>
        </w:tabs>
        <w:bidi w:val="0"/>
        <w:spacing w:before="0" w:after="0" w:line="469" w:lineRule="exact"/>
        <w:ind w:left="0" w:right="0" w:firstLine="0"/>
        <w:jc w:val="left"/>
      </w:pPr>
      <w:bookmarkStart w:id="14" w:name="bookmark14"/>
      <w:bookmarkEnd w:id="14"/>
      <w:r>
        <w:rPr>
          <w:color w:val="000000"/>
          <w:spacing w:val="0"/>
          <w:w w:val="100"/>
          <w:position w:val="0"/>
        </w:rPr>
        <w:t>地表水对开采煤矿的影响</w:t>
      </w:r>
    </w:p>
    <w:p>
      <w:pPr>
        <w:pStyle w:val="a2"/>
        <w:keepNext w:val="0"/>
        <w:keepLines w:val="0"/>
        <w:widowControl w:val="0"/>
        <w:shd w:val="clear" w:color="auto" w:fill="auto"/>
        <w:bidi w:val="0"/>
        <w:spacing w:before="0" w:after="0" w:line="469" w:lineRule="exact"/>
        <w:ind w:left="0" w:right="0" w:firstLine="720"/>
        <w:jc w:val="both"/>
      </w:pPr>
      <w:r>
        <w:rPr>
          <w:spacing w:val="0"/>
          <w:w w:val="100"/>
          <w:position w:val="0"/>
        </w:rPr>
        <w:t>区内没有大的地表水体，仅有数条季节性河流，其中以罗侯沟最大，清水流量</w:t>
      </w:r>
      <w:r>
        <w:rPr>
          <w:spacing w:val="0"/>
          <w:w w:val="100"/>
          <w:position w:val="0"/>
        </w:rPr>
        <w:t>0.098L/s。</w:t>
      </w:r>
      <w:r>
        <w:rPr>
          <w:spacing w:val="0"/>
          <w:w w:val="100"/>
          <w:position w:val="0"/>
        </w:rPr>
        <w:t>一般来说河水通过基岩含水层渗 透补给的水量是较弱的，但是，随着煤矿的开采，顶部岩层将遭到破坏，会使基岩裂隙加大、增多，特别是在北东部煤层浅埋地 段甚至形成地面塌陷，沟通断层以及其它构造形迹。</w:t>
      </w:r>
    </w:p>
    <w:p>
      <w:pPr>
        <w:pStyle w:val="a2"/>
        <w:keepNext w:val="0"/>
        <w:keepLines w:val="0"/>
        <w:widowControl w:val="0"/>
        <w:numPr>
          <w:ilvl w:val="0"/>
          <w:numId w:val="2"/>
        </w:numPr>
        <w:shd w:val="clear" w:color="auto" w:fill="auto"/>
        <w:tabs>
          <w:tab w:val="left" w:pos="699"/>
        </w:tabs>
        <w:bidi w:val="0"/>
        <w:spacing w:before="0" w:after="0" w:line="469" w:lineRule="exact"/>
        <w:ind w:left="0" w:right="0" w:firstLine="0"/>
        <w:jc w:val="left"/>
      </w:pPr>
      <w:bookmarkStart w:id="15" w:name="bookmark15"/>
      <w:bookmarkEnd w:id="15"/>
      <w:r>
        <w:rPr>
          <w:color w:val="000000"/>
          <w:spacing w:val="0"/>
          <w:w w:val="100"/>
          <w:position w:val="0"/>
        </w:rPr>
        <w:t>矿井涌水量预算</w:t>
      </w:r>
    </w:p>
    <w:p>
      <w:pPr>
        <w:pStyle w:val="a2"/>
        <w:keepNext w:val="0"/>
        <w:keepLines w:val="0"/>
        <w:widowControl w:val="0"/>
        <w:shd w:val="clear" w:color="auto" w:fill="auto"/>
        <w:bidi w:val="0"/>
        <w:spacing w:before="0" w:after="0" w:line="469" w:lineRule="exact"/>
        <w:ind w:left="0" w:right="0" w:firstLine="720"/>
        <w:jc w:val="both"/>
      </w:pPr>
      <w:r>
        <w:rPr>
          <w:spacing w:val="0"/>
          <w:w w:val="100"/>
          <w:position w:val="0"/>
        </w:rPr>
        <w:t>矿井涌水量的采用寨崖底煤矿的实际矿坑排水量，现实际生产能力已达</w:t>
      </w:r>
      <w:r>
        <w:rPr>
          <w:spacing w:val="0"/>
          <w:w w:val="100"/>
          <w:position w:val="0"/>
        </w:rPr>
        <w:t>1.20Mt/a，</w:t>
      </w:r>
      <w:r>
        <w:rPr>
          <w:spacing w:val="0"/>
          <w:w w:val="100"/>
          <w:position w:val="0"/>
        </w:rPr>
        <w:t>井下正常涌水量为</w:t>
      </w:r>
      <w:r>
        <w:rPr>
          <w:spacing w:val="0"/>
          <w:w w:val="100"/>
          <w:position w:val="0"/>
        </w:rPr>
        <w:t>40m</w:t>
      </w:r>
      <w:r>
        <w:rPr>
          <w:spacing w:val="0"/>
          <w:w w:val="100"/>
          <w:position w:val="0"/>
          <w:sz w:val="13"/>
          <w:szCs w:val="13"/>
        </w:rPr>
        <w:t>3</w:t>
      </w:r>
      <w:r>
        <w:rPr>
          <w:spacing w:val="0"/>
          <w:w w:val="100"/>
          <w:position w:val="0"/>
        </w:rPr>
        <w:t>/h</w:t>
      </w:r>
      <w:r>
        <w:rPr>
          <w:spacing w:val="0"/>
          <w:w w:val="100"/>
          <w:position w:val="0"/>
        </w:rPr>
        <w:t xml:space="preserve">，最大涌水量 为 </w:t>
      </w:r>
      <w:r>
        <w:rPr>
          <w:spacing w:val="0"/>
          <w:w w:val="100"/>
          <w:position w:val="0"/>
        </w:rPr>
        <w:t>50m</w:t>
      </w:r>
      <w:r>
        <w:rPr>
          <w:spacing w:val="0"/>
          <w:w w:val="100"/>
          <w:position w:val="0"/>
          <w:sz w:val="13"/>
          <w:szCs w:val="13"/>
        </w:rPr>
        <w:t>3</w:t>
      </w:r>
      <w:r>
        <w:rPr>
          <w:spacing w:val="0"/>
          <w:w w:val="100"/>
          <w:position w:val="0"/>
        </w:rPr>
        <w:t>/h。</w:t>
      </w:r>
    </w:p>
    <w:p>
      <w:pPr>
        <w:pStyle w:val="a2"/>
        <w:keepNext w:val="0"/>
        <w:keepLines w:val="0"/>
        <w:widowControl w:val="0"/>
        <w:numPr>
          <w:ilvl w:val="0"/>
          <w:numId w:val="2"/>
        </w:numPr>
        <w:shd w:val="clear" w:color="auto" w:fill="auto"/>
        <w:tabs>
          <w:tab w:val="left" w:pos="699"/>
        </w:tabs>
        <w:bidi w:val="0"/>
        <w:spacing w:before="0" w:after="0" w:line="471" w:lineRule="exact"/>
        <w:ind w:left="0" w:right="0" w:firstLine="0"/>
        <w:jc w:val="left"/>
      </w:pPr>
      <w:bookmarkStart w:id="16" w:name="bookmark16"/>
      <w:bookmarkEnd w:id="16"/>
      <w:r>
        <w:rPr>
          <w:color w:val="000000"/>
          <w:spacing w:val="0"/>
          <w:w w:val="100"/>
          <w:position w:val="0"/>
        </w:rPr>
        <w:t>矿井主要水害及其防治措施</w:t>
      </w:r>
    </w:p>
    <w:p>
      <w:pPr>
        <w:pStyle w:val="a2"/>
        <w:keepNext w:val="0"/>
        <w:keepLines w:val="0"/>
        <w:widowControl w:val="0"/>
        <w:shd w:val="clear" w:color="auto" w:fill="auto"/>
        <w:bidi w:val="0"/>
        <w:spacing w:before="0" w:after="0" w:line="471" w:lineRule="exact"/>
        <w:ind w:left="0" w:right="0" w:firstLine="820"/>
        <w:jc w:val="both"/>
      </w:pPr>
      <w:r>
        <w:rPr>
          <w:spacing w:val="0"/>
          <w:w w:val="100"/>
          <w:position w:val="0"/>
        </w:rPr>
        <w:t>根据充水因素分析，开采3、4号煤时主要是顶板砂岩裂隙含水层通过冒落裂隙带向矿井充水，其矿井涌水量均小于</w:t>
      </w:r>
      <w:r>
        <w:rPr>
          <w:spacing w:val="0"/>
          <w:w w:val="100"/>
          <w:position w:val="0"/>
        </w:rPr>
        <w:t>480m</w:t>
      </w:r>
      <w:r>
        <w:rPr>
          <w:spacing w:val="0"/>
          <w:w w:val="100"/>
          <w:position w:val="0"/>
          <w:sz w:val="13"/>
          <w:szCs w:val="13"/>
        </w:rPr>
        <w:t>3</w:t>
      </w:r>
      <w:r>
        <w:rPr>
          <w:spacing w:val="0"/>
          <w:w w:val="100"/>
          <w:position w:val="0"/>
        </w:rPr>
        <w:t xml:space="preserve">/d， </w:t>
      </w:r>
      <w:r>
        <w:rPr>
          <w:spacing w:val="0"/>
          <w:w w:val="100"/>
          <w:position w:val="0"/>
        </w:rPr>
        <w:t>富水系数均小于</w:t>
      </w:r>
      <w:r>
        <w:rPr>
          <w:spacing w:val="0"/>
          <w:w w:val="100"/>
          <w:position w:val="0"/>
        </w:rPr>
        <w:t>0.2,</w:t>
      </w:r>
      <w:r>
        <w:rPr>
          <w:spacing w:val="0"/>
          <w:w w:val="100"/>
          <w:position w:val="0"/>
        </w:rPr>
        <w:t>属涌水量小的矿井，一般正常排水，不会发生水害事故。但区内采空区较多，面积也较大，多位于未采煤 层之上，这些采空积水对矿井采煤造成隐患。因此应引起业主高度重视，加强对采空区的密闭工作和监测，防止打通采空区造成 淹矿事矿。开采9号煤的充水因素，主要是顶板灰岩岩溶裂隙含水层。其矿井涌水量为</w:t>
      </w:r>
      <w:r>
        <w:rPr>
          <w:spacing w:val="0"/>
          <w:w w:val="100"/>
          <w:position w:val="0"/>
        </w:rPr>
        <w:t>800m</w:t>
      </w:r>
      <w:r>
        <w:rPr>
          <w:spacing w:val="0"/>
          <w:w w:val="100"/>
          <w:position w:val="0"/>
          <w:sz w:val="13"/>
          <w:szCs w:val="13"/>
        </w:rPr>
        <w:t>3</w:t>
      </w:r>
      <w:r>
        <w:rPr>
          <w:spacing w:val="0"/>
          <w:w w:val="100"/>
          <w:position w:val="0"/>
        </w:rPr>
        <w:t>/d</w:t>
      </w:r>
      <w:r>
        <w:rPr>
          <w:spacing w:val="0"/>
          <w:w w:val="100"/>
          <w:position w:val="0"/>
        </w:rPr>
        <w:t>，富水系数为</w:t>
      </w:r>
      <w:r>
        <w:rPr>
          <w:spacing w:val="0"/>
          <w:w w:val="100"/>
          <w:position w:val="0"/>
        </w:rPr>
        <w:t>0.2</w:t>
      </w:r>
      <w:r>
        <w:rPr>
          <w:spacing w:val="0"/>
          <w:w w:val="100"/>
          <w:position w:val="0"/>
        </w:rPr>
        <w:t>，属涌水量小的 矿井，但一定要加强对断层以及其它构造形迹的发现与研究，以防断层形成导水通道，使岩溶水涌入矿井造成水害。另外对地表 水特别是雨季洪水应加强防范措施，以防洪水涌入矿井造成水害。</w:t>
      </w:r>
    </w:p>
    <w:p>
      <w:pPr>
        <w:pStyle w:val="a2"/>
        <w:keepNext w:val="0"/>
        <w:keepLines w:val="0"/>
        <w:widowControl w:val="0"/>
        <w:shd w:val="clear" w:color="auto" w:fill="auto"/>
        <w:bidi w:val="0"/>
        <w:spacing w:before="0" w:after="160" w:line="471" w:lineRule="exact"/>
        <w:ind w:left="0" w:right="0" w:firstLine="0"/>
        <w:jc w:val="left"/>
      </w:pPr>
      <w:r>
        <w:rPr>
          <w:color w:val="000000"/>
          <w:spacing w:val="0"/>
          <w:w w:val="100"/>
          <w:position w:val="0"/>
        </w:rPr>
        <w:t>四其他开采技术条件</w:t>
      </w:r>
    </w:p>
    <w:p>
      <w:pPr>
        <w:pStyle w:val="a2"/>
        <w:keepNext w:val="0"/>
        <w:keepLines w:val="0"/>
        <w:widowControl w:val="0"/>
        <w:numPr>
          <w:ilvl w:val="0"/>
          <w:numId w:val="7"/>
        </w:numPr>
        <w:shd w:val="clear" w:color="auto" w:fill="auto"/>
        <w:bidi w:val="0"/>
        <w:spacing w:before="0" w:after="0" w:line="379" w:lineRule="auto"/>
        <w:ind w:left="0" w:right="0" w:firstLine="0"/>
        <w:jc w:val="left"/>
      </w:pPr>
      <w:bookmarkStart w:id="17" w:name="bookmark17"/>
      <w:bookmarkEnd w:id="17"/>
      <w:r>
        <w:rPr>
          <w:color w:val="000000"/>
          <w:spacing w:val="0"/>
          <w:w w:val="100"/>
          <w:position w:val="0"/>
        </w:rPr>
        <w:t>顶底板条件</w:t>
      </w:r>
    </w:p>
    <w:p>
      <w:pPr>
        <w:pStyle w:val="a2"/>
        <w:keepNext w:val="0"/>
        <w:keepLines w:val="0"/>
        <w:widowControl w:val="0"/>
        <w:shd w:val="clear" w:color="auto" w:fill="auto"/>
        <w:bidi w:val="0"/>
        <w:spacing w:before="0" w:after="0" w:line="350" w:lineRule="exact"/>
        <w:ind w:left="0" w:right="0" w:firstLine="720"/>
        <w:jc w:val="both"/>
      </w:pPr>
      <w:r>
        <w:rPr>
          <w:spacing w:val="0"/>
          <w:w w:val="100"/>
          <w:position w:val="0"/>
        </w:rPr>
        <w:t>3号煤层顶板为泥岩，这类岩石水浸后易膨胀破碎而发生冒落掉渣事故，开采中必须加强支护。底板为泥岩。据该矿开采情 况，3号煤层顶底板较易管理，底板未出现底鼓现象。</w:t>
      </w:r>
    </w:p>
    <w:p>
      <w:pPr>
        <w:pStyle w:val="a2"/>
        <w:keepNext w:val="0"/>
        <w:keepLines w:val="0"/>
        <w:widowControl w:val="0"/>
        <w:shd w:val="clear" w:color="auto" w:fill="auto"/>
        <w:bidi w:val="0"/>
        <w:spacing w:before="0" w:after="0" w:line="475" w:lineRule="exact"/>
        <w:ind w:left="0" w:right="0" w:firstLine="720"/>
        <w:jc w:val="left"/>
      </w:pPr>
      <w:r>
        <w:rPr>
          <w:spacing w:val="0"/>
          <w:w w:val="100"/>
          <w:position w:val="0"/>
        </w:rPr>
        <w:t>4号煤层顶板为泥岩，浸水后易膨胀而发生冒落掉渣事故。底板为泥岩。根据矿井开采情况，顶底板较易管理，底板未出现 底鼓现象。</w:t>
      </w:r>
    </w:p>
    <w:p>
      <w:pPr>
        <w:pStyle w:val="a2"/>
        <w:keepNext w:val="0"/>
        <w:keepLines w:val="0"/>
        <w:widowControl w:val="0"/>
        <w:shd w:val="clear" w:color="auto" w:fill="auto"/>
        <w:bidi w:val="0"/>
        <w:spacing w:before="0" w:after="0" w:line="353" w:lineRule="exact"/>
        <w:ind w:left="0" w:right="0" w:firstLine="720"/>
        <w:jc w:val="left"/>
      </w:pPr>
      <w:r>
        <w:rPr>
          <w:spacing w:val="0"/>
          <w:w w:val="100"/>
          <w:position w:val="0"/>
        </w:rPr>
        <w:t>8</w:t>
      </w:r>
      <w:r>
        <w:rPr>
          <w:spacing w:val="0"/>
          <w:w w:val="100"/>
          <w:position w:val="0"/>
          <w:sz w:val="13"/>
          <w:szCs w:val="13"/>
        </w:rPr>
        <w:t>-1</w:t>
      </w:r>
      <w:r>
        <w:rPr>
          <w:spacing w:val="0"/>
          <w:w w:val="100"/>
          <w:position w:val="0"/>
        </w:rPr>
        <w:t>号煤层顶板为石灰岩，抗压强度在</w:t>
      </w:r>
      <w:r>
        <w:rPr>
          <w:spacing w:val="0"/>
          <w:w w:val="100"/>
          <w:position w:val="0"/>
        </w:rPr>
        <w:t>127.9</w:t>
      </w:r>
      <w:r>
        <w:rPr>
          <w:rFonts w:ascii="Arial Unicode MS" w:eastAsia="Arial Unicode MS" w:hAnsi="Arial Unicode MS" w:cs="Arial Unicode MS"/>
          <w:spacing w:val="0"/>
          <w:w w:val="100"/>
          <w:position w:val="0"/>
          <w:sz w:val="22"/>
          <w:szCs w:val="22"/>
        </w:rPr>
        <w:t>〜</w:t>
      </w:r>
      <w:r>
        <w:rPr>
          <w:spacing w:val="0"/>
          <w:w w:val="100"/>
          <w:position w:val="0"/>
        </w:rPr>
        <w:t>143.5MPa</w:t>
      </w:r>
      <w:r>
        <w:rPr>
          <w:spacing w:val="0"/>
          <w:w w:val="100"/>
          <w:position w:val="0"/>
        </w:rPr>
        <w:t>，平均</w:t>
      </w:r>
      <w:r>
        <w:rPr>
          <w:spacing w:val="0"/>
          <w:w w:val="100"/>
          <w:position w:val="0"/>
        </w:rPr>
        <w:t>137.3MPa</w:t>
      </w:r>
      <w:r>
        <w:rPr>
          <w:spacing w:val="0"/>
          <w:w w:val="100"/>
          <w:position w:val="0"/>
        </w:rPr>
        <w:t>。抗拉强度变异范围为</w:t>
      </w:r>
      <w:r>
        <w:rPr>
          <w:spacing w:val="0"/>
          <w:w w:val="100"/>
          <w:position w:val="0"/>
        </w:rPr>
        <w:t>4.7</w:t>
      </w:r>
      <w:r>
        <w:rPr>
          <w:rFonts w:ascii="Arial Unicode MS" w:eastAsia="Arial Unicode MS" w:hAnsi="Arial Unicode MS" w:cs="Arial Unicode MS"/>
          <w:spacing w:val="0"/>
          <w:w w:val="100"/>
          <w:position w:val="0"/>
          <w:sz w:val="22"/>
          <w:szCs w:val="22"/>
        </w:rPr>
        <w:t>〜</w:t>
      </w:r>
      <w:r>
        <w:rPr>
          <w:spacing w:val="0"/>
          <w:w w:val="100"/>
          <w:position w:val="0"/>
        </w:rPr>
        <w:t>6.8MPa</w:t>
      </w:r>
      <w:r>
        <w:rPr>
          <w:spacing w:val="0"/>
          <w:w w:val="100"/>
          <w:position w:val="0"/>
        </w:rPr>
        <w:t>，平均</w:t>
      </w:r>
      <w:r>
        <w:rPr>
          <w:spacing w:val="0"/>
          <w:w w:val="100"/>
          <w:position w:val="0"/>
        </w:rPr>
        <w:t xml:space="preserve">5.8MPa。 </w:t>
      </w:r>
      <w:r>
        <w:rPr>
          <w:spacing w:val="0"/>
          <w:w w:val="100"/>
          <w:position w:val="0"/>
        </w:rPr>
        <w:t>底板为砂质泥岩，抗压强度在</w:t>
      </w:r>
      <w:r>
        <w:rPr>
          <w:spacing w:val="0"/>
          <w:w w:val="100"/>
          <w:position w:val="0"/>
        </w:rPr>
        <w:t>31.5</w:t>
      </w:r>
      <w:r>
        <w:rPr>
          <w:rFonts w:ascii="Arial Unicode MS" w:eastAsia="Arial Unicode MS" w:hAnsi="Arial Unicode MS" w:cs="Arial Unicode MS"/>
          <w:spacing w:val="0"/>
          <w:w w:val="100"/>
          <w:position w:val="0"/>
          <w:sz w:val="22"/>
          <w:szCs w:val="22"/>
        </w:rPr>
        <w:t>〜</w:t>
      </w:r>
      <w:r>
        <w:rPr>
          <w:spacing w:val="0"/>
          <w:w w:val="100"/>
          <w:position w:val="0"/>
        </w:rPr>
        <w:t>40.6MPa</w:t>
      </w:r>
      <w:r>
        <w:rPr>
          <w:spacing w:val="0"/>
          <w:w w:val="100"/>
          <w:position w:val="0"/>
        </w:rPr>
        <w:t>之间，平均</w:t>
      </w:r>
      <w:r>
        <w:rPr>
          <w:spacing w:val="0"/>
          <w:w w:val="100"/>
          <w:position w:val="0"/>
        </w:rPr>
        <w:t>36.1MPa，</w:t>
      </w:r>
      <w:r>
        <w:rPr>
          <w:spacing w:val="0"/>
          <w:w w:val="100"/>
          <w:position w:val="0"/>
        </w:rPr>
        <w:t>抗拉强度范围为</w:t>
      </w:r>
      <w:r>
        <w:rPr>
          <w:spacing w:val="0"/>
          <w:w w:val="100"/>
          <w:position w:val="0"/>
        </w:rPr>
        <w:t>0.9</w:t>
      </w:r>
      <w:r>
        <w:rPr>
          <w:rFonts w:ascii="Arial Unicode MS" w:eastAsia="Arial Unicode MS" w:hAnsi="Arial Unicode MS" w:cs="Arial Unicode MS"/>
          <w:spacing w:val="0"/>
          <w:w w:val="100"/>
          <w:position w:val="0"/>
          <w:sz w:val="22"/>
          <w:szCs w:val="22"/>
        </w:rPr>
        <w:t>〜</w:t>
      </w:r>
      <w:r>
        <w:rPr>
          <w:spacing w:val="0"/>
          <w:w w:val="100"/>
          <w:position w:val="0"/>
        </w:rPr>
        <w:t>1.3MPa</w:t>
      </w:r>
      <w:r>
        <w:rPr>
          <w:spacing w:val="0"/>
          <w:w w:val="100"/>
          <w:position w:val="0"/>
        </w:rPr>
        <w:t>，平均为</w:t>
      </w:r>
      <w:r>
        <w:rPr>
          <w:spacing w:val="0"/>
          <w:w w:val="100"/>
          <w:position w:val="0"/>
        </w:rPr>
        <w:t>1.1MPa。</w:t>
      </w:r>
    </w:p>
    <w:p>
      <w:pPr>
        <w:pStyle w:val="a2"/>
        <w:keepNext w:val="0"/>
        <w:keepLines w:val="0"/>
        <w:widowControl w:val="0"/>
        <w:shd w:val="clear" w:color="auto" w:fill="auto"/>
        <w:bidi w:val="0"/>
        <w:spacing w:before="0" w:after="0" w:line="353" w:lineRule="exact"/>
        <w:ind w:left="0" w:right="0" w:firstLine="720"/>
        <w:jc w:val="left"/>
      </w:pPr>
      <w:r>
        <w:rPr>
          <w:spacing w:val="0"/>
          <w:w w:val="100"/>
          <w:position w:val="0"/>
        </w:rPr>
        <w:t>8号煤直接底板以泥岩为主，软化系数为</w:t>
      </w:r>
      <w:r>
        <w:rPr>
          <w:spacing w:val="0"/>
          <w:w w:val="100"/>
          <w:position w:val="0"/>
        </w:rPr>
        <w:t>0.37MPa</w:t>
      </w:r>
      <w:r>
        <w:rPr>
          <w:spacing w:val="0"/>
          <w:w w:val="100"/>
          <w:position w:val="0"/>
        </w:rPr>
        <w:t>之间，遇水易发生软化，稳定性较差。</w:t>
      </w:r>
    </w:p>
    <w:p>
      <w:pPr>
        <w:pStyle w:val="a2"/>
        <w:keepNext w:val="0"/>
        <w:keepLines w:val="0"/>
        <w:widowControl w:val="0"/>
        <w:shd w:val="clear" w:color="auto" w:fill="auto"/>
        <w:bidi w:val="0"/>
        <w:spacing w:before="0" w:after="100" w:line="353" w:lineRule="exact"/>
        <w:ind w:left="0" w:right="0" w:firstLine="720"/>
        <w:jc w:val="left"/>
      </w:pPr>
      <w:r>
        <w:rPr>
          <w:spacing w:val="0"/>
          <w:w w:val="100"/>
          <w:position w:val="0"/>
        </w:rPr>
        <w:t>9号煤层顶板为泥，属中等冒落顶板。顶板泥岩抗拉强度为</w:t>
      </w:r>
      <w:r>
        <w:rPr>
          <w:spacing w:val="0"/>
          <w:w w:val="100"/>
          <w:position w:val="0"/>
        </w:rPr>
        <w:t>0.8MPa</w:t>
      </w:r>
      <w:r>
        <w:rPr>
          <w:spacing w:val="0"/>
          <w:w w:val="100"/>
          <w:position w:val="0"/>
        </w:rPr>
        <w:t>，抗压强度为</w:t>
      </w:r>
      <w:r>
        <w:rPr>
          <w:spacing w:val="0"/>
          <w:w w:val="100"/>
          <w:position w:val="0"/>
        </w:rPr>
        <w:t>92.3MPa；</w:t>
      </w:r>
      <w:r>
        <w:rPr>
          <w:spacing w:val="0"/>
          <w:w w:val="100"/>
          <w:position w:val="0"/>
        </w:rPr>
        <w:t>底板泥岩抗拉强度为</w:t>
      </w:r>
      <w:r>
        <w:rPr>
          <w:spacing w:val="0"/>
          <w:w w:val="100"/>
          <w:position w:val="0"/>
        </w:rPr>
        <w:t xml:space="preserve">2.3MPa， </w:t>
      </w:r>
      <w:r>
        <w:rPr>
          <w:spacing w:val="0"/>
          <w:w w:val="100"/>
          <w:position w:val="0"/>
        </w:rPr>
        <w:t>抗压强度为</w:t>
      </w:r>
      <w:r>
        <w:rPr>
          <w:spacing w:val="0"/>
          <w:w w:val="100"/>
          <w:position w:val="0"/>
        </w:rPr>
        <w:t>130.3MPa</w:t>
      </w:r>
      <w:r>
        <w:rPr>
          <w:spacing w:val="0"/>
          <w:w w:val="100"/>
          <w:position w:val="0"/>
        </w:rPr>
        <w:t>。根据寨崖底煤矿开采情况，顶底板较易管理，底板未出现底鼓现象。</w:t>
      </w:r>
    </w:p>
    <w:p>
      <w:pPr>
        <w:pStyle w:val="a2"/>
        <w:keepNext w:val="0"/>
        <w:keepLines w:val="0"/>
        <w:widowControl w:val="0"/>
        <w:shd w:val="clear" w:color="auto" w:fill="auto"/>
        <w:bidi w:val="0"/>
        <w:spacing w:before="0" w:after="0" w:line="372" w:lineRule="auto"/>
        <w:ind w:left="0" w:right="0" w:firstLine="0"/>
        <w:jc w:val="left"/>
      </w:pPr>
      <w:r>
        <w:rPr>
          <w:rFonts w:ascii="Times New Roman" w:eastAsia="Times New Roman" w:hAnsi="Times New Roman" w:cs="Times New Roman"/>
          <w:color w:val="000000"/>
          <w:spacing w:val="0"/>
          <w:w w:val="100"/>
          <w:position w:val="0"/>
        </w:rPr>
        <w:t>2</w:t>
      </w:r>
      <w:r>
        <w:rPr>
          <w:color w:val="000000"/>
          <w:spacing w:val="0"/>
          <w:w w:val="100"/>
          <w:position w:val="0"/>
        </w:rPr>
        <w:t>瓦斯、煤尘、煤的自燃及地温</w:t>
      </w:r>
    </w:p>
    <w:p>
      <w:pPr>
        <w:pStyle w:val="a2"/>
        <w:keepNext w:val="0"/>
        <w:keepLines w:val="0"/>
        <w:widowControl w:val="0"/>
        <w:numPr>
          <w:ilvl w:val="0"/>
          <w:numId w:val="8"/>
        </w:numPr>
        <w:shd w:val="clear" w:color="auto" w:fill="auto"/>
        <w:tabs>
          <w:tab w:val="left" w:pos="635"/>
        </w:tabs>
        <w:bidi w:val="0"/>
        <w:spacing w:before="0" w:after="0" w:line="464" w:lineRule="exact"/>
        <w:ind w:left="0" w:right="0" w:firstLine="0"/>
        <w:jc w:val="left"/>
      </w:pPr>
      <w:bookmarkStart w:id="18" w:name="bookmark18"/>
      <w:bookmarkEnd w:id="18"/>
      <w:r>
        <w:rPr>
          <w:color w:val="000000"/>
          <w:spacing w:val="0"/>
          <w:w w:val="100"/>
          <w:position w:val="0"/>
        </w:rPr>
        <w:t>瓦斯</w:t>
      </w:r>
    </w:p>
    <w:p>
      <w:pPr>
        <w:pStyle w:val="a2"/>
        <w:keepNext w:val="0"/>
        <w:keepLines w:val="0"/>
        <w:widowControl w:val="0"/>
        <w:shd w:val="clear" w:color="auto" w:fill="auto"/>
        <w:bidi w:val="0"/>
        <w:spacing w:before="0" w:after="0" w:line="464" w:lineRule="exact"/>
        <w:ind w:left="0" w:right="0" w:firstLine="540"/>
        <w:jc w:val="both"/>
      </w:pPr>
      <w:r>
        <w:rPr>
          <w:spacing w:val="0"/>
          <w:w w:val="100"/>
          <w:position w:val="0"/>
        </w:rPr>
        <w:t>根据工作采样做煤层瓦斯检验，知3号煤层瓦斯分带为沼气带，4号煤层瓦斯分带为氮气一甲烷带，</w:t>
      </w:r>
      <w:r>
        <w:rPr>
          <w:spacing w:val="0"/>
          <w:w w:val="100"/>
          <w:position w:val="0"/>
        </w:rPr>
        <w:t>8</w:t>
      </w:r>
      <w:r>
        <w:rPr>
          <w:spacing w:val="0"/>
          <w:w w:val="100"/>
          <w:position w:val="0"/>
          <w:sz w:val="13"/>
          <w:szCs w:val="13"/>
        </w:rPr>
        <w:t>-1</w:t>
      </w:r>
      <w:r>
        <w:rPr>
          <w:spacing w:val="0"/>
          <w:w w:val="100"/>
          <w:position w:val="0"/>
        </w:rPr>
        <w:t>号煤层瓦斯分带为氮 气一甲烷带，9号煤层瓦斯分带为氮气一甲烷带、甲烷带。另据山西柳林寨崖底煤业有限公司提供资料，该矿现采9号煤层，生 产能力为</w:t>
      </w:r>
      <w:r>
        <w:rPr>
          <w:spacing w:val="0"/>
          <w:w w:val="100"/>
          <w:position w:val="0"/>
        </w:rPr>
        <w:t>1.20Mt/a，</w:t>
      </w:r>
      <w:r>
        <w:rPr>
          <w:spacing w:val="0"/>
          <w:w w:val="100"/>
          <w:position w:val="0"/>
        </w:rPr>
        <w:t>2006年度瓦斯鉴定矿井瓦斯绝对涌出量</w:t>
      </w:r>
      <w:r>
        <w:rPr>
          <w:spacing w:val="0"/>
          <w:w w:val="100"/>
          <w:position w:val="0"/>
        </w:rPr>
        <w:t>3.30m</w:t>
      </w:r>
      <w:r>
        <w:rPr>
          <w:spacing w:val="0"/>
          <w:w w:val="100"/>
          <w:position w:val="0"/>
          <w:sz w:val="13"/>
          <w:szCs w:val="13"/>
        </w:rPr>
        <w:t>3</w:t>
      </w:r>
      <w:r>
        <w:rPr>
          <w:spacing w:val="0"/>
          <w:w w:val="100"/>
          <w:position w:val="0"/>
        </w:rPr>
        <w:t>/min</w:t>
      </w:r>
      <w:r>
        <w:rPr>
          <w:spacing w:val="0"/>
          <w:w w:val="100"/>
          <w:position w:val="0"/>
        </w:rPr>
        <w:t>，相对涌出量</w:t>
      </w:r>
      <w:r>
        <w:rPr>
          <w:spacing w:val="0"/>
          <w:w w:val="100"/>
          <w:position w:val="0"/>
        </w:rPr>
        <w:t>3.93m</w:t>
      </w:r>
      <w:r>
        <w:rPr>
          <w:spacing w:val="0"/>
          <w:w w:val="100"/>
          <w:position w:val="0"/>
          <w:sz w:val="13"/>
          <w:szCs w:val="13"/>
        </w:rPr>
        <w:t>3</w:t>
      </w:r>
      <w:r>
        <w:rPr>
          <w:spacing w:val="0"/>
          <w:w w:val="100"/>
          <w:position w:val="0"/>
        </w:rPr>
        <w:t>/t</w:t>
      </w:r>
      <w:r>
        <w:rPr>
          <w:spacing w:val="0"/>
          <w:w w:val="100"/>
          <w:position w:val="0"/>
        </w:rPr>
        <w:t>，属低瓦斯矿井；，4号煤层矿井 瓦斯绝对涌出量</w:t>
      </w:r>
      <w:r>
        <w:rPr>
          <w:spacing w:val="0"/>
          <w:w w:val="100"/>
          <w:position w:val="0"/>
        </w:rPr>
        <w:t>0.26m</w:t>
      </w:r>
      <w:r>
        <w:rPr>
          <w:spacing w:val="0"/>
          <w:w w:val="100"/>
          <w:position w:val="0"/>
          <w:sz w:val="13"/>
          <w:szCs w:val="13"/>
        </w:rPr>
        <w:t>3</w:t>
      </w:r>
      <w:r>
        <w:rPr>
          <w:spacing w:val="0"/>
          <w:w w:val="100"/>
          <w:position w:val="0"/>
        </w:rPr>
        <w:t>/min</w:t>
      </w:r>
      <w:r>
        <w:rPr>
          <w:spacing w:val="0"/>
          <w:w w:val="100"/>
          <w:position w:val="0"/>
        </w:rPr>
        <w:t>，相对涌出量</w:t>
      </w:r>
      <w:r>
        <w:rPr>
          <w:spacing w:val="0"/>
          <w:w w:val="100"/>
          <w:position w:val="0"/>
        </w:rPr>
        <w:t>2.25m</w:t>
      </w:r>
      <w:r>
        <w:rPr>
          <w:spacing w:val="0"/>
          <w:w w:val="100"/>
          <w:position w:val="0"/>
          <w:sz w:val="13"/>
          <w:szCs w:val="13"/>
        </w:rPr>
        <w:t>3</w:t>
      </w:r>
      <w:r>
        <w:rPr>
          <w:spacing w:val="0"/>
          <w:w w:val="100"/>
          <w:position w:val="0"/>
        </w:rPr>
        <w:t>/t</w:t>
      </w:r>
      <w:r>
        <w:rPr>
          <w:spacing w:val="0"/>
          <w:w w:val="100"/>
          <w:position w:val="0"/>
        </w:rPr>
        <w:t>，属低瓦斯矿井；3号煤层矿井瓦斯绝对涌出量</w:t>
      </w:r>
      <w:r>
        <w:rPr>
          <w:spacing w:val="0"/>
          <w:w w:val="100"/>
          <w:position w:val="0"/>
        </w:rPr>
        <w:t>3.24m</w:t>
      </w:r>
      <w:r>
        <w:rPr>
          <w:spacing w:val="0"/>
          <w:w w:val="100"/>
          <w:position w:val="0"/>
          <w:sz w:val="13"/>
          <w:szCs w:val="13"/>
        </w:rPr>
        <w:t>3</w:t>
      </w:r>
      <w:r>
        <w:rPr>
          <w:spacing w:val="0"/>
          <w:w w:val="100"/>
          <w:position w:val="0"/>
        </w:rPr>
        <w:t>/min</w:t>
      </w:r>
      <w:r>
        <w:rPr>
          <w:spacing w:val="0"/>
          <w:w w:val="100"/>
          <w:position w:val="0"/>
        </w:rPr>
        <w:t xml:space="preserve">，相对涌出量 </w:t>
      </w:r>
      <w:r>
        <w:rPr>
          <w:spacing w:val="0"/>
          <w:w w:val="100"/>
          <w:position w:val="0"/>
        </w:rPr>
        <w:t>14.29m</w:t>
      </w:r>
      <w:r>
        <w:rPr>
          <w:spacing w:val="0"/>
          <w:w w:val="100"/>
          <w:position w:val="0"/>
          <w:sz w:val="13"/>
          <w:szCs w:val="13"/>
        </w:rPr>
        <w:t>3</w:t>
      </w:r>
      <w:r>
        <w:rPr>
          <w:spacing w:val="0"/>
          <w:w w:val="100"/>
          <w:position w:val="0"/>
        </w:rPr>
        <w:t>/t</w:t>
      </w:r>
      <w:r>
        <w:rPr>
          <w:spacing w:val="0"/>
          <w:w w:val="100"/>
          <w:position w:val="0"/>
        </w:rPr>
        <w:t>，属高瓦斯矿井。</w:t>
      </w:r>
    </w:p>
    <w:p>
      <w:pPr>
        <w:pStyle w:val="a2"/>
        <w:keepNext w:val="0"/>
        <w:keepLines w:val="0"/>
        <w:widowControl w:val="0"/>
        <w:numPr>
          <w:ilvl w:val="0"/>
          <w:numId w:val="8"/>
        </w:numPr>
        <w:shd w:val="clear" w:color="auto" w:fill="auto"/>
        <w:tabs>
          <w:tab w:val="left" w:pos="635"/>
        </w:tabs>
        <w:bidi w:val="0"/>
        <w:spacing w:before="0" w:after="100" w:line="464" w:lineRule="exact"/>
        <w:ind w:left="0" w:right="0" w:firstLine="0"/>
        <w:jc w:val="left"/>
      </w:pPr>
      <w:bookmarkStart w:id="19" w:name="bookmark19"/>
      <w:bookmarkEnd w:id="19"/>
      <w:r>
        <w:rPr>
          <w:color w:val="000000"/>
          <w:spacing w:val="0"/>
          <w:w w:val="100"/>
          <w:position w:val="0"/>
        </w:rPr>
        <w:t>煤尘爆炸性及煤的自燃</w:t>
      </w:r>
    </w:p>
    <w:p>
      <w:pPr>
        <w:pStyle w:val="a2"/>
        <w:keepNext w:val="0"/>
        <w:keepLines w:val="0"/>
        <w:widowControl w:val="0"/>
        <w:numPr>
          <w:ilvl w:val="0"/>
          <w:numId w:val="9"/>
        </w:numPr>
        <w:shd w:val="clear" w:color="auto" w:fill="auto"/>
        <w:tabs>
          <w:tab w:val="left" w:pos="966"/>
        </w:tabs>
        <w:bidi w:val="0"/>
        <w:spacing w:before="0" w:after="0" w:line="346" w:lineRule="exact"/>
        <w:ind w:left="0" w:right="0" w:firstLine="540"/>
        <w:jc w:val="both"/>
      </w:pPr>
      <w:bookmarkStart w:id="20" w:name="bookmark20"/>
      <w:bookmarkEnd w:id="20"/>
      <w:r>
        <w:rPr>
          <w:spacing w:val="0"/>
          <w:w w:val="100"/>
          <w:position w:val="0"/>
        </w:rPr>
        <w:t>.</w:t>
      </w:r>
      <w:r>
        <w:rPr>
          <w:spacing w:val="0"/>
          <w:w w:val="100"/>
          <w:position w:val="0"/>
        </w:rPr>
        <w:t>煤尘爆炸性</w:t>
      </w:r>
    </w:p>
    <w:p>
      <w:pPr>
        <w:pStyle w:val="a2"/>
        <w:keepNext w:val="0"/>
        <w:keepLines w:val="0"/>
        <w:widowControl w:val="0"/>
        <w:shd w:val="clear" w:color="auto" w:fill="auto"/>
        <w:bidi w:val="0"/>
        <w:spacing w:before="0" w:after="0" w:line="346" w:lineRule="exact"/>
        <w:ind w:left="0" w:right="0" w:firstLine="540"/>
        <w:jc w:val="both"/>
      </w:pPr>
      <w:r>
        <w:rPr>
          <w:spacing w:val="0"/>
          <w:w w:val="100"/>
          <w:position w:val="0"/>
        </w:rPr>
        <w:t>根据采样作煤尘爆炸性试验结果，区内各可采煤层均具有煤尘爆炸性，它将成为今后矿山开采的又一危害因素，生产部门应 引起高度重视，作好洒水降尘工作。</w:t>
      </w:r>
    </w:p>
    <w:p>
      <w:pPr>
        <w:pStyle w:val="a2"/>
        <w:keepNext w:val="0"/>
        <w:keepLines w:val="0"/>
        <w:widowControl w:val="0"/>
        <w:numPr>
          <w:ilvl w:val="0"/>
          <w:numId w:val="9"/>
        </w:numPr>
        <w:shd w:val="clear" w:color="auto" w:fill="auto"/>
        <w:tabs>
          <w:tab w:val="left" w:pos="980"/>
        </w:tabs>
        <w:bidi w:val="0"/>
        <w:spacing w:before="0" w:after="0" w:line="346" w:lineRule="exact"/>
        <w:ind w:left="0" w:right="0" w:firstLine="540"/>
        <w:jc w:val="both"/>
      </w:pPr>
      <w:bookmarkStart w:id="21" w:name="bookmark21"/>
      <w:bookmarkEnd w:id="21"/>
      <w:r>
        <w:rPr>
          <w:spacing w:val="0"/>
          <w:w w:val="100"/>
          <w:position w:val="0"/>
        </w:rPr>
        <w:t>.</w:t>
      </w:r>
      <w:r>
        <w:rPr>
          <w:spacing w:val="0"/>
          <w:w w:val="100"/>
          <w:position w:val="0"/>
        </w:rPr>
        <w:t>煤的自燃</w:t>
      </w:r>
    </w:p>
    <w:p>
      <w:pPr>
        <w:pStyle w:val="a2"/>
        <w:keepNext w:val="0"/>
        <w:keepLines w:val="0"/>
        <w:widowControl w:val="0"/>
        <w:shd w:val="clear" w:color="auto" w:fill="auto"/>
        <w:bidi w:val="0"/>
        <w:spacing w:before="0" w:after="0" w:line="346" w:lineRule="exact"/>
        <w:ind w:left="0" w:right="0" w:firstLine="540"/>
        <w:jc w:val="left"/>
      </w:pPr>
      <w:r>
        <w:rPr>
          <w:spacing w:val="0"/>
          <w:w w:val="100"/>
          <w:position w:val="0"/>
        </w:rPr>
        <w:t>根据采样测试成果，区内各可采煤层均为不易自燃煤层。</w:t>
      </w:r>
    </w:p>
    <w:p>
      <w:pPr>
        <w:pStyle w:val="a2"/>
        <w:keepNext w:val="0"/>
        <w:keepLines w:val="0"/>
        <w:widowControl w:val="0"/>
        <w:shd w:val="clear" w:color="auto" w:fill="auto"/>
        <w:bidi w:val="0"/>
        <w:spacing w:before="0" w:after="80" w:line="240" w:lineRule="auto"/>
        <w:ind w:left="0" w:right="0" w:firstLine="0"/>
        <w:jc w:val="both"/>
      </w:pPr>
      <w:bookmarkStart w:id="22" w:name="bookmark22"/>
      <w:r>
        <w:rPr>
          <w:spacing w:val="0"/>
          <w:w w:val="100"/>
          <w:position w:val="0"/>
        </w:rPr>
        <w:t>（</w:t>
      </w:r>
      <w:bookmarkEnd w:id="22"/>
      <w:r>
        <w:rPr>
          <w:rFonts w:ascii="Times New Roman" w:eastAsia="Times New Roman" w:hAnsi="Times New Roman" w:cs="Times New Roman"/>
          <w:spacing w:val="0"/>
          <w:w w:val="100"/>
          <w:position w:val="0"/>
        </w:rPr>
        <w:t>3</w:t>
      </w:r>
      <w:r>
        <w:rPr>
          <w:spacing w:val="0"/>
          <w:w w:val="100"/>
          <w:position w:val="0"/>
        </w:rPr>
        <w:t>）环境地质</w:t>
      </w:r>
    </w:p>
    <w:p>
      <w:pPr>
        <w:pStyle w:val="a2"/>
        <w:keepNext w:val="0"/>
        <w:keepLines w:val="0"/>
        <w:widowControl w:val="0"/>
        <w:shd w:val="clear" w:color="auto" w:fill="auto"/>
        <w:bidi w:val="0"/>
        <w:spacing w:before="0" w:after="80" w:line="240" w:lineRule="auto"/>
        <w:ind w:left="0" w:right="0" w:firstLine="520"/>
        <w:jc w:val="both"/>
      </w:pPr>
      <w:r>
        <w:rPr>
          <w:spacing w:val="0"/>
          <w:w w:val="100"/>
          <w:position w:val="0"/>
        </w:rPr>
        <w:t>根据矿井资源整合地质报告及矿井业主提供的其它资料分析，本井田范围内尚未发现断层、陷落柱、褶皱等不良地质构造。</w:t>
      </w:r>
    </w:p>
    <w:p>
      <w:pPr>
        <w:pStyle w:val="a2"/>
        <w:keepNext w:val="0"/>
        <w:keepLines w:val="0"/>
        <w:widowControl w:val="0"/>
        <w:shd w:val="clear" w:color="auto" w:fill="auto"/>
        <w:bidi w:val="0"/>
        <w:spacing w:before="0" w:after="0" w:line="240" w:lineRule="auto"/>
        <w:ind w:left="0" w:right="0" w:firstLine="0"/>
        <w:jc w:val="center"/>
      </w:pPr>
      <w:r>
        <w:rPr>
          <w:color w:val="000000"/>
          <w:spacing w:val="0"/>
          <w:w w:val="100"/>
          <w:position w:val="0"/>
        </w:rPr>
        <w:t>第二章井田开拓</w:t>
      </w:r>
    </w:p>
    <w:p>
      <w:pPr>
        <w:pStyle w:val="a2"/>
        <w:keepNext w:val="0"/>
        <w:keepLines w:val="0"/>
        <w:widowControl w:val="0"/>
        <w:shd w:val="clear" w:color="auto" w:fill="auto"/>
        <w:bidi w:val="0"/>
        <w:spacing w:before="0" w:after="0" w:line="470" w:lineRule="exact"/>
        <w:ind w:left="0" w:right="0" w:firstLine="6160"/>
        <w:jc w:val="both"/>
      </w:pPr>
      <w:r>
        <w:rPr>
          <w:color w:val="000000"/>
          <w:spacing w:val="0"/>
          <w:w w:val="100"/>
          <w:position w:val="0"/>
        </w:rPr>
        <w:t>第一节井田境界及储量 一井田境界</w:t>
      </w:r>
    </w:p>
    <w:p>
      <w:pPr>
        <w:pStyle w:val="a2"/>
        <w:keepNext w:val="0"/>
        <w:keepLines w:val="0"/>
        <w:widowControl w:val="0"/>
        <w:shd w:val="clear" w:color="auto" w:fill="auto"/>
        <w:bidi w:val="0"/>
        <w:spacing w:before="0" w:after="380" w:line="470" w:lineRule="exact"/>
        <w:ind w:left="0" w:right="0" w:firstLine="540"/>
        <w:jc w:val="both"/>
        <w:sectPr>
          <w:type w:val="nextPage"/>
          <w:pgSz w:w="17861" w:h="25258"/>
          <w:pgMar w:top="1240" w:right="1022" w:bottom="2060" w:left="1397" w:header="0" w:footer="3" w:gutter="0"/>
          <w:pgNumType w:start="6"/>
          <w:cols w:space="720"/>
          <w:noEndnote/>
          <w:titlePg w:val="0"/>
          <w:rtlGutter w:val="0"/>
          <w:docGrid w:linePitch="360"/>
        </w:sectPr>
      </w:pPr>
      <w:r>
        <w:rPr>
          <w:color w:val="008080"/>
          <w:spacing w:val="0"/>
          <w:w w:val="100"/>
          <w:position w:val="0"/>
        </w:rPr>
        <w:t>整合后的寨崖底煤业有限公司井田东与赵家庄煤矿井田相邻，西北与陈家湾村煤矿、哪哈沟煤矿、狮尾沟煤村矿井田为界，</w:t>
      </w:r>
    </w:p>
    <w:p>
      <w:pPr>
        <w:pStyle w:val="a2"/>
        <w:keepNext w:val="0"/>
        <w:keepLines w:val="0"/>
        <w:widowControl w:val="0"/>
        <w:shd w:val="clear" w:color="auto" w:fill="auto"/>
        <w:bidi w:val="0"/>
        <w:spacing w:before="0" w:after="380" w:line="470" w:lineRule="exact"/>
        <w:ind w:left="0" w:right="0" w:firstLine="540"/>
        <w:jc w:val="both"/>
      </w:pPr>
      <w:r>
        <w:rPr>
          <w:color w:val="008080"/>
          <w:spacing w:val="0"/>
          <w:w w:val="100"/>
          <w:position w:val="0"/>
        </w:rPr>
        <w:t xml:space="preserve"> 南为国统区，北部为煤层的露头线，井田面积</w:t>
      </w:r>
      <w:r>
        <w:rPr>
          <w:rFonts w:ascii="Times New Roman" w:eastAsia="Times New Roman" w:hAnsi="Times New Roman" w:cs="Times New Roman"/>
          <w:color w:val="008080"/>
          <w:spacing w:val="0"/>
          <w:w w:val="100"/>
          <w:position w:val="0"/>
        </w:rPr>
        <w:t>13.9608kmZ</w:t>
      </w:r>
      <w:r>
        <w:rPr>
          <w:color w:val="008080"/>
          <w:spacing w:val="0"/>
          <w:w w:val="100"/>
          <w:position w:val="0"/>
        </w:rPr>
        <w:t>整合后的寨崖底煤业井田范围以山西省煤炭工业局文件《关于山西柳 林兴无煤矿有限责任公司等矿井进行机械化采煤升级改造的批复》批准的井田范围为准。整合后寨崖底煤业井田境界拐点坐标见 下表</w:t>
      </w:r>
    </w:p>
    <w:p>
      <w:pPr>
        <w:pStyle w:val="a4"/>
        <w:keepNext w:val="0"/>
        <w:keepLines w:val="0"/>
        <w:widowControl w:val="0"/>
        <w:shd w:val="clear" w:color="auto" w:fill="auto"/>
        <w:tabs>
          <w:tab w:val="left" w:pos="2098"/>
        </w:tabs>
        <w:bidi w:val="0"/>
        <w:spacing w:before="0" w:after="0" w:line="240" w:lineRule="auto"/>
        <w:ind w:left="230" w:right="0" w:firstLine="0"/>
        <w:jc w:val="left"/>
      </w:pPr>
      <w:r>
        <w:rPr>
          <w:color w:val="008080"/>
          <w:spacing w:val="0"/>
          <w:w w:val="100"/>
          <w:position w:val="0"/>
        </w:rPr>
        <w:t>表</w:t>
      </w:r>
      <w:r>
        <w:rPr>
          <w:color w:val="008080"/>
          <w:spacing w:val="0"/>
          <w:w w:val="100"/>
          <w:position w:val="0"/>
        </w:rPr>
        <w:t>2.1-1</w:t>
        <w:tab/>
      </w:r>
      <w:r>
        <w:rPr>
          <w:color w:val="008080"/>
          <w:spacing w:val="0"/>
          <w:w w:val="100"/>
          <w:position w:val="0"/>
        </w:rPr>
        <w:t>整合后寨崖底煤业井田境界拐点坐标表</w:t>
      </w:r>
    </w:p>
    <w:tbl>
      <w:tblPr>
        <w:tblStyle w:val="TableNormal"/>
        <w:tblOverlap w:val="never"/>
        <w:jc w:val="center"/>
        <w:tblLayout w:type="fixed"/>
        <w:tblCellMar>
          <w:left w:w="10" w:type="dxa"/>
          <w:right w:w="10" w:type="dxa"/>
        </w:tblCellMar>
      </w:tblPr>
      <w:tblGrid>
        <w:gridCol w:w="1229"/>
        <w:gridCol w:w="3096"/>
        <w:gridCol w:w="2280"/>
        <w:gridCol w:w="1560"/>
        <w:gridCol w:w="2760"/>
        <w:gridCol w:w="2270"/>
      </w:tblGrid>
      <w:tr>
        <w:tblPrEx>
          <w:jc w:val="center"/>
          <w:tblLayout w:type="fixed"/>
          <w:tblCellMar>
            <w:left w:w="10" w:type="dxa"/>
            <w:right w:w="10" w:type="dxa"/>
          </w:tblCellMar>
        </w:tblPrEx>
        <w:trPr>
          <w:trHeight w:hRule="exact" w:val="61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点号</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经距</w:t>
            </w:r>
            <w:r>
              <w:rPr>
                <w:color w:val="008080"/>
                <w:spacing w:val="0"/>
                <w:w w:val="100"/>
                <w:position w:val="0"/>
              </w:rPr>
              <w:t>（Y）</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纬距（X）</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点号</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经距</w:t>
            </w:r>
            <w:r>
              <w:rPr>
                <w:color w:val="008080"/>
                <w:spacing w:val="0"/>
                <w:w w:val="100"/>
                <w:position w:val="0"/>
              </w:rPr>
              <w:t>（Y）</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纬距（X）</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19499130.000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4134220.000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16</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19503845.000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4134071.000</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19499460.000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4135000.000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17</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19503667.700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4134071.800</w:t>
            </w:r>
          </w:p>
        </w:tc>
      </w:tr>
      <w:tr>
        <w:tblPrEx>
          <w:jc w:val="center"/>
          <w:tblLayout w:type="fixed"/>
          <w:tblCellMar>
            <w:left w:w="10" w:type="dxa"/>
            <w:right w:w="10" w:type="dxa"/>
          </w:tblCellMar>
        </w:tblPrEx>
        <w:trPr>
          <w:trHeight w:hRule="exact" w:val="581"/>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3</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19501230.000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4134062.000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18</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19503668.300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4132684.400</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4</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19500950.000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4135315.000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19503323.700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4132684.300</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5</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19501436.000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4135195.000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20</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19503323.700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4132602.000</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6</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19501490.000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4135195.000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21</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19502906.000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4132602.000</w:t>
            </w:r>
          </w:p>
        </w:tc>
      </w:tr>
      <w:tr>
        <w:tblPrEx>
          <w:jc w:val="center"/>
          <w:tblLayout w:type="fixed"/>
          <w:tblCellMar>
            <w:left w:w="10" w:type="dxa"/>
            <w:right w:w="10" w:type="dxa"/>
          </w:tblCellMar>
        </w:tblPrEx>
        <w:trPr>
          <w:trHeight w:hRule="exact" w:val="581"/>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7</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19501186.000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4137368.000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22</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19501518.000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4133142.000</w:t>
            </w:r>
          </w:p>
        </w:tc>
      </w:tr>
      <w:tr>
        <w:tblPrEx>
          <w:jc w:val="center"/>
          <w:tblLayout w:type="fixed"/>
          <w:tblCellMar>
            <w:left w:w="10" w:type="dxa"/>
            <w:right w:w="10" w:type="dxa"/>
          </w:tblCellMar>
        </w:tblPrEx>
        <w:trPr>
          <w:trHeight w:hRule="exact" w:val="595"/>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8</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19504485.000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4136624.000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23</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19500950.000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4132520.000</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9</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19504566.000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4136003.000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24</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19499650.000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4133340.000</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10</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19503617.000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4136005.000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25</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19499600.000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4133220.000</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11</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19503685.000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4135004.000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26</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19499440.000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4133290.000</w:t>
            </w:r>
          </w:p>
        </w:tc>
      </w:tr>
      <w:tr>
        <w:tblPrEx>
          <w:jc w:val="center"/>
          <w:tblLayout w:type="fixed"/>
          <w:tblCellMar>
            <w:left w:w="10" w:type="dxa"/>
            <w:right w:w="10" w:type="dxa"/>
          </w:tblCellMar>
        </w:tblPrEx>
        <w:trPr>
          <w:trHeight w:hRule="exact" w:val="581"/>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12</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19503077.000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4135152.000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27</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19499509.000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4133430.000</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13</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19503077.000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4134508.000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28</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19498940.000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4133790.000</w:t>
            </w:r>
          </w:p>
        </w:tc>
      </w:tr>
      <w:tr>
        <w:tblPrEx>
          <w:jc w:val="center"/>
          <w:tblLayout w:type="fixed"/>
          <w:tblCellMar>
            <w:left w:w="10" w:type="dxa"/>
            <w:right w:w="10" w:type="dxa"/>
          </w:tblCellMar>
        </w:tblPrEx>
        <w:trPr>
          <w:trHeight w:hRule="exact" w:val="600"/>
          <w:jc w:val="center"/>
        </w:trPr>
        <w:tc>
          <w:tcPr>
            <w:tcW w:w="1229"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14</w:t>
            </w:r>
          </w:p>
        </w:tc>
        <w:tc>
          <w:tcPr>
            <w:tcW w:w="3096"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19503097.000</w:t>
            </w:r>
          </w:p>
        </w:tc>
        <w:tc>
          <w:tcPr>
            <w:tcW w:w="228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4134493.000</w:t>
            </w:r>
          </w:p>
        </w:tc>
        <w:tc>
          <w:tcPr>
            <w:tcW w:w="15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29</w:t>
            </w:r>
          </w:p>
        </w:tc>
        <w:tc>
          <w:tcPr>
            <w:tcW w:w="2760"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19499126.000</w:t>
            </w:r>
          </w:p>
        </w:tc>
        <w:tc>
          <w:tcPr>
            <w:tcW w:w="227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4134223.000</w:t>
            </w:r>
          </w:p>
        </w:tc>
      </w:tr>
      <w:tr>
        <w:tblPrEx>
          <w:jc w:val="center"/>
          <w:tblLayout w:type="fixed"/>
          <w:tblCellMar>
            <w:left w:w="10" w:type="dxa"/>
            <w:right w:w="10" w:type="dxa"/>
          </w:tblCellMar>
        </w:tblPrEx>
        <w:trPr>
          <w:trHeight w:hRule="exact" w:val="610"/>
          <w:jc w:val="center"/>
        </w:trPr>
        <w:tc>
          <w:tcPr>
            <w:tcW w:w="1229"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15</w:t>
            </w:r>
          </w:p>
        </w:tc>
        <w:tc>
          <w:tcPr>
            <w:tcW w:w="3096"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8080"/>
                <w:spacing w:val="0"/>
                <w:w w:val="100"/>
                <w:position w:val="0"/>
              </w:rPr>
              <w:t>19503845.000</w:t>
            </w:r>
          </w:p>
        </w:tc>
        <w:tc>
          <w:tcPr>
            <w:tcW w:w="2280"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380"/>
              <w:jc w:val="left"/>
            </w:pPr>
            <w:r>
              <w:rPr>
                <w:color w:val="008080"/>
                <w:spacing w:val="0"/>
                <w:w w:val="100"/>
                <w:position w:val="0"/>
              </w:rPr>
              <w:t>4134496.000</w:t>
            </w:r>
          </w:p>
        </w:tc>
        <w:tc>
          <w:tcPr>
            <w:tcW w:w="156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76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2270" w:type="dxa"/>
            <w:tcBorders>
              <w:top w:val="single" w:sz="4" w:space="0" w:color="auto"/>
              <w:left w:val="single" w:sz="4" w:space="0" w:color="auto"/>
              <w:bottom w:val="single" w:sz="4" w:space="0" w:color="auto"/>
              <w:right w:val="single" w:sz="4" w:space="0" w:color="auto"/>
            </w:tcBorders>
            <w:shd w:val="clear" w:color="auto" w:fill="FFFFFF"/>
            <w:vAlign w:val="top"/>
          </w:tcPr>
          <w:p>
            <w:pPr>
              <w:widowControl w:val="0"/>
              <w:rPr>
                <w:sz w:val="10"/>
                <w:szCs w:val="10"/>
              </w:rPr>
            </w:pPr>
          </w:p>
        </w:tc>
      </w:tr>
    </w:tbl>
    <w:p>
      <w:pPr>
        <w:pStyle w:val="a2"/>
        <w:keepNext w:val="0"/>
        <w:keepLines w:val="0"/>
        <w:widowControl w:val="0"/>
        <w:shd w:val="clear" w:color="auto" w:fill="auto"/>
        <w:bidi w:val="0"/>
        <w:spacing w:before="0" w:after="0" w:line="451" w:lineRule="exact"/>
        <w:ind w:left="0" w:right="0" w:firstLine="0"/>
        <w:jc w:val="left"/>
      </w:pPr>
      <w:r>
        <w:rPr>
          <w:color w:val="000000"/>
          <w:spacing w:val="0"/>
          <w:w w:val="100"/>
          <w:position w:val="0"/>
        </w:rPr>
        <w:t>二储量</w:t>
      </w:r>
    </w:p>
    <w:p>
      <w:pPr>
        <w:pStyle w:val="a2"/>
        <w:keepNext w:val="0"/>
        <w:keepLines w:val="0"/>
        <w:widowControl w:val="0"/>
        <w:numPr>
          <w:ilvl w:val="0"/>
          <w:numId w:val="10"/>
        </w:numPr>
        <w:shd w:val="clear" w:color="auto" w:fill="auto"/>
        <w:tabs>
          <w:tab w:val="left" w:pos="354"/>
        </w:tabs>
        <w:bidi w:val="0"/>
        <w:spacing w:before="0" w:after="0" w:line="451" w:lineRule="exact"/>
        <w:ind w:left="0" w:right="0" w:firstLine="0"/>
        <w:jc w:val="left"/>
      </w:pPr>
      <w:bookmarkStart w:id="23" w:name="bookmark23"/>
      <w:bookmarkEnd w:id="23"/>
      <w:r>
        <w:rPr>
          <w:color w:val="000000"/>
          <w:spacing w:val="0"/>
          <w:w w:val="100"/>
          <w:position w:val="0"/>
        </w:rPr>
        <w:t>资源</w:t>
      </w:r>
      <w:r>
        <w:rPr>
          <w:rFonts w:ascii="Times New Roman" w:eastAsia="Times New Roman" w:hAnsi="Times New Roman" w:cs="Times New Roman"/>
          <w:color w:val="000000"/>
          <w:spacing w:val="0"/>
          <w:w w:val="100"/>
          <w:position w:val="0"/>
        </w:rPr>
        <w:t>/</w:t>
      </w:r>
      <w:r>
        <w:rPr>
          <w:color w:val="000000"/>
          <w:spacing w:val="0"/>
          <w:w w:val="100"/>
          <w:position w:val="0"/>
        </w:rPr>
        <w:t>储量估算范围</w:t>
      </w:r>
    </w:p>
    <w:p>
      <w:pPr>
        <w:pStyle w:val="a2"/>
        <w:keepNext w:val="0"/>
        <w:keepLines w:val="0"/>
        <w:widowControl w:val="0"/>
        <w:shd w:val="clear" w:color="auto" w:fill="auto"/>
        <w:bidi w:val="0"/>
        <w:spacing w:before="0" w:after="0" w:line="451" w:lineRule="exact"/>
        <w:ind w:left="0" w:right="0" w:firstLine="540"/>
        <w:jc w:val="both"/>
      </w:pPr>
      <w:r>
        <w:rPr>
          <w:spacing w:val="0"/>
          <w:w w:val="100"/>
          <w:position w:val="0"/>
        </w:rPr>
        <w:t>井田内各煤层的资源储量估算范围以山西省煤炭工业局文件《关于山西柳林兴无煤矿有限责任公司等矿井进行机械化采煤升 级改造的批复》批准的井田范围为准，估算的煤层为3、4、8</w:t>
      </w:r>
      <w:r>
        <w:rPr>
          <w:spacing w:val="0"/>
          <w:w w:val="100"/>
          <w:position w:val="0"/>
          <w:sz w:val="13"/>
          <w:szCs w:val="13"/>
        </w:rPr>
        <w:t>-1</w:t>
      </w:r>
      <w:r>
        <w:rPr>
          <w:spacing w:val="0"/>
          <w:w w:val="100"/>
          <w:position w:val="0"/>
        </w:rPr>
        <w:t>、8</w:t>
      </w:r>
      <w:r>
        <w:rPr>
          <w:spacing w:val="0"/>
          <w:w w:val="100"/>
          <w:position w:val="0"/>
          <w:sz w:val="13"/>
          <w:szCs w:val="13"/>
        </w:rPr>
        <w:t>-2</w:t>
      </w:r>
      <w:r>
        <w:rPr>
          <w:spacing w:val="0"/>
          <w:w w:val="100"/>
          <w:position w:val="0"/>
        </w:rPr>
        <w:t>、9号煤层。</w:t>
      </w:r>
    </w:p>
    <w:p>
      <w:pPr>
        <w:pStyle w:val="a2"/>
        <w:keepNext w:val="0"/>
        <w:keepLines w:val="0"/>
        <w:widowControl w:val="0"/>
        <w:numPr>
          <w:ilvl w:val="0"/>
          <w:numId w:val="10"/>
        </w:numPr>
        <w:shd w:val="clear" w:color="auto" w:fill="auto"/>
        <w:tabs>
          <w:tab w:val="left" w:pos="373"/>
        </w:tabs>
        <w:bidi w:val="0"/>
        <w:spacing w:before="0" w:after="0" w:line="451" w:lineRule="exact"/>
        <w:ind w:left="0" w:right="0" w:firstLine="0"/>
        <w:jc w:val="both"/>
      </w:pPr>
      <w:bookmarkStart w:id="24" w:name="bookmark24"/>
      <w:bookmarkEnd w:id="24"/>
      <w:r>
        <w:rPr>
          <w:color w:val="000000"/>
          <w:spacing w:val="0"/>
          <w:w w:val="100"/>
          <w:position w:val="0"/>
        </w:rPr>
        <w:t>工业指标确定</w:t>
      </w:r>
    </w:p>
    <w:p>
      <w:pPr>
        <w:pStyle w:val="a2"/>
        <w:keepNext w:val="0"/>
        <w:keepLines w:val="0"/>
        <w:widowControl w:val="0"/>
        <w:shd w:val="clear" w:color="auto" w:fill="auto"/>
        <w:bidi w:val="0"/>
        <w:spacing w:before="0" w:after="0" w:line="480" w:lineRule="exact"/>
        <w:ind w:left="0" w:right="0" w:firstLine="700"/>
        <w:jc w:val="both"/>
      </w:pPr>
      <w:r>
        <w:rPr>
          <w:spacing w:val="0"/>
          <w:w w:val="100"/>
          <w:position w:val="0"/>
        </w:rPr>
        <w:t>井田内各煤层倾角一般都在10°以下，属近水平煤层，煤类为焦煤、瘦煤，依据《煤、泥炭地质勘查规范》</w:t>
      </w:r>
      <w:r>
        <w:rPr>
          <w:spacing w:val="0"/>
          <w:w w:val="100"/>
          <w:position w:val="0"/>
        </w:rPr>
        <w:t xml:space="preserve">（DZ/T0215-2002） </w:t>
      </w:r>
      <w:r>
        <w:rPr>
          <w:spacing w:val="0"/>
          <w:w w:val="100"/>
          <w:position w:val="0"/>
        </w:rPr>
        <w:t>确定本次资源量估算指标如下：</w:t>
      </w:r>
    </w:p>
    <w:p>
      <w:pPr>
        <w:pStyle w:val="a2"/>
        <w:keepNext w:val="0"/>
        <w:keepLines w:val="0"/>
        <w:widowControl w:val="0"/>
        <w:shd w:val="clear" w:color="auto" w:fill="auto"/>
        <w:bidi w:val="0"/>
        <w:spacing w:before="0" w:after="0" w:line="451" w:lineRule="exact"/>
        <w:ind w:left="0" w:right="0" w:firstLine="520"/>
        <w:jc w:val="both"/>
      </w:pPr>
      <w:r>
        <w:rPr>
          <w:spacing w:val="0"/>
          <w:w w:val="100"/>
          <w:position w:val="0"/>
        </w:rPr>
        <w:t>⑴最低可采厚度：炼焦用煤</w:t>
      </w:r>
      <w:r>
        <w:rPr>
          <w:spacing w:val="0"/>
          <w:w w:val="100"/>
          <w:position w:val="0"/>
        </w:rPr>
        <w:t>N</w:t>
      </w:r>
      <w:r>
        <w:rPr>
          <w:rFonts w:ascii="Times New Roman" w:eastAsia="Times New Roman" w:hAnsi="Times New Roman" w:cs="Times New Roman"/>
          <w:spacing w:val="0"/>
          <w:w w:val="100"/>
          <w:position w:val="0"/>
        </w:rPr>
        <w:t xml:space="preserve">0.70m </w:t>
      </w:r>
      <w:r>
        <w:rPr>
          <w:spacing w:val="0"/>
          <w:w w:val="100"/>
          <w:position w:val="0"/>
        </w:rPr>
        <w:t>（倾角＜</w:t>
      </w:r>
      <w:r>
        <w:rPr>
          <w:rFonts w:ascii="Times New Roman" w:eastAsia="Times New Roman" w:hAnsi="Times New Roman" w:cs="Times New Roman"/>
          <w:spacing w:val="0"/>
          <w:w w:val="100"/>
          <w:position w:val="0"/>
        </w:rPr>
        <w:t>25°）</w:t>
      </w:r>
    </w:p>
    <w:p>
      <w:pPr>
        <w:pStyle w:val="a2"/>
        <w:keepNext w:val="0"/>
        <w:keepLines w:val="0"/>
        <w:widowControl w:val="0"/>
        <w:shd w:val="clear" w:color="auto" w:fill="auto"/>
        <w:tabs>
          <w:tab w:val="left" w:pos="4254"/>
        </w:tabs>
        <w:bidi w:val="0"/>
        <w:spacing w:before="0" w:after="0" w:line="451" w:lineRule="exact"/>
        <w:ind w:left="0" w:right="0" w:firstLine="520"/>
        <w:jc w:val="both"/>
      </w:pPr>
      <w:r>
        <w:rPr>
          <w:spacing w:val="0"/>
          <w:w w:val="100"/>
          <w:position w:val="0"/>
        </w:rPr>
        <w:t>⑵最高灰分（</w:t>
      </w:r>
      <w:r>
        <w:rPr>
          <w:rFonts w:ascii="Times New Roman" w:eastAsia="Times New Roman" w:hAnsi="Times New Roman" w:cs="Times New Roman"/>
          <w:spacing w:val="0"/>
          <w:w w:val="100"/>
          <w:position w:val="0"/>
        </w:rPr>
        <w:t>Ad</w:t>
      </w:r>
      <w:r>
        <w:rPr>
          <w:spacing w:val="0"/>
          <w:w w:val="100"/>
          <w:position w:val="0"/>
        </w:rPr>
        <w:t>）：</w:t>
        <w:tab/>
      </w:r>
      <w:r>
        <w:rPr>
          <w:rFonts w:ascii="Times New Roman" w:eastAsia="Times New Roman" w:hAnsi="Times New Roman" w:cs="Times New Roman"/>
          <w:spacing w:val="0"/>
          <w:w w:val="100"/>
          <w:position w:val="0"/>
        </w:rPr>
        <w:t>40%</w:t>
      </w:r>
    </w:p>
    <w:p>
      <w:pPr>
        <w:pStyle w:val="a2"/>
        <w:keepNext w:val="0"/>
        <w:keepLines w:val="0"/>
        <w:widowControl w:val="0"/>
        <w:shd w:val="clear" w:color="auto" w:fill="auto"/>
        <w:tabs>
          <w:tab w:val="left" w:pos="4254"/>
        </w:tabs>
        <w:bidi w:val="0"/>
        <w:spacing w:before="0" w:after="0" w:line="451" w:lineRule="exact"/>
        <w:ind w:left="0" w:right="0" w:firstLine="520"/>
        <w:jc w:val="both"/>
      </w:pPr>
      <w:r>
        <w:rPr>
          <w:spacing w:val="0"/>
          <w:w w:val="100"/>
          <w:position w:val="0"/>
        </w:rPr>
        <w:t>⑶ 最高硫分</w:t>
      </w:r>
      <w:r>
        <w:rPr>
          <w:spacing w:val="0"/>
          <w:w w:val="100"/>
          <w:position w:val="0"/>
        </w:rPr>
        <w:t>（</w:t>
      </w:r>
      <w:r>
        <w:rPr>
          <w:rFonts w:ascii="Times New Roman" w:eastAsia="Times New Roman" w:hAnsi="Times New Roman" w:cs="Times New Roman"/>
          <w:spacing w:val="0"/>
          <w:w w:val="100"/>
          <w:position w:val="0"/>
        </w:rPr>
        <w:t>St.d</w:t>
      </w:r>
      <w:r>
        <w:rPr>
          <w:spacing w:val="0"/>
          <w:w w:val="100"/>
          <w:position w:val="0"/>
        </w:rPr>
        <w:t>）：</w:t>
        <w:tab/>
      </w:r>
      <w:r>
        <w:rPr>
          <w:rFonts w:ascii="Times New Roman" w:eastAsia="Times New Roman" w:hAnsi="Times New Roman" w:cs="Times New Roman"/>
          <w:spacing w:val="0"/>
          <w:w w:val="100"/>
          <w:position w:val="0"/>
        </w:rPr>
        <w:t>3%</w:t>
      </w:r>
      <w:r>
        <w:rPr>
          <w:spacing w:val="0"/>
          <w:w w:val="100"/>
          <w:position w:val="0"/>
        </w:rPr>
        <w:t>。</w:t>
      </w:r>
    </w:p>
    <w:p>
      <w:pPr>
        <w:pStyle w:val="a2"/>
        <w:keepNext w:val="0"/>
        <w:keepLines w:val="0"/>
        <w:widowControl w:val="0"/>
        <w:numPr>
          <w:ilvl w:val="0"/>
          <w:numId w:val="10"/>
        </w:numPr>
        <w:shd w:val="clear" w:color="auto" w:fill="auto"/>
        <w:tabs>
          <w:tab w:val="left" w:pos="373"/>
        </w:tabs>
        <w:bidi w:val="0"/>
        <w:spacing w:before="0" w:after="0" w:line="451" w:lineRule="exact"/>
        <w:ind w:left="0" w:right="0" w:firstLine="0"/>
        <w:jc w:val="left"/>
      </w:pPr>
      <w:bookmarkStart w:id="25" w:name="bookmark25"/>
      <w:bookmarkEnd w:id="25"/>
      <w:r>
        <w:rPr>
          <w:color w:val="000000"/>
          <w:spacing w:val="0"/>
          <w:w w:val="100"/>
          <w:position w:val="0"/>
        </w:rPr>
        <w:t>资源</w:t>
      </w:r>
      <w:r>
        <w:rPr>
          <w:rFonts w:ascii="Times New Roman" w:eastAsia="Times New Roman" w:hAnsi="Times New Roman" w:cs="Times New Roman"/>
          <w:color w:val="000000"/>
          <w:spacing w:val="0"/>
          <w:w w:val="100"/>
          <w:position w:val="0"/>
        </w:rPr>
        <w:t>/</w:t>
      </w:r>
      <w:r>
        <w:rPr>
          <w:color w:val="000000"/>
          <w:spacing w:val="0"/>
          <w:w w:val="100"/>
          <w:position w:val="0"/>
        </w:rPr>
        <w:t>储量估算方法与有关参数的确定</w:t>
      </w:r>
    </w:p>
    <w:p>
      <w:pPr>
        <w:pStyle w:val="a2"/>
        <w:keepNext w:val="0"/>
        <w:keepLines w:val="0"/>
        <w:widowControl w:val="0"/>
        <w:shd w:val="clear" w:color="auto" w:fill="auto"/>
        <w:bidi w:val="0"/>
        <w:spacing w:before="0" w:after="0" w:line="451" w:lineRule="exact"/>
        <w:ind w:left="0" w:right="0" w:firstLine="840"/>
        <w:jc w:val="both"/>
      </w:pPr>
      <w:r>
        <w:rPr>
          <w:spacing w:val="0"/>
          <w:w w:val="100"/>
          <w:position w:val="0"/>
        </w:rPr>
        <w:t>由于井田内煤层倾角小于15°，故采用地质块段法进行资源储量估算,计算公式为：</w:t>
      </w:r>
    </w:p>
    <w:p>
      <w:pPr>
        <w:pStyle w:val="a2"/>
        <w:keepNext w:val="0"/>
        <w:keepLines w:val="0"/>
        <w:widowControl w:val="0"/>
        <w:shd w:val="clear" w:color="auto" w:fill="auto"/>
        <w:bidi w:val="0"/>
        <w:spacing w:before="0" w:after="0" w:line="451" w:lineRule="exact"/>
        <w:ind w:left="3540" w:right="0" w:firstLine="0"/>
        <w:jc w:val="left"/>
      </w:pPr>
      <w:r>
        <w:rPr>
          <w:spacing w:val="0"/>
          <w:w w:val="100"/>
          <w:position w:val="0"/>
        </w:rPr>
        <w:t>Q=SXmXd^10000</w:t>
      </w:r>
    </w:p>
    <w:p>
      <w:pPr>
        <w:pStyle w:val="a2"/>
        <w:keepNext w:val="0"/>
        <w:keepLines w:val="0"/>
        <w:widowControl w:val="0"/>
        <w:shd w:val="clear" w:color="auto" w:fill="auto"/>
        <w:bidi w:val="0"/>
        <w:spacing w:before="0" w:after="0" w:line="451" w:lineRule="exact"/>
        <w:ind w:left="0" w:right="0" w:firstLine="840"/>
        <w:jc w:val="both"/>
      </w:pPr>
      <w:r>
        <w:rPr>
          <w:spacing w:val="0"/>
          <w:w w:val="100"/>
          <w:position w:val="0"/>
        </w:rPr>
        <w:t>式中：</w:t>
      </w:r>
      <w:r>
        <w:rPr>
          <w:spacing w:val="0"/>
          <w:w w:val="100"/>
          <w:position w:val="0"/>
        </w:rPr>
        <w:t>Q—</w:t>
      </w:r>
      <w:r>
        <w:rPr>
          <w:spacing w:val="0"/>
          <w:w w:val="100"/>
          <w:position w:val="0"/>
        </w:rPr>
        <w:t>资源储量（万</w:t>
      </w:r>
      <w:r>
        <w:rPr>
          <w:spacing w:val="0"/>
          <w:w w:val="100"/>
          <w:position w:val="0"/>
        </w:rPr>
        <w:t>t）</w:t>
      </w:r>
    </w:p>
    <w:p>
      <w:pPr>
        <w:pStyle w:val="a2"/>
        <w:keepNext w:val="0"/>
        <w:keepLines w:val="0"/>
        <w:widowControl w:val="0"/>
        <w:shd w:val="clear" w:color="auto" w:fill="auto"/>
        <w:bidi w:val="0"/>
        <w:spacing w:before="0" w:after="0" w:line="451" w:lineRule="exact"/>
        <w:ind w:left="1660" w:right="0" w:firstLine="0"/>
        <w:jc w:val="both"/>
      </w:pPr>
      <w:r>
        <w:rPr>
          <w:spacing w:val="0"/>
          <w:w w:val="100"/>
          <w:position w:val="0"/>
        </w:rPr>
        <w:t>S一</w:t>
      </w:r>
      <w:r>
        <w:rPr>
          <w:spacing w:val="0"/>
          <w:w w:val="100"/>
          <w:position w:val="0"/>
        </w:rPr>
        <w:t>块段面积</w:t>
      </w:r>
      <w:r>
        <w:rPr>
          <w:spacing w:val="0"/>
          <w:w w:val="100"/>
          <w:position w:val="0"/>
        </w:rPr>
        <w:t>（m</w:t>
      </w:r>
      <w:r>
        <w:rPr>
          <w:spacing w:val="0"/>
          <w:w w:val="100"/>
          <w:position w:val="0"/>
          <w:sz w:val="13"/>
          <w:szCs w:val="13"/>
        </w:rPr>
        <w:t>2</w:t>
      </w:r>
      <w:r>
        <w:rPr>
          <w:spacing w:val="0"/>
          <w:w w:val="100"/>
          <w:position w:val="0"/>
        </w:rPr>
        <w:t>）</w:t>
      </w:r>
    </w:p>
    <w:p>
      <w:pPr>
        <w:pStyle w:val="a2"/>
        <w:keepNext w:val="0"/>
        <w:keepLines w:val="0"/>
        <w:widowControl w:val="0"/>
        <w:shd w:val="clear" w:color="auto" w:fill="auto"/>
        <w:bidi w:val="0"/>
        <w:spacing w:before="0" w:after="0" w:line="462" w:lineRule="exact"/>
        <w:ind w:left="1780" w:right="0" w:firstLine="0"/>
        <w:jc w:val="left"/>
      </w:pPr>
      <w:r>
        <w:rPr>
          <w:spacing w:val="0"/>
          <w:w w:val="100"/>
          <w:position w:val="0"/>
        </w:rPr>
        <w:t>m一</w:t>
      </w:r>
      <w:r>
        <w:rPr>
          <w:spacing w:val="0"/>
          <w:w w:val="100"/>
          <w:position w:val="0"/>
        </w:rPr>
        <w:t>煤层平均铅垂厚度</w:t>
      </w:r>
      <w:r>
        <w:rPr>
          <w:spacing w:val="0"/>
          <w:w w:val="100"/>
          <w:position w:val="0"/>
        </w:rPr>
        <w:t>（m）</w:t>
      </w:r>
    </w:p>
    <w:p>
      <w:pPr>
        <w:pStyle w:val="a2"/>
        <w:keepNext w:val="0"/>
        <w:keepLines w:val="0"/>
        <w:widowControl w:val="0"/>
        <w:shd w:val="clear" w:color="auto" w:fill="auto"/>
        <w:bidi w:val="0"/>
        <w:spacing w:before="0" w:after="180" w:line="462" w:lineRule="exact"/>
        <w:ind w:left="1620" w:right="0" w:firstLine="0"/>
        <w:jc w:val="left"/>
      </w:pPr>
      <w:r>
        <w:rPr>
          <w:spacing w:val="0"/>
          <w:w w:val="100"/>
          <w:position w:val="0"/>
        </w:rPr>
        <w:t>d一</w:t>
      </w:r>
      <w:r>
        <w:rPr>
          <w:spacing w:val="0"/>
          <w:w w:val="100"/>
          <w:position w:val="0"/>
        </w:rPr>
        <w:t>视密度</w:t>
      </w:r>
      <w:r>
        <w:rPr>
          <w:spacing w:val="0"/>
          <w:w w:val="100"/>
          <w:position w:val="0"/>
        </w:rPr>
        <w:t>（t/m</w:t>
      </w:r>
      <w:r>
        <w:rPr>
          <w:spacing w:val="0"/>
          <w:w w:val="100"/>
          <w:position w:val="0"/>
          <w:sz w:val="13"/>
          <w:szCs w:val="13"/>
        </w:rPr>
        <w:t>3</w:t>
      </w:r>
      <w:r>
        <w:rPr>
          <w:spacing w:val="0"/>
          <w:w w:val="100"/>
          <w:position w:val="0"/>
        </w:rPr>
        <w:t>）</w:t>
      </w:r>
    </w:p>
    <w:p>
      <w:pPr>
        <w:pStyle w:val="a2"/>
        <w:keepNext w:val="0"/>
        <w:keepLines w:val="0"/>
        <w:widowControl w:val="0"/>
        <w:numPr>
          <w:ilvl w:val="0"/>
          <w:numId w:val="10"/>
        </w:numPr>
        <w:shd w:val="clear" w:color="auto" w:fill="auto"/>
        <w:bidi w:val="0"/>
        <w:spacing w:before="0" w:after="0" w:line="372" w:lineRule="auto"/>
        <w:ind w:left="0" w:right="0" w:firstLine="140"/>
        <w:jc w:val="both"/>
      </w:pPr>
      <w:bookmarkStart w:id="26" w:name="bookmark26"/>
      <w:bookmarkEnd w:id="26"/>
      <w:r>
        <w:rPr>
          <w:color w:val="000000"/>
          <w:spacing w:val="0"/>
          <w:w w:val="100"/>
          <w:position w:val="0"/>
        </w:rPr>
        <w:t>资源</w:t>
      </w:r>
      <w:r>
        <w:rPr>
          <w:rFonts w:ascii="Times New Roman" w:eastAsia="Times New Roman" w:hAnsi="Times New Roman" w:cs="Times New Roman"/>
          <w:color w:val="000000"/>
          <w:spacing w:val="0"/>
          <w:w w:val="100"/>
          <w:position w:val="0"/>
        </w:rPr>
        <w:t>/</w:t>
      </w:r>
      <w:r>
        <w:rPr>
          <w:color w:val="000000"/>
          <w:spacing w:val="0"/>
          <w:w w:val="100"/>
          <w:position w:val="0"/>
        </w:rPr>
        <w:t>储量估算结果</w:t>
      </w:r>
    </w:p>
    <w:p>
      <w:pPr>
        <w:pStyle w:val="a2"/>
        <w:keepNext w:val="0"/>
        <w:keepLines w:val="0"/>
        <w:widowControl w:val="0"/>
        <w:shd w:val="clear" w:color="auto" w:fill="auto"/>
        <w:bidi w:val="0"/>
        <w:spacing w:before="0" w:after="0" w:line="462" w:lineRule="exact"/>
        <w:ind w:left="140" w:right="0" w:firstLine="680"/>
        <w:jc w:val="both"/>
      </w:pPr>
      <w:r>
        <w:rPr>
          <w:spacing w:val="0"/>
          <w:w w:val="100"/>
          <w:position w:val="0"/>
        </w:rPr>
        <w:t>经过核算，整合后山西柳林寨崖底煤业有限公司全井田内3、4、8</w:t>
      </w:r>
      <w:r>
        <w:rPr>
          <w:spacing w:val="0"/>
          <w:w w:val="100"/>
          <w:position w:val="0"/>
          <w:sz w:val="13"/>
          <w:szCs w:val="13"/>
        </w:rPr>
        <w:t>-1</w:t>
      </w:r>
      <w:r>
        <w:rPr>
          <w:spacing w:val="0"/>
          <w:w w:val="100"/>
          <w:position w:val="0"/>
        </w:rPr>
        <w:t>、8</w:t>
      </w:r>
      <w:r>
        <w:rPr>
          <w:spacing w:val="0"/>
          <w:w w:val="100"/>
          <w:position w:val="0"/>
          <w:sz w:val="13"/>
          <w:szCs w:val="13"/>
        </w:rPr>
        <w:t>-2</w:t>
      </w:r>
      <w:r>
        <w:rPr>
          <w:spacing w:val="0"/>
          <w:w w:val="100"/>
          <w:position w:val="0"/>
        </w:rPr>
        <w:t>、9号煤层累计查明地质资源量</w:t>
      </w:r>
      <w:r>
        <w:rPr>
          <w:spacing w:val="0"/>
          <w:w w:val="100"/>
          <w:position w:val="0"/>
        </w:rPr>
        <w:t xml:space="preserve">119.65Mt </w:t>
      </w:r>
      <w:r>
        <w:rPr>
          <w:spacing w:val="0"/>
          <w:w w:val="100"/>
          <w:position w:val="0"/>
        </w:rPr>
        <w:t>（其中焦 煤</w:t>
      </w:r>
      <w:r>
        <w:rPr>
          <w:spacing w:val="0"/>
          <w:w w:val="100"/>
          <w:position w:val="0"/>
        </w:rPr>
        <w:t>46.56Mt,</w:t>
      </w:r>
      <w:r>
        <w:rPr>
          <w:spacing w:val="0"/>
          <w:w w:val="100"/>
          <w:position w:val="0"/>
        </w:rPr>
        <w:t>瘦煤</w:t>
      </w:r>
      <w:r>
        <w:rPr>
          <w:spacing w:val="0"/>
          <w:w w:val="100"/>
          <w:position w:val="0"/>
        </w:rPr>
        <w:t>73.09Mt）</w:t>
      </w:r>
      <w:r>
        <w:rPr>
          <w:spacing w:val="0"/>
          <w:w w:val="100"/>
          <w:position w:val="0"/>
        </w:rPr>
        <w:t>，截至2007年6月（原2101工作面已回采完毕），矿井保有资源量</w:t>
      </w:r>
      <w:r>
        <w:rPr>
          <w:spacing w:val="0"/>
          <w:w w:val="100"/>
          <w:position w:val="0"/>
        </w:rPr>
        <w:t xml:space="preserve">108.98Mt </w:t>
      </w:r>
      <w:r>
        <w:rPr>
          <w:spacing w:val="0"/>
          <w:w w:val="100"/>
          <w:position w:val="0"/>
        </w:rPr>
        <w:t>（其中焦煤</w:t>
      </w:r>
      <w:r>
        <w:rPr>
          <w:spacing w:val="0"/>
          <w:w w:val="100"/>
          <w:position w:val="0"/>
        </w:rPr>
        <w:t>42.40Mt,</w:t>
      </w:r>
      <w:r>
        <w:rPr>
          <w:spacing w:val="0"/>
          <w:w w:val="100"/>
          <w:position w:val="0"/>
        </w:rPr>
        <w:t xml:space="preserve">瘦 煤 </w:t>
      </w:r>
      <w:r>
        <w:rPr>
          <w:spacing w:val="0"/>
          <w:w w:val="100"/>
          <w:position w:val="0"/>
        </w:rPr>
        <w:t>66.58Mt）</w:t>
      </w:r>
      <w:r>
        <w:rPr>
          <w:spacing w:val="0"/>
          <w:w w:val="100"/>
          <w:position w:val="0"/>
        </w:rPr>
        <w:t xml:space="preserve">，采空区 </w:t>
      </w:r>
      <w:r>
        <w:rPr>
          <w:spacing w:val="0"/>
          <w:w w:val="100"/>
          <w:position w:val="0"/>
        </w:rPr>
        <w:t>10.67Mt。</w:t>
      </w:r>
    </w:p>
    <w:p>
      <w:pPr>
        <w:pStyle w:val="a2"/>
        <w:keepNext w:val="0"/>
        <w:keepLines w:val="0"/>
        <w:widowControl w:val="0"/>
        <w:shd w:val="clear" w:color="auto" w:fill="auto"/>
        <w:bidi w:val="0"/>
        <w:spacing w:before="0" w:after="0" w:line="462" w:lineRule="exact"/>
        <w:ind w:left="140" w:right="0" w:firstLine="540"/>
        <w:jc w:val="both"/>
        <w:sectPr>
          <w:type w:val="nextPage"/>
          <w:pgSz w:w="17861" w:h="25258"/>
          <w:pgMar w:top="1240" w:right="1022" w:bottom="2060" w:left="1397" w:header="0" w:footer="3" w:gutter="0"/>
          <w:pgNumType w:start="7"/>
          <w:cols w:space="720"/>
          <w:noEndnote/>
          <w:titlePg w:val="0"/>
          <w:rtlGutter w:val="0"/>
          <w:docGrid w:linePitch="360"/>
        </w:sectPr>
      </w:pPr>
      <w:r>
        <w:rPr>
          <w:spacing w:val="0"/>
          <w:w w:val="100"/>
          <w:position w:val="0"/>
        </w:rPr>
        <w:t>对于蹬空区的开采，现有的采煤技术尚不成熟，设计考虑暂不开采。可利用资源量为</w:t>
      </w:r>
      <w:r>
        <w:rPr>
          <w:spacing w:val="0"/>
          <w:w w:val="100"/>
          <w:position w:val="0"/>
        </w:rPr>
        <w:t>106.65 Mt。</w:t>
      </w:r>
      <w:r>
        <w:rPr>
          <w:spacing w:val="0"/>
          <w:w w:val="100"/>
          <w:position w:val="0"/>
        </w:rPr>
        <w:t>本井田地质条件属简单类</w:t>
      </w:r>
    </w:p>
    <w:p>
      <w:pPr>
        <w:pStyle w:val="a2"/>
        <w:keepNext w:val="0"/>
        <w:keepLines w:val="0"/>
        <w:widowControl w:val="0"/>
        <w:shd w:val="clear" w:color="auto" w:fill="auto"/>
        <w:bidi w:val="0"/>
        <w:spacing w:before="0" w:after="0" w:line="462" w:lineRule="exact"/>
        <w:ind w:left="140" w:right="0" w:firstLine="540"/>
        <w:jc w:val="both"/>
      </w:pPr>
      <w:r>
        <w:rPr>
          <w:spacing w:val="0"/>
          <w:w w:val="100"/>
          <w:position w:val="0"/>
        </w:rPr>
        <w:t xml:space="preserve"> 型，煤层赋存稳定，工业资源/储量按公式（</w:t>
      </w:r>
      <w:r>
        <w:rPr>
          <w:spacing w:val="0"/>
          <w:w w:val="100"/>
          <w:position w:val="0"/>
        </w:rPr>
        <w:t xml:space="preserve">111b） </w:t>
      </w:r>
      <w:r>
        <w:rPr>
          <w:spacing w:val="0"/>
          <w:w w:val="100"/>
          <w:position w:val="0"/>
        </w:rPr>
        <w:t xml:space="preserve">+ </w:t>
      </w:r>
      <w:r>
        <w:rPr>
          <w:spacing w:val="0"/>
          <w:w w:val="100"/>
          <w:position w:val="0"/>
        </w:rPr>
        <w:t xml:space="preserve">（122b） +0.8X（333 </w:t>
      </w:r>
      <w:r>
        <w:rPr>
          <w:spacing w:val="0"/>
          <w:w w:val="100"/>
          <w:position w:val="0"/>
        </w:rPr>
        <w:t>）计算。</w:t>
      </w:r>
    </w:p>
    <w:p>
      <w:pPr>
        <w:pStyle w:val="a2"/>
        <w:keepNext w:val="0"/>
        <w:keepLines w:val="0"/>
        <w:widowControl w:val="0"/>
        <w:shd w:val="clear" w:color="auto" w:fill="auto"/>
        <w:bidi w:val="0"/>
        <w:spacing w:before="0" w:after="0" w:line="462" w:lineRule="exact"/>
        <w:ind w:left="0" w:right="0" w:firstLine="680"/>
        <w:jc w:val="both"/>
      </w:pPr>
      <w:r>
        <w:rPr>
          <w:spacing w:val="0"/>
          <w:w w:val="100"/>
          <w:position w:val="0"/>
        </w:rPr>
        <w:t>经计算，整合后本矿井工业资源/储量为</w:t>
      </w:r>
      <w:r>
        <w:rPr>
          <w:spacing w:val="0"/>
          <w:w w:val="100"/>
          <w:position w:val="0"/>
        </w:rPr>
        <w:t>105.01 Mt。</w:t>
      </w:r>
    </w:p>
    <w:p>
      <w:pPr>
        <w:pStyle w:val="a2"/>
        <w:keepNext w:val="0"/>
        <w:keepLines w:val="0"/>
        <w:widowControl w:val="0"/>
        <w:shd w:val="clear" w:color="auto" w:fill="auto"/>
        <w:bidi w:val="0"/>
        <w:spacing w:before="0" w:after="0" w:line="462" w:lineRule="exact"/>
        <w:ind w:left="0" w:right="0" w:firstLine="140"/>
        <w:jc w:val="both"/>
      </w:pPr>
      <w:r>
        <w:rPr>
          <w:color w:val="000000"/>
          <w:spacing w:val="0"/>
          <w:w w:val="100"/>
          <w:position w:val="0"/>
        </w:rPr>
        <w:t>三可采储量</w:t>
      </w:r>
    </w:p>
    <w:p>
      <w:pPr>
        <w:pStyle w:val="a2"/>
        <w:keepNext w:val="0"/>
        <w:keepLines w:val="0"/>
        <w:widowControl w:val="0"/>
        <w:shd w:val="clear" w:color="auto" w:fill="auto"/>
        <w:tabs>
          <w:tab w:val="left" w:pos="710"/>
        </w:tabs>
        <w:bidi w:val="0"/>
        <w:spacing w:before="0" w:after="0" w:line="462" w:lineRule="exact"/>
        <w:ind w:left="0" w:right="0" w:firstLine="140"/>
        <w:jc w:val="both"/>
      </w:pPr>
      <w:bookmarkStart w:id="27" w:name="bookmark27"/>
      <w:r>
        <w:rPr>
          <w:color w:val="000000"/>
          <w:spacing w:val="0"/>
          <w:w w:val="100"/>
          <w:position w:val="0"/>
        </w:rPr>
        <w:t>（</w:t>
      </w:r>
      <w:bookmarkEnd w:id="27"/>
      <w:r>
        <w:rPr>
          <w:rFonts w:ascii="Times New Roman" w:eastAsia="Times New Roman" w:hAnsi="Times New Roman" w:cs="Times New Roman"/>
          <w:color w:val="000000"/>
          <w:spacing w:val="0"/>
          <w:w w:val="100"/>
          <w:position w:val="0"/>
        </w:rPr>
        <w:t>1</w:t>
      </w:r>
      <w:r>
        <w:rPr>
          <w:color w:val="000000"/>
          <w:spacing w:val="0"/>
          <w:w w:val="100"/>
          <w:position w:val="0"/>
        </w:rPr>
        <w:t>）</w:t>
        <w:tab/>
        <w:t>矿井设计储量计算</w:t>
      </w:r>
    </w:p>
    <w:p>
      <w:pPr>
        <w:pStyle w:val="a2"/>
        <w:keepNext w:val="0"/>
        <w:keepLines w:val="0"/>
        <w:widowControl w:val="0"/>
        <w:shd w:val="clear" w:color="auto" w:fill="auto"/>
        <w:bidi w:val="0"/>
        <w:spacing w:before="0" w:after="0" w:line="462" w:lineRule="exact"/>
        <w:ind w:left="0" w:right="0" w:firstLine="680"/>
        <w:jc w:val="both"/>
      </w:pPr>
      <w:r>
        <w:rPr>
          <w:spacing w:val="0"/>
          <w:w w:val="100"/>
          <w:position w:val="0"/>
        </w:rPr>
        <w:t>矿井工业储量减去设计计算的井田境界、道路、村庄、河流等永久保护煤柱损失后的储量。</w:t>
      </w:r>
    </w:p>
    <w:p>
      <w:pPr>
        <w:pStyle w:val="a2"/>
        <w:keepNext w:val="0"/>
        <w:keepLines w:val="0"/>
        <w:widowControl w:val="0"/>
        <w:shd w:val="clear" w:color="auto" w:fill="auto"/>
        <w:tabs>
          <w:tab w:val="left" w:pos="710"/>
        </w:tabs>
        <w:bidi w:val="0"/>
        <w:spacing w:before="0" w:after="0" w:line="462" w:lineRule="exact"/>
        <w:ind w:left="0" w:right="0" w:firstLine="140"/>
        <w:jc w:val="both"/>
      </w:pPr>
      <w:bookmarkStart w:id="28" w:name="bookmark28"/>
      <w:r>
        <w:rPr>
          <w:color w:val="000000"/>
          <w:spacing w:val="0"/>
          <w:w w:val="100"/>
          <w:position w:val="0"/>
        </w:rPr>
        <w:t>（</w:t>
      </w:r>
      <w:bookmarkEnd w:id="28"/>
      <w:r>
        <w:rPr>
          <w:rFonts w:ascii="Times New Roman" w:eastAsia="Times New Roman" w:hAnsi="Times New Roman" w:cs="Times New Roman"/>
          <w:color w:val="000000"/>
          <w:spacing w:val="0"/>
          <w:w w:val="100"/>
          <w:position w:val="0"/>
        </w:rPr>
        <w:t>2</w:t>
      </w:r>
      <w:r>
        <w:rPr>
          <w:color w:val="000000"/>
          <w:spacing w:val="0"/>
          <w:w w:val="100"/>
          <w:position w:val="0"/>
        </w:rPr>
        <w:t>）</w:t>
        <w:tab/>
        <w:t>矿井设计可采储量</w:t>
      </w:r>
    </w:p>
    <w:p>
      <w:pPr>
        <w:pStyle w:val="a2"/>
        <w:keepNext w:val="0"/>
        <w:keepLines w:val="0"/>
        <w:widowControl w:val="0"/>
        <w:shd w:val="clear" w:color="auto" w:fill="auto"/>
        <w:bidi w:val="0"/>
        <w:spacing w:before="0" w:after="0" w:line="456" w:lineRule="exact"/>
        <w:ind w:left="140" w:right="0" w:firstLine="540"/>
        <w:jc w:val="both"/>
      </w:pPr>
      <w:r>
        <w:rPr>
          <w:spacing w:val="0"/>
          <w:w w:val="100"/>
          <w:position w:val="0"/>
        </w:rPr>
        <w:t>矿井设计储量减去工业场地保护煤柱、井下主要大巷煤柱后乘以采区回采率的储量。根据《煤炭工业矿井设计规范》，厚煤层 采区回采率不应小于75%，中厚煤层采区回采率不应小于80%，薄煤层采区回采率不应小于85%。井田内3、4、8</w:t>
      </w:r>
      <w:r>
        <w:rPr>
          <w:spacing w:val="0"/>
          <w:w w:val="100"/>
          <w:position w:val="0"/>
          <w:sz w:val="13"/>
          <w:szCs w:val="13"/>
        </w:rPr>
        <w:t>-1</w:t>
      </w:r>
      <w:r>
        <w:rPr>
          <w:spacing w:val="0"/>
          <w:w w:val="100"/>
          <w:position w:val="0"/>
        </w:rPr>
        <w:t>、</w:t>
      </w:r>
      <w:r>
        <w:rPr>
          <w:spacing w:val="0"/>
          <w:w w:val="100"/>
          <w:position w:val="0"/>
        </w:rPr>
        <w:t>8</w:t>
      </w:r>
      <w:r>
        <w:rPr>
          <w:spacing w:val="0"/>
          <w:w w:val="100"/>
          <w:position w:val="0"/>
          <w:sz w:val="13"/>
          <w:szCs w:val="13"/>
        </w:rPr>
        <w:t>-2</w:t>
      </w:r>
      <w:r>
        <w:rPr>
          <w:spacing w:val="0"/>
          <w:w w:val="100"/>
          <w:position w:val="0"/>
        </w:rPr>
        <w:t>煤厚度基 本在</w:t>
      </w:r>
      <w:r>
        <w:rPr>
          <w:spacing w:val="0"/>
          <w:w w:val="100"/>
          <w:position w:val="0"/>
        </w:rPr>
        <w:t>1.0m</w:t>
      </w:r>
      <w:r>
        <w:rPr>
          <w:spacing w:val="0"/>
          <w:w w:val="100"/>
          <w:position w:val="0"/>
        </w:rPr>
        <w:t>以下，为薄煤层，采区回采率取85%，9号煤层厚度为</w:t>
      </w:r>
      <w:r>
        <w:rPr>
          <w:spacing w:val="0"/>
          <w:w w:val="100"/>
          <w:position w:val="0"/>
        </w:rPr>
        <w:t>4.25-5.82m</w:t>
      </w:r>
      <w:r>
        <w:rPr>
          <w:spacing w:val="0"/>
          <w:w w:val="100"/>
          <w:position w:val="0"/>
        </w:rPr>
        <w:t>，平均</w:t>
      </w:r>
      <w:r>
        <w:rPr>
          <w:spacing w:val="0"/>
          <w:w w:val="100"/>
          <w:position w:val="0"/>
        </w:rPr>
        <w:t>4.93m，</w:t>
      </w:r>
      <w:r>
        <w:rPr>
          <w:spacing w:val="0"/>
          <w:w w:val="100"/>
          <w:position w:val="0"/>
        </w:rPr>
        <w:t>为厚煤层，采区回采率取75%。</w:t>
      </w:r>
    </w:p>
    <w:p>
      <w:pPr>
        <w:pStyle w:val="a2"/>
        <w:keepNext w:val="0"/>
        <w:keepLines w:val="0"/>
        <w:widowControl w:val="0"/>
        <w:shd w:val="clear" w:color="auto" w:fill="auto"/>
        <w:bidi w:val="0"/>
        <w:spacing w:before="0" w:after="180" w:line="456" w:lineRule="exact"/>
        <w:ind w:left="0" w:right="0" w:firstLine="680"/>
        <w:jc w:val="both"/>
      </w:pPr>
      <w:r>
        <w:rPr>
          <w:spacing w:val="0"/>
          <w:w w:val="100"/>
          <w:position w:val="0"/>
        </w:rPr>
        <w:t>经计算，全矿井可采储量为</w:t>
      </w:r>
      <w:r>
        <w:rPr>
          <w:spacing w:val="0"/>
          <w:w w:val="100"/>
          <w:position w:val="0"/>
        </w:rPr>
        <w:t>68.61Mt</w:t>
      </w:r>
      <w:r>
        <w:rPr>
          <w:spacing w:val="0"/>
          <w:w w:val="100"/>
          <w:position w:val="0"/>
        </w:rPr>
        <w:t>。矿井可采储量计算结果详见下表</w:t>
      </w:r>
    </w:p>
    <w:p>
      <w:pPr>
        <w:pStyle w:val="a4"/>
        <w:keepNext w:val="0"/>
        <w:keepLines w:val="0"/>
        <w:widowControl w:val="0"/>
        <w:shd w:val="clear" w:color="auto" w:fill="auto"/>
        <w:tabs>
          <w:tab w:val="left" w:pos="6432"/>
        </w:tabs>
        <w:bidi w:val="0"/>
        <w:spacing w:before="0" w:after="0" w:line="240" w:lineRule="auto"/>
        <w:ind w:left="528" w:right="0" w:firstLine="0"/>
        <w:jc w:val="left"/>
      </w:pPr>
      <w:r>
        <w:rPr>
          <w:b/>
          <w:bCs/>
          <w:color w:val="000000"/>
          <w:spacing w:val="0"/>
          <w:w w:val="100"/>
          <w:position w:val="0"/>
        </w:rPr>
        <w:t>表</w:t>
      </w:r>
      <w:r>
        <w:rPr>
          <w:b/>
          <w:bCs/>
          <w:color w:val="000000"/>
          <w:spacing w:val="0"/>
          <w:w w:val="100"/>
          <w:position w:val="0"/>
        </w:rPr>
        <w:t>2.1-2</w:t>
        <w:tab/>
      </w:r>
      <w:r>
        <w:rPr>
          <w:b/>
          <w:bCs/>
          <w:color w:val="000000"/>
          <w:spacing w:val="0"/>
          <w:w w:val="100"/>
          <w:position w:val="0"/>
        </w:rPr>
        <w:t>矿井可采储量计算结果表</w:t>
      </w:r>
    </w:p>
    <w:tbl>
      <w:tblPr>
        <w:tblStyle w:val="TableNormal"/>
        <w:tblOverlap w:val="never"/>
        <w:jc w:val="center"/>
        <w:tblLayout w:type="fixed"/>
        <w:tblCellMar>
          <w:left w:w="10" w:type="dxa"/>
          <w:right w:w="10" w:type="dxa"/>
        </w:tblCellMar>
      </w:tblPr>
      <w:tblGrid>
        <w:gridCol w:w="1291"/>
        <w:gridCol w:w="1282"/>
        <w:gridCol w:w="1277"/>
        <w:gridCol w:w="1291"/>
        <w:gridCol w:w="1282"/>
        <w:gridCol w:w="1277"/>
        <w:gridCol w:w="1291"/>
        <w:gridCol w:w="1282"/>
        <w:gridCol w:w="1277"/>
        <w:gridCol w:w="1282"/>
        <w:gridCol w:w="1291"/>
        <w:gridCol w:w="1301"/>
      </w:tblGrid>
      <w:tr>
        <w:tblPrEx>
          <w:jc w:val="center"/>
          <w:tblLayout w:type="fixed"/>
          <w:tblCellMar>
            <w:left w:w="10" w:type="dxa"/>
            <w:right w:w="10" w:type="dxa"/>
          </w:tblCellMar>
        </w:tblPrEx>
        <w:trPr>
          <w:trHeight w:hRule="exact" w:val="562"/>
          <w:jc w:val="center"/>
        </w:trPr>
        <w:tc>
          <w:tcPr>
            <w:tcW w:w="1291"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煤层</w:t>
            </w:r>
          </w:p>
        </w:tc>
        <w:tc>
          <w:tcPr>
            <w:tcW w:w="1282"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160" w:line="240" w:lineRule="auto"/>
              <w:ind w:left="0" w:right="0" w:firstLine="0"/>
              <w:jc w:val="center"/>
            </w:pPr>
            <w:r>
              <w:rPr>
                <w:color w:val="000000"/>
                <w:spacing w:val="0"/>
                <w:w w:val="100"/>
                <w:position w:val="0"/>
              </w:rPr>
              <w:t>矿井工</w:t>
            </w:r>
          </w:p>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业储量</w:t>
            </w:r>
          </w:p>
        </w:tc>
        <w:tc>
          <w:tcPr>
            <w:tcW w:w="5127" w:type="dxa"/>
            <w:gridSpan w:val="4"/>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永久煤柱损失</w:t>
            </w:r>
          </w:p>
        </w:tc>
        <w:tc>
          <w:tcPr>
            <w:tcW w:w="1291"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160" w:line="240" w:lineRule="auto"/>
              <w:ind w:left="0" w:right="0" w:firstLine="0"/>
              <w:jc w:val="center"/>
            </w:pPr>
            <w:r>
              <w:rPr>
                <w:color w:val="000000"/>
                <w:spacing w:val="0"/>
                <w:w w:val="100"/>
                <w:position w:val="0"/>
              </w:rPr>
              <w:t>矿井设</w:t>
            </w:r>
          </w:p>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计储量</w:t>
            </w:r>
          </w:p>
        </w:tc>
        <w:tc>
          <w:tcPr>
            <w:tcW w:w="3841" w:type="dxa"/>
            <w:gridSpan w:val="3"/>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工业场地和主要井巷煤柱</w:t>
            </w:r>
          </w:p>
        </w:tc>
        <w:tc>
          <w:tcPr>
            <w:tcW w:w="1291" w:type="dxa"/>
            <w:vMerge w:val="restart"/>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470" w:lineRule="exact"/>
              <w:ind w:left="0" w:right="0" w:firstLine="0"/>
              <w:jc w:val="center"/>
            </w:pPr>
            <w:r>
              <w:rPr>
                <w:color w:val="000000"/>
                <w:spacing w:val="0"/>
                <w:w w:val="100"/>
                <w:position w:val="0"/>
              </w:rPr>
              <w:t>开采损 失</w:t>
            </w:r>
          </w:p>
        </w:tc>
        <w:tc>
          <w:tcPr>
            <w:tcW w:w="1301" w:type="dxa"/>
            <w:vMerge w:val="restart"/>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160" w:line="240" w:lineRule="auto"/>
              <w:ind w:left="0" w:right="0" w:firstLine="0"/>
              <w:jc w:val="center"/>
            </w:pPr>
            <w:r>
              <w:rPr>
                <w:color w:val="000000"/>
                <w:spacing w:val="0"/>
                <w:w w:val="100"/>
                <w:position w:val="0"/>
              </w:rPr>
              <w:t>可采储</w:t>
            </w:r>
          </w:p>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量</w:t>
            </w:r>
          </w:p>
        </w:tc>
      </w:tr>
      <w:tr>
        <w:tblPrEx>
          <w:jc w:val="center"/>
          <w:tblLayout w:type="fixed"/>
          <w:tblCellMar>
            <w:left w:w="10" w:type="dxa"/>
            <w:right w:w="10" w:type="dxa"/>
          </w:tblCellMar>
        </w:tblPrEx>
        <w:trPr>
          <w:trHeight w:hRule="exact" w:val="1531"/>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277"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断层</w:t>
            </w:r>
          </w:p>
        </w:tc>
        <w:tc>
          <w:tcPr>
            <w:tcW w:w="1291"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460" w:line="240" w:lineRule="auto"/>
              <w:ind w:left="0" w:right="0" w:firstLine="0"/>
              <w:jc w:val="center"/>
            </w:pPr>
            <w:r>
              <w:rPr>
                <w:color w:val="000000"/>
                <w:spacing w:val="0"/>
                <w:w w:val="100"/>
                <w:position w:val="0"/>
              </w:rPr>
              <w:t>井田</w:t>
            </w:r>
          </w:p>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境界</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60" w:line="470" w:lineRule="exact"/>
              <w:ind w:left="0" w:right="0" w:firstLine="0"/>
              <w:jc w:val="center"/>
            </w:pPr>
            <w:r>
              <w:rPr>
                <w:color w:val="000000"/>
                <w:spacing w:val="0"/>
                <w:w w:val="100"/>
                <w:position w:val="0"/>
              </w:rPr>
              <w:t>地面建</w:t>
            </w:r>
          </w:p>
          <w:p>
            <w:pPr>
              <w:pStyle w:val="a3"/>
              <w:keepNext w:val="0"/>
              <w:keepLines w:val="0"/>
              <w:widowControl w:val="0"/>
              <w:shd w:val="clear" w:color="auto" w:fill="auto"/>
              <w:bidi w:val="0"/>
              <w:spacing w:before="0" w:after="0" w:line="470" w:lineRule="exact"/>
              <w:ind w:left="0" w:right="0" w:firstLine="0"/>
              <w:jc w:val="center"/>
            </w:pPr>
            <w:r>
              <w:rPr>
                <w:color w:val="000000"/>
                <w:spacing w:val="0"/>
                <w:w w:val="100"/>
                <w:position w:val="0"/>
              </w:rPr>
              <w:t>（构）筑 物</w:t>
            </w:r>
          </w:p>
        </w:tc>
        <w:tc>
          <w:tcPr>
            <w:tcW w:w="1277"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W w:w="1" w:type="dxa"/>
            <w:vMerge/>
            <w:tcBorders>
              <w:left w:val="single" w:sz="4" w:space="0" w:color="auto"/>
            </w:tcBorders>
            <w:shd w:val="clear" w:color="auto" w:fill="FFFFFF"/>
            <w:vAlign w:val="center"/>
          </w:tcPr>
          <w:p/>
        </w:tc>
        <w:tc>
          <w:tcPr>
            <w:tcW w:w="1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466" w:lineRule="exact"/>
              <w:ind w:left="0" w:right="0" w:firstLine="0"/>
              <w:jc w:val="center"/>
            </w:pPr>
            <w:r>
              <w:rPr>
                <w:color w:val="000000"/>
                <w:spacing w:val="0"/>
                <w:w w:val="100"/>
                <w:position w:val="0"/>
              </w:rPr>
              <w:t>工业场 地</w:t>
            </w:r>
          </w:p>
        </w:tc>
        <w:tc>
          <w:tcPr>
            <w:tcW w:w="1277"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461" w:lineRule="exact"/>
              <w:ind w:left="0" w:right="0" w:firstLine="0"/>
              <w:jc w:val="center"/>
            </w:pPr>
            <w:r>
              <w:rPr>
                <w:color w:val="000000"/>
                <w:spacing w:val="0"/>
                <w:w w:val="100"/>
                <w:position w:val="0"/>
              </w:rPr>
              <w:t>主要井 巷</w:t>
            </w:r>
          </w:p>
        </w:tc>
        <w:tc>
          <w:tcPr>
            <w:tcW w:w="1282"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W w:w="1" w:type="dxa"/>
            <w:vMerge/>
            <w:tcBorders>
              <w:left w:val="single" w:sz="4" w:space="0" w:color="auto"/>
            </w:tcBorders>
            <w:shd w:val="clear" w:color="auto" w:fill="FFFFFF"/>
            <w:vAlign w:val="center"/>
          </w:tcP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557"/>
          <w:jc w:val="center"/>
        </w:trPr>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3</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4.82</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0.18</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0.08</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0.26</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4.56</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0.06</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0.33</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0.39</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0.63</w:t>
            </w:r>
          </w:p>
        </w:tc>
        <w:tc>
          <w:tcPr>
            <w:tcW w:w="1301"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3.55</w:t>
            </w:r>
          </w:p>
        </w:tc>
      </w:tr>
      <w:tr>
        <w:tblPrEx>
          <w:jc w:val="center"/>
          <w:tblLayout w:type="fixed"/>
          <w:tblCellMar>
            <w:left w:w="10" w:type="dxa"/>
            <w:right w:w="10" w:type="dxa"/>
          </w:tblCellMar>
        </w:tblPrEx>
        <w:trPr>
          <w:trHeight w:hRule="exact" w:val="562"/>
          <w:jc w:val="center"/>
        </w:trPr>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4</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6.05</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0.26</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0.36</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5.69</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0.08</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0.36</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0.44</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0.79</w:t>
            </w:r>
          </w:p>
        </w:tc>
        <w:tc>
          <w:tcPr>
            <w:tcW w:w="1301"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4.46</w:t>
            </w:r>
          </w:p>
        </w:tc>
      </w:tr>
      <w:tr>
        <w:tblPrEx>
          <w:jc w:val="center"/>
          <w:tblLayout w:type="fixed"/>
          <w:tblCellMar>
            <w:left w:w="10" w:type="dxa"/>
            <w:right w:w="10" w:type="dxa"/>
          </w:tblCellMar>
        </w:tblPrEx>
        <w:trPr>
          <w:trHeight w:hRule="exact" w:val="552"/>
          <w:jc w:val="center"/>
        </w:trPr>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26"/>
                <w:szCs w:val="26"/>
              </w:rPr>
              <w:t>8</w:t>
            </w:r>
            <w:r>
              <w:rPr>
                <w:color w:val="000000"/>
                <w:spacing w:val="0"/>
                <w:w w:val="100"/>
                <w:position w:val="0"/>
                <w:sz w:val="13"/>
                <w:szCs w:val="13"/>
              </w:rPr>
              <w:t>-1</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13.03</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0.46</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0.24</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0.7</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12.33</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0.12</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0.84</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0.96</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1.71</w:t>
            </w:r>
          </w:p>
        </w:tc>
        <w:tc>
          <w:tcPr>
            <w:tcW w:w="1301"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9.67</w:t>
            </w:r>
          </w:p>
        </w:tc>
      </w:tr>
      <w:tr>
        <w:tblPrEx>
          <w:jc w:val="center"/>
          <w:tblLayout w:type="fixed"/>
          <w:tblCellMar>
            <w:left w:w="10" w:type="dxa"/>
            <w:right w:w="10" w:type="dxa"/>
          </w:tblCellMar>
        </w:tblPrEx>
        <w:trPr>
          <w:trHeight w:hRule="exact" w:val="557"/>
          <w:jc w:val="center"/>
        </w:trPr>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rPr>
                <w:sz w:val="13"/>
                <w:szCs w:val="13"/>
              </w:rPr>
            </w:pPr>
            <w:r>
              <w:rPr>
                <w:color w:val="000000"/>
                <w:spacing w:val="0"/>
                <w:w w:val="100"/>
                <w:position w:val="0"/>
                <w:sz w:val="26"/>
                <w:szCs w:val="26"/>
              </w:rPr>
              <w:t>8</w:t>
            </w:r>
            <w:r>
              <w:rPr>
                <w:color w:val="000000"/>
                <w:spacing w:val="0"/>
                <w:w w:val="100"/>
                <w:position w:val="0"/>
                <w:sz w:val="13"/>
                <w:szCs w:val="13"/>
              </w:rPr>
              <w:t>-2</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10.34</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0.25</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0.44</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0.69</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9.65</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0.11</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0.79</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0.9</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1.31</w:t>
            </w:r>
          </w:p>
        </w:tc>
        <w:tc>
          <w:tcPr>
            <w:tcW w:w="1301"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7.43</w:t>
            </w:r>
          </w:p>
        </w:tc>
      </w:tr>
      <w:tr>
        <w:tblPrEx>
          <w:jc w:val="center"/>
          <w:tblLayout w:type="fixed"/>
          <w:tblCellMar>
            <w:left w:w="10" w:type="dxa"/>
            <w:right w:w="10" w:type="dxa"/>
          </w:tblCellMar>
        </w:tblPrEx>
        <w:trPr>
          <w:trHeight w:hRule="exact" w:val="562"/>
          <w:jc w:val="center"/>
        </w:trPr>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9</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70.76</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2.67</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2.86</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5.53</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65.23</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0.87</w:t>
            </w:r>
          </w:p>
        </w:tc>
        <w:tc>
          <w:tcPr>
            <w:tcW w:w="127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6.37</w:t>
            </w:r>
          </w:p>
        </w:tc>
        <w:tc>
          <w:tcPr>
            <w:tcW w:w="1282"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7.24</w:t>
            </w:r>
          </w:p>
        </w:tc>
        <w:tc>
          <w:tcPr>
            <w:tcW w:w="1291"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14.50</w:t>
            </w:r>
          </w:p>
        </w:tc>
        <w:tc>
          <w:tcPr>
            <w:tcW w:w="1301"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43.50</w:t>
            </w:r>
          </w:p>
        </w:tc>
      </w:tr>
      <w:tr>
        <w:tblPrEx>
          <w:jc w:val="center"/>
          <w:tblLayout w:type="fixed"/>
          <w:tblCellMar>
            <w:left w:w="10" w:type="dxa"/>
            <w:right w:w="10" w:type="dxa"/>
          </w:tblCellMar>
        </w:tblPrEx>
        <w:trPr>
          <w:trHeight w:hRule="exact" w:val="643"/>
          <w:jc w:val="center"/>
        </w:trPr>
        <w:tc>
          <w:tcPr>
            <w:tcW w:w="1291"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W w:w="128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105.01</w:t>
            </w:r>
          </w:p>
        </w:tc>
        <w:tc>
          <w:tcPr>
            <w:tcW w:w="1277"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0.00</w:t>
            </w:r>
          </w:p>
        </w:tc>
        <w:tc>
          <w:tcPr>
            <w:tcW w:w="1291"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3.82</w:t>
            </w:r>
          </w:p>
        </w:tc>
        <w:tc>
          <w:tcPr>
            <w:tcW w:w="128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3.72</w:t>
            </w:r>
          </w:p>
        </w:tc>
        <w:tc>
          <w:tcPr>
            <w:tcW w:w="1277"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7.54</w:t>
            </w:r>
          </w:p>
        </w:tc>
        <w:tc>
          <w:tcPr>
            <w:tcW w:w="1291"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97.47</w:t>
            </w:r>
          </w:p>
        </w:tc>
        <w:tc>
          <w:tcPr>
            <w:tcW w:w="128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1.24</w:t>
            </w:r>
          </w:p>
        </w:tc>
        <w:tc>
          <w:tcPr>
            <w:tcW w:w="1277"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8.69</w:t>
            </w:r>
          </w:p>
        </w:tc>
        <w:tc>
          <w:tcPr>
            <w:tcW w:w="1282"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9.93</w:t>
            </w:r>
          </w:p>
        </w:tc>
        <w:tc>
          <w:tcPr>
            <w:tcW w:w="1291"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18.93</w:t>
            </w:r>
          </w:p>
        </w:tc>
        <w:tc>
          <w:tcPr>
            <w:tcW w:w="1301"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rPr>
              <w:t>68.61</w:t>
            </w:r>
          </w:p>
        </w:tc>
      </w:tr>
    </w:tbl>
    <w:p>
      <w:pPr>
        <w:widowControl w:val="0"/>
        <w:spacing w:after="419" w:line="1" w:lineRule="exact"/>
      </w:pPr>
    </w:p>
    <w:p>
      <w:pPr>
        <w:pStyle w:val="a2"/>
        <w:keepNext w:val="0"/>
        <w:keepLines w:val="0"/>
        <w:widowControl w:val="0"/>
        <w:shd w:val="clear" w:color="auto" w:fill="auto"/>
        <w:bidi w:val="0"/>
        <w:spacing w:before="0" w:after="0" w:line="461" w:lineRule="exact"/>
        <w:ind w:left="0" w:right="0" w:firstLine="0"/>
        <w:jc w:val="center"/>
      </w:pPr>
      <w:r>
        <w:rPr>
          <w:color w:val="000000"/>
          <w:spacing w:val="0"/>
          <w:w w:val="100"/>
          <w:position w:val="0"/>
        </w:rPr>
        <w:t>第二节矿井设计生产能力及服务年限</w:t>
      </w:r>
    </w:p>
    <w:p>
      <w:pPr>
        <w:pStyle w:val="a2"/>
        <w:keepNext w:val="0"/>
        <w:keepLines w:val="0"/>
        <w:widowControl w:val="0"/>
        <w:shd w:val="clear" w:color="auto" w:fill="auto"/>
        <w:bidi w:val="0"/>
        <w:spacing w:before="0" w:after="0" w:line="461" w:lineRule="exact"/>
        <w:ind w:left="0" w:right="0" w:firstLine="140"/>
        <w:jc w:val="left"/>
      </w:pPr>
      <w:r>
        <w:rPr>
          <w:color w:val="000000"/>
          <w:spacing w:val="0"/>
          <w:w w:val="100"/>
          <w:position w:val="0"/>
        </w:rPr>
        <w:t>一矿井工作制度</w:t>
      </w:r>
    </w:p>
    <w:p>
      <w:pPr>
        <w:pStyle w:val="a2"/>
        <w:keepNext w:val="0"/>
        <w:keepLines w:val="0"/>
        <w:widowControl w:val="0"/>
        <w:shd w:val="clear" w:color="auto" w:fill="auto"/>
        <w:bidi w:val="0"/>
        <w:spacing w:before="0" w:after="0" w:line="461" w:lineRule="exact"/>
        <w:ind w:left="0" w:right="0" w:firstLine="680"/>
        <w:jc w:val="both"/>
      </w:pPr>
      <w:r>
        <w:rPr>
          <w:spacing w:val="0"/>
          <w:w w:val="100"/>
          <w:position w:val="0"/>
        </w:rPr>
        <w:t>矿井设计年工作日为</w:t>
      </w:r>
      <w:r>
        <w:rPr>
          <w:spacing w:val="0"/>
          <w:w w:val="100"/>
          <w:position w:val="0"/>
        </w:rPr>
        <w:t>330d</w:t>
      </w:r>
      <w:r>
        <w:rPr>
          <w:spacing w:val="0"/>
          <w:w w:val="100"/>
          <w:position w:val="0"/>
        </w:rPr>
        <w:t>，井下“四六”工作制，地面“三八”工作制，矿井每天净提升时间为</w:t>
      </w:r>
      <w:r>
        <w:rPr>
          <w:spacing w:val="0"/>
          <w:w w:val="100"/>
          <w:position w:val="0"/>
        </w:rPr>
        <w:t>16h。</w:t>
      </w:r>
    </w:p>
    <w:p>
      <w:pPr>
        <w:pStyle w:val="a2"/>
        <w:keepNext w:val="0"/>
        <w:keepLines w:val="0"/>
        <w:widowControl w:val="0"/>
        <w:shd w:val="clear" w:color="auto" w:fill="auto"/>
        <w:bidi w:val="0"/>
        <w:spacing w:before="0" w:after="0" w:line="461" w:lineRule="exact"/>
        <w:ind w:left="0" w:right="0" w:firstLine="140"/>
        <w:jc w:val="both"/>
      </w:pPr>
      <w:r>
        <w:rPr>
          <w:color w:val="000000"/>
          <w:spacing w:val="0"/>
          <w:w w:val="100"/>
          <w:position w:val="0"/>
        </w:rPr>
        <w:t>二矿井设计生产能力的确定</w:t>
      </w:r>
    </w:p>
    <w:p>
      <w:pPr>
        <w:pStyle w:val="a2"/>
        <w:keepNext w:val="0"/>
        <w:keepLines w:val="0"/>
        <w:widowControl w:val="0"/>
        <w:shd w:val="clear" w:color="auto" w:fill="auto"/>
        <w:bidi w:val="0"/>
        <w:spacing w:before="0" w:after="0" w:line="461" w:lineRule="exact"/>
        <w:ind w:left="140" w:right="0" w:firstLine="680"/>
        <w:jc w:val="both"/>
      </w:pPr>
      <w:r>
        <w:rPr>
          <w:spacing w:val="0"/>
          <w:w w:val="100"/>
          <w:position w:val="0"/>
        </w:rPr>
        <w:t>根据山西省煤炭资源整合和有偿使用工作领导组所发“关于《吕梁市柳林县金家庄煤矿等七座煤矿继续进行资源整合批 复》”文件（晋煤整合发【2006】2号），寨崖底煤业有限公司资源整合后矿井生产能力为</w:t>
      </w:r>
      <w:r>
        <w:rPr>
          <w:spacing w:val="0"/>
          <w:w w:val="100"/>
          <w:position w:val="0"/>
        </w:rPr>
        <w:t>1.20Mt/a。</w:t>
      </w:r>
    </w:p>
    <w:p>
      <w:pPr>
        <w:pStyle w:val="a2"/>
        <w:keepNext w:val="0"/>
        <w:keepLines w:val="0"/>
        <w:widowControl w:val="0"/>
        <w:shd w:val="clear" w:color="auto" w:fill="auto"/>
        <w:bidi w:val="0"/>
        <w:spacing w:before="0" w:after="0" w:line="461" w:lineRule="exact"/>
        <w:ind w:left="0" w:right="0" w:firstLine="140"/>
        <w:jc w:val="both"/>
      </w:pPr>
      <w:r>
        <w:rPr>
          <w:color w:val="000000"/>
          <w:spacing w:val="0"/>
          <w:w w:val="100"/>
          <w:position w:val="0"/>
        </w:rPr>
        <w:t>三矿井及水平服务年限的计算</w:t>
      </w:r>
    </w:p>
    <w:p>
      <w:pPr>
        <w:pStyle w:val="a2"/>
        <w:keepNext w:val="0"/>
        <w:keepLines w:val="0"/>
        <w:widowControl w:val="0"/>
        <w:shd w:val="clear" w:color="auto" w:fill="auto"/>
        <w:bidi w:val="0"/>
        <w:spacing w:before="0" w:after="0" w:line="461" w:lineRule="exact"/>
        <w:ind w:left="140" w:right="0" w:firstLine="540"/>
        <w:jc w:val="both"/>
      </w:pPr>
      <w:r>
        <w:rPr>
          <w:spacing w:val="0"/>
          <w:w w:val="100"/>
          <w:position w:val="0"/>
        </w:rPr>
        <w:t>本矿井目前开采区域采煤方法明确，井下运输、通风等系统均较完善，本次设计对现开采区域服务年限不予考虑，设计从开 采区域的接续盘区开始计算矿井服务年限。经计算，矿井去除开采区可采储量后，剩余可采储量为</w:t>
      </w:r>
      <w:r>
        <w:rPr>
          <w:spacing w:val="0"/>
          <w:w w:val="100"/>
          <w:position w:val="0"/>
        </w:rPr>
        <w:t>55.59Mt。</w:t>
      </w:r>
    </w:p>
    <w:p>
      <w:pPr>
        <w:pStyle w:val="a2"/>
        <w:keepNext w:val="0"/>
        <w:keepLines w:val="0"/>
        <w:widowControl w:val="0"/>
        <w:shd w:val="clear" w:color="auto" w:fill="auto"/>
        <w:bidi w:val="0"/>
        <w:spacing w:before="0" w:after="0" w:line="461" w:lineRule="exact"/>
        <w:ind w:left="0" w:right="0" w:firstLine="680"/>
        <w:jc w:val="both"/>
      </w:pPr>
      <w:r>
        <w:rPr>
          <w:spacing w:val="0"/>
          <w:w w:val="100"/>
          <w:position w:val="0"/>
        </w:rPr>
        <w:t>矿井服务年限按下式计算：</w:t>
      </w:r>
    </w:p>
    <w:p>
      <w:pPr>
        <w:pStyle w:val="a2"/>
        <w:keepNext w:val="0"/>
        <w:keepLines w:val="0"/>
        <w:widowControl w:val="0"/>
        <w:shd w:val="clear" w:color="auto" w:fill="auto"/>
        <w:bidi w:val="0"/>
        <w:spacing w:before="0" w:after="0" w:line="461" w:lineRule="exact"/>
        <w:ind w:left="0" w:right="0" w:firstLine="680"/>
        <w:jc w:val="both"/>
      </w:pPr>
      <w:r>
        <w:rPr>
          <w:spacing w:val="0"/>
          <w:w w:val="100"/>
          <w:position w:val="0"/>
        </w:rPr>
        <w:t>T=Z/KA=55.59</w:t>
      </w:r>
      <w:r>
        <w:rPr>
          <w:spacing w:val="0"/>
          <w:w w:val="100"/>
          <w:position w:val="0"/>
        </w:rPr>
        <w:t xml:space="preserve">/ </w:t>
      </w:r>
      <w:r>
        <w:rPr>
          <w:spacing w:val="0"/>
          <w:w w:val="100"/>
          <w:position w:val="0"/>
        </w:rPr>
        <w:t>（1.2X 1.3） =35.6</w:t>
      </w:r>
    </w:p>
    <w:p>
      <w:pPr>
        <w:pStyle w:val="a2"/>
        <w:keepNext w:val="0"/>
        <w:keepLines w:val="0"/>
        <w:widowControl w:val="0"/>
        <w:shd w:val="clear" w:color="auto" w:fill="auto"/>
        <w:bidi w:val="0"/>
        <w:spacing w:before="0" w:after="0" w:line="461" w:lineRule="exact"/>
        <w:ind w:left="0" w:right="0" w:firstLine="680"/>
        <w:jc w:val="both"/>
      </w:pPr>
      <w:r>
        <w:rPr>
          <w:spacing w:val="0"/>
          <w:w w:val="100"/>
          <w:position w:val="0"/>
        </w:rPr>
        <w:t>式中：</w:t>
      </w:r>
      <w:r>
        <w:rPr>
          <w:spacing w:val="0"/>
          <w:w w:val="100"/>
          <w:position w:val="0"/>
        </w:rPr>
        <w:t>T ——</w:t>
      </w:r>
      <w:r>
        <w:rPr>
          <w:spacing w:val="0"/>
          <w:w w:val="100"/>
          <w:position w:val="0"/>
        </w:rPr>
        <w:t>矿井服务年限，</w:t>
      </w:r>
      <w:r>
        <w:rPr>
          <w:spacing w:val="0"/>
          <w:w w:val="100"/>
          <w:position w:val="0"/>
        </w:rPr>
        <w:t>a</w:t>
      </w:r>
    </w:p>
    <w:p>
      <w:pPr>
        <w:pStyle w:val="a2"/>
        <w:keepNext w:val="0"/>
        <w:keepLines w:val="0"/>
        <w:widowControl w:val="0"/>
        <w:shd w:val="clear" w:color="auto" w:fill="auto"/>
        <w:bidi w:val="0"/>
        <w:spacing w:before="0" w:after="0" w:line="461" w:lineRule="exact"/>
        <w:ind w:left="0" w:right="0" w:firstLine="680"/>
        <w:jc w:val="both"/>
      </w:pPr>
      <w:r>
        <w:rPr>
          <w:spacing w:val="0"/>
          <w:w w:val="100"/>
          <w:position w:val="0"/>
        </w:rPr>
        <w:t>Z</w:t>
      </w:r>
      <w:r>
        <w:rPr>
          <w:spacing w:val="0"/>
          <w:w w:val="100"/>
          <w:position w:val="0"/>
        </w:rPr>
        <w:t>——矿井设计区域可采储量，</w:t>
      </w:r>
      <w:r>
        <w:rPr>
          <w:spacing w:val="0"/>
          <w:w w:val="100"/>
          <w:position w:val="0"/>
        </w:rPr>
        <w:t>55.59Mt</w:t>
      </w:r>
    </w:p>
    <w:p>
      <w:pPr>
        <w:pStyle w:val="a2"/>
        <w:keepNext w:val="0"/>
        <w:keepLines w:val="0"/>
        <w:widowControl w:val="0"/>
        <w:shd w:val="clear" w:color="auto" w:fill="auto"/>
        <w:bidi w:val="0"/>
        <w:spacing w:before="0" w:after="0" w:line="461" w:lineRule="exact"/>
        <w:ind w:left="0" w:right="0" w:firstLine="680"/>
        <w:jc w:val="both"/>
      </w:pPr>
      <w:r>
        <w:rPr>
          <w:spacing w:val="0"/>
          <w:w w:val="100"/>
          <w:position w:val="0"/>
        </w:rPr>
        <w:t>A</w:t>
      </w:r>
      <w:r>
        <w:rPr>
          <w:spacing w:val="0"/>
          <w:w w:val="100"/>
          <w:position w:val="0"/>
        </w:rPr>
        <w:t>——矿井生产能力，</w:t>
      </w:r>
      <w:r>
        <w:rPr>
          <w:spacing w:val="0"/>
          <w:w w:val="100"/>
          <w:position w:val="0"/>
        </w:rPr>
        <w:t>1.20Mt/a。</w:t>
      </w:r>
    </w:p>
    <w:p>
      <w:pPr>
        <w:pStyle w:val="a2"/>
        <w:keepNext w:val="0"/>
        <w:keepLines w:val="0"/>
        <w:widowControl w:val="0"/>
        <w:shd w:val="clear" w:color="auto" w:fill="auto"/>
        <w:bidi w:val="0"/>
        <w:spacing w:before="0" w:after="0" w:line="461" w:lineRule="exact"/>
        <w:ind w:left="0" w:right="0" w:firstLine="680"/>
        <w:jc w:val="both"/>
      </w:pPr>
      <w:r>
        <w:rPr>
          <w:spacing w:val="0"/>
          <w:w w:val="100"/>
          <w:position w:val="0"/>
        </w:rPr>
        <w:t xml:space="preserve">K </w:t>
      </w:r>
      <w:r>
        <w:rPr>
          <w:spacing w:val="0"/>
          <w:w w:val="100"/>
          <w:position w:val="0"/>
        </w:rPr>
        <w:t>一一储量备用系数，取1.3。</w:t>
      </w:r>
    </w:p>
    <w:p>
      <w:pPr>
        <w:pStyle w:val="a2"/>
        <w:keepNext w:val="0"/>
        <w:keepLines w:val="0"/>
        <w:widowControl w:val="0"/>
        <w:shd w:val="clear" w:color="auto" w:fill="auto"/>
        <w:bidi w:val="0"/>
        <w:spacing w:before="0" w:after="160" w:line="240" w:lineRule="auto"/>
        <w:ind w:left="0" w:right="0" w:firstLine="0"/>
        <w:jc w:val="both"/>
      </w:pPr>
      <w:r>
        <w:rPr>
          <w:spacing w:val="0"/>
          <w:w w:val="100"/>
          <w:position w:val="0"/>
        </w:rPr>
        <w:t>经计算矿井服务年限为</w:t>
      </w:r>
      <w:r>
        <w:rPr>
          <w:rFonts w:ascii="Times New Roman" w:eastAsia="Times New Roman" w:hAnsi="Times New Roman" w:cs="Times New Roman"/>
          <w:spacing w:val="0"/>
          <w:w w:val="100"/>
          <w:position w:val="0"/>
        </w:rPr>
        <w:t>35.6a</w:t>
      </w:r>
      <w:r>
        <w:rPr>
          <w:spacing w:val="0"/>
          <w:w w:val="100"/>
          <w:position w:val="0"/>
        </w:rPr>
        <w:t>。</w:t>
      </w:r>
    </w:p>
    <w:p>
      <w:pPr>
        <w:pStyle w:val="a2"/>
        <w:keepNext w:val="0"/>
        <w:keepLines w:val="0"/>
        <w:widowControl w:val="0"/>
        <w:shd w:val="clear" w:color="auto" w:fill="auto"/>
        <w:bidi w:val="0"/>
        <w:spacing w:before="0" w:after="0" w:line="240" w:lineRule="auto"/>
        <w:ind w:left="0" w:right="0" w:firstLine="0"/>
        <w:jc w:val="center"/>
      </w:pPr>
      <w:r>
        <w:rPr>
          <w:color w:val="000000"/>
          <w:spacing w:val="0"/>
          <w:w w:val="100"/>
          <w:position w:val="0"/>
        </w:rPr>
        <w:t>第三节井田开拓</w:t>
      </w:r>
    </w:p>
    <w:p>
      <w:pPr>
        <w:pStyle w:val="a2"/>
        <w:keepNext w:val="0"/>
        <w:keepLines w:val="0"/>
        <w:widowControl w:val="0"/>
        <w:shd w:val="clear" w:color="auto" w:fill="auto"/>
        <w:bidi w:val="0"/>
        <w:spacing w:before="0" w:after="0" w:line="467" w:lineRule="exact"/>
        <w:ind w:left="0" w:right="0" w:firstLine="0"/>
        <w:jc w:val="both"/>
      </w:pPr>
      <w:r>
        <w:rPr>
          <w:color w:val="000000"/>
          <w:spacing w:val="0"/>
          <w:w w:val="100"/>
          <w:position w:val="0"/>
        </w:rPr>
        <w:t>一井田特征</w:t>
      </w:r>
    </w:p>
    <w:p>
      <w:pPr>
        <w:pStyle w:val="a2"/>
        <w:keepNext w:val="0"/>
        <w:keepLines w:val="0"/>
        <w:widowControl w:val="0"/>
        <w:shd w:val="clear" w:color="auto" w:fill="auto"/>
        <w:bidi w:val="0"/>
        <w:spacing w:before="0" w:after="0" w:line="469" w:lineRule="exact"/>
        <w:ind w:left="0" w:right="0" w:firstLine="740"/>
        <w:jc w:val="both"/>
      </w:pPr>
      <w:r>
        <w:rPr>
          <w:spacing w:val="0"/>
          <w:w w:val="100"/>
          <w:position w:val="0"/>
        </w:rPr>
        <w:t>依据山西省煤炭资源整合和有偿使用工作领导组文件（晋煤整合发</w:t>
      </w:r>
      <w:r>
        <w:rPr>
          <w:rFonts w:ascii="Times New Roman" w:eastAsia="Times New Roman" w:hAnsi="Times New Roman" w:cs="Times New Roman"/>
          <w:spacing w:val="0"/>
          <w:w w:val="100"/>
          <w:position w:val="0"/>
        </w:rPr>
        <w:t>[</w:t>
      </w:r>
      <w:r>
        <w:rPr>
          <w:rFonts w:ascii="Times New Roman" w:eastAsia="Times New Roman" w:hAnsi="Times New Roman" w:cs="Times New Roman"/>
          <w:spacing w:val="0"/>
          <w:w w:val="100"/>
          <w:position w:val="0"/>
        </w:rPr>
        <w:t>2006]2</w:t>
      </w:r>
      <w:r>
        <w:rPr>
          <w:spacing w:val="0"/>
          <w:w w:val="100"/>
          <w:position w:val="0"/>
        </w:rPr>
        <w:t>号）《关于吕梁市柳林县金家庄煤矿等七座煤矿 继续进行资源整合的批复》，山西柳林寨崖底煤业有限公司为整合后保留的矿井之一，整合的范围包括原寨崖底煤业有限公司、白 草耳煤矿、石盘上煤矿，整合后的开采煤层为</w:t>
      </w:r>
      <w:r>
        <w:rPr>
          <w:rFonts w:ascii="Times New Roman" w:eastAsia="Times New Roman" w:hAnsi="Times New Roman" w:cs="Times New Roman"/>
          <w:spacing w:val="0"/>
          <w:w w:val="100"/>
          <w:position w:val="0"/>
        </w:rPr>
        <w:t>3</w:t>
      </w:r>
      <w:r>
        <w:rPr>
          <w:spacing w:val="0"/>
          <w:w w:val="100"/>
          <w:position w:val="0"/>
        </w:rPr>
        <w:t>、</w:t>
      </w:r>
      <w:r>
        <w:rPr>
          <w:rFonts w:ascii="Times New Roman" w:eastAsia="Times New Roman" w:hAnsi="Times New Roman" w:cs="Times New Roman"/>
          <w:spacing w:val="0"/>
          <w:w w:val="100"/>
          <w:position w:val="0"/>
        </w:rPr>
        <w:t>4</w:t>
      </w:r>
      <w:r>
        <w:rPr>
          <w:spacing w:val="0"/>
          <w:w w:val="100"/>
          <w:position w:val="0"/>
        </w:rPr>
        <w:t>、</w:t>
      </w:r>
      <w:r>
        <w:rPr>
          <w:rFonts w:ascii="Times New Roman" w:eastAsia="Times New Roman" w:hAnsi="Times New Roman" w:cs="Times New Roman"/>
          <w:spacing w:val="0"/>
          <w:w w:val="100"/>
          <w:position w:val="0"/>
        </w:rPr>
        <w:t>5</w:t>
      </w:r>
      <w:r>
        <w:rPr>
          <w:spacing w:val="0"/>
          <w:w w:val="100"/>
          <w:position w:val="0"/>
        </w:rPr>
        <w:t>、</w:t>
      </w:r>
      <w:r>
        <w:rPr>
          <w:rFonts w:ascii="Times New Roman" w:eastAsia="Times New Roman" w:hAnsi="Times New Roman" w:cs="Times New Roman"/>
          <w:spacing w:val="0"/>
          <w:w w:val="100"/>
          <w:position w:val="0"/>
        </w:rPr>
        <w:t>8</w:t>
      </w:r>
      <w:r>
        <w:rPr>
          <w:rFonts w:ascii="Times New Roman" w:eastAsia="Times New Roman" w:hAnsi="Times New Roman" w:cs="Times New Roman"/>
          <w:spacing w:val="0"/>
          <w:w w:val="100"/>
          <w:position w:val="0"/>
          <w:sz w:val="17"/>
          <w:szCs w:val="17"/>
        </w:rPr>
        <w:t>-1</w:t>
      </w:r>
      <w:r>
        <w:rPr>
          <w:spacing w:val="0"/>
          <w:w w:val="100"/>
          <w:position w:val="0"/>
        </w:rPr>
        <w:t>、</w:t>
      </w:r>
      <w:r>
        <w:rPr>
          <w:rFonts w:ascii="Times New Roman" w:eastAsia="Times New Roman" w:hAnsi="Times New Roman" w:cs="Times New Roman"/>
          <w:spacing w:val="0"/>
          <w:w w:val="100"/>
          <w:position w:val="0"/>
        </w:rPr>
        <w:t>8</w:t>
      </w:r>
      <w:r>
        <w:rPr>
          <w:rFonts w:ascii="Times New Roman" w:eastAsia="Times New Roman" w:hAnsi="Times New Roman" w:cs="Times New Roman"/>
          <w:spacing w:val="0"/>
          <w:w w:val="100"/>
          <w:position w:val="0"/>
          <w:sz w:val="17"/>
          <w:szCs w:val="17"/>
        </w:rPr>
        <w:t>-2</w:t>
      </w:r>
      <w:r>
        <w:rPr>
          <w:spacing w:val="0"/>
          <w:w w:val="100"/>
          <w:position w:val="0"/>
        </w:rPr>
        <w:t>、</w:t>
      </w:r>
      <w:r>
        <w:rPr>
          <w:rFonts w:ascii="Times New Roman" w:eastAsia="Times New Roman" w:hAnsi="Times New Roman" w:cs="Times New Roman"/>
          <w:spacing w:val="0"/>
          <w:w w:val="100"/>
          <w:position w:val="0"/>
        </w:rPr>
        <w:t>9</w:t>
      </w:r>
      <w:r>
        <w:rPr>
          <w:spacing w:val="0"/>
          <w:w w:val="100"/>
          <w:position w:val="0"/>
        </w:rPr>
        <w:t>号煤。整合后的矿井生产能力为</w:t>
      </w:r>
      <w:r>
        <w:rPr>
          <w:rFonts w:ascii="Times New Roman" w:eastAsia="Times New Roman" w:hAnsi="Times New Roman" w:cs="Times New Roman"/>
          <w:spacing w:val="0"/>
          <w:w w:val="100"/>
          <w:position w:val="0"/>
        </w:rPr>
        <w:t>1.20Mt/a</w:t>
      </w:r>
      <w:r>
        <w:rPr>
          <w:spacing w:val="0"/>
          <w:w w:val="100"/>
          <w:position w:val="0"/>
        </w:rPr>
        <w:t>。</w:t>
      </w:r>
    </w:p>
    <w:p>
      <w:pPr>
        <w:pStyle w:val="a2"/>
        <w:keepNext w:val="0"/>
        <w:keepLines w:val="0"/>
        <w:widowControl w:val="0"/>
        <w:shd w:val="clear" w:color="auto" w:fill="auto"/>
        <w:bidi w:val="0"/>
        <w:spacing w:before="0" w:after="0" w:line="469" w:lineRule="exact"/>
        <w:ind w:left="0" w:right="0" w:firstLine="540"/>
        <w:jc w:val="both"/>
        <w:sectPr>
          <w:type w:val="nextPage"/>
          <w:pgSz w:w="17861" w:h="25258"/>
          <w:pgMar w:top="1240" w:right="1022" w:bottom="2060" w:left="1397" w:header="0" w:footer="3" w:gutter="0"/>
          <w:pgNumType w:start="8"/>
          <w:cols w:space="720"/>
          <w:noEndnote/>
          <w:titlePg w:val="0"/>
          <w:rtlGutter w:val="0"/>
          <w:docGrid w:linePitch="360"/>
        </w:sectPr>
      </w:pPr>
      <w:r>
        <w:rPr>
          <w:spacing w:val="0"/>
          <w:w w:val="100"/>
          <w:position w:val="0"/>
        </w:rPr>
        <w:t>整合后井田3、4、9号煤均存在采空区，9号煤采空区基本位于井田北部区域，4号煤采空区基本位于原白草耳煤矿工业场地 附近，3号煤层采空区基本位于原石盘上煤矿工业场地附近。</w:t>
      </w:r>
    </w:p>
    <w:p>
      <w:pPr>
        <w:pStyle w:val="a2"/>
        <w:keepNext w:val="0"/>
        <w:keepLines w:val="0"/>
        <w:widowControl w:val="0"/>
        <w:shd w:val="clear" w:color="auto" w:fill="auto"/>
        <w:bidi w:val="0"/>
        <w:spacing w:before="0" w:after="0" w:line="467" w:lineRule="exact"/>
        <w:ind w:left="0" w:right="0" w:firstLine="0"/>
        <w:jc w:val="both"/>
      </w:pPr>
      <w:r>
        <w:rPr>
          <w:color w:val="000000"/>
          <w:spacing w:val="0"/>
          <w:w w:val="100"/>
          <w:position w:val="0"/>
        </w:rPr>
        <w:t>二井田开拓方案</w:t>
      </w:r>
    </w:p>
    <w:p>
      <w:pPr>
        <w:pStyle w:val="a2"/>
        <w:keepNext w:val="0"/>
        <w:keepLines w:val="0"/>
        <w:widowControl w:val="0"/>
        <w:shd w:val="clear" w:color="auto" w:fill="auto"/>
        <w:bidi w:val="0"/>
        <w:spacing w:before="0" w:after="0" w:line="467" w:lineRule="exact"/>
        <w:ind w:left="0" w:right="0" w:firstLine="740"/>
        <w:jc w:val="both"/>
      </w:pPr>
      <w:r>
        <w:rPr>
          <w:spacing w:val="0"/>
          <w:w w:val="100"/>
          <w:position w:val="0"/>
        </w:rPr>
        <w:t>整合前寨崖底煤业有限公司各生产系统与其它两个被整合矿井相比较完善，因此设计矿井利用原寨崖底煤业有限公司工业 场地作为整合后矿井的工业场地。</w:t>
      </w:r>
    </w:p>
    <w:p>
      <w:pPr>
        <w:pStyle w:val="a2"/>
        <w:keepNext w:val="0"/>
        <w:keepLines w:val="0"/>
        <w:widowControl w:val="0"/>
        <w:shd w:val="clear" w:color="auto" w:fill="auto"/>
        <w:bidi w:val="0"/>
        <w:spacing w:before="0" w:after="160" w:line="467" w:lineRule="exact"/>
        <w:ind w:left="0" w:right="0" w:firstLine="740"/>
        <w:jc w:val="both"/>
      </w:pPr>
      <w:r>
        <w:rPr>
          <w:spacing w:val="0"/>
          <w:w w:val="100"/>
          <w:position w:val="0"/>
        </w:rPr>
        <w:t>依据确定的资源整合方案，对被整合的石盘上煤矿和白草耳煤矿立即实施关闭，整合后的资源全部由寨崖底煤业有限公司 开采。设计结合井田内各可采煤层的赋存情况、开采技术条件及整合前各煤矿的采掘现状，以安全为前提，尽量利用已有工程、 节省投资的原则，对整合后井田的开拓方式提出以下两种方案。</w:t>
      </w:r>
    </w:p>
    <w:p>
      <w:pPr>
        <w:pStyle w:val="a2"/>
        <w:keepNext w:val="0"/>
        <w:keepLines w:val="0"/>
        <w:widowControl w:val="0"/>
        <w:numPr>
          <w:ilvl w:val="0"/>
          <w:numId w:val="11"/>
        </w:numPr>
        <w:shd w:val="clear" w:color="auto" w:fill="auto"/>
        <w:tabs>
          <w:tab w:val="left" w:pos="1090"/>
        </w:tabs>
        <w:bidi w:val="0"/>
        <w:spacing w:before="0" w:after="0" w:line="374" w:lineRule="auto"/>
        <w:ind w:left="0" w:right="0" w:firstLine="740"/>
        <w:jc w:val="both"/>
      </w:pPr>
      <w:bookmarkStart w:id="29" w:name="bookmark29"/>
      <w:bookmarkEnd w:id="29"/>
      <w:r>
        <w:rPr>
          <w:spacing w:val="0"/>
          <w:w w:val="100"/>
          <w:position w:val="0"/>
        </w:rPr>
        <w:t>方案一</w:t>
      </w:r>
    </w:p>
    <w:p>
      <w:pPr>
        <w:pStyle w:val="a2"/>
        <w:keepNext w:val="0"/>
        <w:keepLines w:val="0"/>
        <w:widowControl w:val="0"/>
        <w:shd w:val="clear" w:color="auto" w:fill="auto"/>
        <w:bidi w:val="0"/>
        <w:spacing w:before="0" w:after="0" w:line="467" w:lineRule="exact"/>
        <w:ind w:left="0" w:right="0" w:firstLine="740"/>
        <w:jc w:val="both"/>
      </w:pPr>
      <w:r>
        <w:rPr>
          <w:spacing w:val="0"/>
          <w:w w:val="100"/>
          <w:position w:val="0"/>
        </w:rPr>
        <w:t>根据煤层赋存特点及煤层间距，将区内各可采煤层划分为两个煤组，两个水平，分水平布置开拓巷道。上部</w:t>
      </w:r>
      <w:r>
        <w:rPr>
          <w:rFonts w:ascii="Times New Roman" w:eastAsia="Times New Roman" w:hAnsi="Times New Roman" w:cs="Times New Roman"/>
          <w:spacing w:val="0"/>
          <w:w w:val="100"/>
          <w:position w:val="0"/>
        </w:rPr>
        <w:t>3</w:t>
      </w:r>
      <w:r>
        <w:rPr>
          <w:spacing w:val="0"/>
          <w:w w:val="100"/>
          <w:position w:val="0"/>
        </w:rPr>
        <w:t>、</w:t>
      </w:r>
      <w:r>
        <w:rPr>
          <w:rFonts w:ascii="Times New Roman" w:eastAsia="Times New Roman" w:hAnsi="Times New Roman" w:cs="Times New Roman"/>
          <w:spacing w:val="0"/>
          <w:w w:val="100"/>
          <w:position w:val="0"/>
        </w:rPr>
        <w:t>4</w:t>
      </w:r>
      <w:r>
        <w:rPr>
          <w:spacing w:val="0"/>
          <w:w w:val="100"/>
          <w:position w:val="0"/>
        </w:rPr>
        <w:t>号煤层划 分为上组煤，因仅在原石盘上井田内</w:t>
      </w:r>
      <w:r>
        <w:rPr>
          <w:rFonts w:ascii="Times New Roman" w:eastAsia="Times New Roman" w:hAnsi="Times New Roman" w:cs="Times New Roman"/>
          <w:spacing w:val="0"/>
          <w:w w:val="100"/>
          <w:position w:val="0"/>
        </w:rPr>
        <w:t>3</w:t>
      </w:r>
      <w:r>
        <w:rPr>
          <w:spacing w:val="0"/>
          <w:w w:val="100"/>
          <w:position w:val="0"/>
        </w:rPr>
        <w:t>、</w:t>
      </w:r>
      <w:r>
        <w:rPr>
          <w:rFonts w:ascii="Times New Roman" w:eastAsia="Times New Roman" w:hAnsi="Times New Roman" w:cs="Times New Roman"/>
          <w:spacing w:val="0"/>
          <w:w w:val="100"/>
          <w:position w:val="0"/>
        </w:rPr>
        <w:t>4</w:t>
      </w:r>
      <w:r>
        <w:rPr>
          <w:spacing w:val="0"/>
          <w:w w:val="100"/>
          <w:position w:val="0"/>
        </w:rPr>
        <w:t>号煤层局部经济可采，设计将上组煤划分为一个盘区，即</w:t>
      </w:r>
      <w:r>
        <w:rPr>
          <w:rFonts w:ascii="Times New Roman" w:eastAsia="Times New Roman" w:hAnsi="Times New Roman" w:cs="Times New Roman"/>
          <w:spacing w:val="0"/>
          <w:w w:val="100"/>
          <w:position w:val="0"/>
        </w:rPr>
        <w:t>11</w:t>
      </w:r>
      <w:r>
        <w:rPr>
          <w:spacing w:val="0"/>
          <w:w w:val="100"/>
          <w:position w:val="0"/>
        </w:rPr>
        <w:t>盘区；下部</w:t>
      </w:r>
      <w:r>
        <w:rPr>
          <w:rFonts w:ascii="Times New Roman" w:eastAsia="Times New Roman" w:hAnsi="Times New Roman" w:cs="Times New Roman"/>
          <w:spacing w:val="0"/>
          <w:w w:val="100"/>
          <w:position w:val="0"/>
        </w:rPr>
        <w:t>8</w:t>
      </w:r>
      <w:r>
        <w:rPr>
          <w:rFonts w:ascii="Times New Roman" w:eastAsia="Times New Roman" w:hAnsi="Times New Roman" w:cs="Times New Roman"/>
          <w:spacing w:val="0"/>
          <w:w w:val="100"/>
          <w:position w:val="0"/>
          <w:sz w:val="17"/>
          <w:szCs w:val="17"/>
        </w:rPr>
        <w:t>-1</w:t>
      </w:r>
      <w:r>
        <w:rPr>
          <w:spacing w:val="0"/>
          <w:w w:val="100"/>
          <w:position w:val="0"/>
        </w:rPr>
        <w:t>、</w:t>
      </w:r>
      <w:r>
        <w:rPr>
          <w:rFonts w:ascii="Times New Roman" w:eastAsia="Times New Roman" w:hAnsi="Times New Roman" w:cs="Times New Roman"/>
          <w:spacing w:val="0"/>
          <w:w w:val="100"/>
          <w:position w:val="0"/>
        </w:rPr>
        <w:t>8</w:t>
      </w:r>
      <w:r>
        <w:rPr>
          <w:rFonts w:ascii="Times New Roman" w:eastAsia="Times New Roman" w:hAnsi="Times New Roman" w:cs="Times New Roman"/>
          <w:spacing w:val="0"/>
          <w:w w:val="100"/>
          <w:position w:val="0"/>
          <w:sz w:val="17"/>
          <w:szCs w:val="17"/>
        </w:rPr>
        <w:t>-2</w:t>
      </w:r>
      <w:r>
        <w:rPr>
          <w:spacing w:val="0"/>
          <w:w w:val="100"/>
          <w:position w:val="0"/>
        </w:rPr>
        <w:t>、</w:t>
      </w:r>
      <w:r>
        <w:rPr>
          <w:rFonts w:ascii="Times New Roman" w:eastAsia="Times New Roman" w:hAnsi="Times New Roman" w:cs="Times New Roman"/>
          <w:spacing w:val="0"/>
          <w:w w:val="100"/>
          <w:position w:val="0"/>
        </w:rPr>
        <w:t>9</w:t>
      </w:r>
      <w:r>
        <w:rPr>
          <w:spacing w:val="0"/>
          <w:w w:val="100"/>
          <w:position w:val="0"/>
        </w:rPr>
        <w:t>号 煤划分为下组煤，根据煤层赋存情况，下组煤层共划分为</w:t>
      </w:r>
      <w:r>
        <w:rPr>
          <w:rFonts w:ascii="Times New Roman" w:eastAsia="Times New Roman" w:hAnsi="Times New Roman" w:cs="Times New Roman"/>
          <w:spacing w:val="0"/>
          <w:w w:val="100"/>
          <w:position w:val="0"/>
        </w:rPr>
        <w:t>4</w:t>
      </w:r>
      <w:r>
        <w:rPr>
          <w:spacing w:val="0"/>
          <w:w w:val="100"/>
          <w:position w:val="0"/>
        </w:rPr>
        <w:t>个盘区，分别为</w:t>
      </w:r>
      <w:r>
        <w:rPr>
          <w:rFonts w:ascii="Times New Roman" w:eastAsia="Times New Roman" w:hAnsi="Times New Roman" w:cs="Times New Roman"/>
          <w:spacing w:val="0"/>
          <w:w w:val="100"/>
          <w:position w:val="0"/>
        </w:rPr>
        <w:t>21</w:t>
      </w:r>
      <w:r>
        <w:rPr>
          <w:spacing w:val="0"/>
          <w:w w:val="100"/>
          <w:position w:val="0"/>
        </w:rPr>
        <w:t>、</w:t>
      </w:r>
      <w:r>
        <w:rPr>
          <w:rFonts w:ascii="Times New Roman" w:eastAsia="Times New Roman" w:hAnsi="Times New Roman" w:cs="Times New Roman"/>
          <w:spacing w:val="0"/>
          <w:w w:val="100"/>
          <w:position w:val="0"/>
        </w:rPr>
        <w:t>22</w:t>
      </w:r>
      <w:r>
        <w:rPr>
          <w:spacing w:val="0"/>
          <w:w w:val="100"/>
          <w:position w:val="0"/>
        </w:rPr>
        <w:t>、</w:t>
      </w:r>
      <w:r>
        <w:rPr>
          <w:rFonts w:ascii="Times New Roman" w:eastAsia="Times New Roman" w:hAnsi="Times New Roman" w:cs="Times New Roman"/>
          <w:spacing w:val="0"/>
          <w:w w:val="100"/>
          <w:position w:val="0"/>
        </w:rPr>
        <w:t>23</w:t>
      </w:r>
      <w:r>
        <w:rPr>
          <w:spacing w:val="0"/>
          <w:w w:val="100"/>
          <w:position w:val="0"/>
        </w:rPr>
        <w:t>和</w:t>
      </w:r>
      <w:r>
        <w:rPr>
          <w:rFonts w:ascii="Times New Roman" w:eastAsia="Times New Roman" w:hAnsi="Times New Roman" w:cs="Times New Roman"/>
          <w:spacing w:val="0"/>
          <w:w w:val="100"/>
          <w:position w:val="0"/>
        </w:rPr>
        <w:t>24</w:t>
      </w:r>
      <w:r>
        <w:rPr>
          <w:spacing w:val="0"/>
          <w:w w:val="100"/>
          <w:position w:val="0"/>
        </w:rPr>
        <w:t>盘区。</w:t>
      </w:r>
    </w:p>
    <w:p>
      <w:pPr>
        <w:pStyle w:val="a2"/>
        <w:keepNext w:val="0"/>
        <w:keepLines w:val="0"/>
        <w:widowControl w:val="0"/>
        <w:shd w:val="clear" w:color="auto" w:fill="auto"/>
        <w:bidi w:val="0"/>
        <w:spacing w:before="0" w:after="0" w:line="467" w:lineRule="exact"/>
        <w:ind w:left="0" w:right="0" w:firstLine="740"/>
        <w:jc w:val="both"/>
      </w:pPr>
      <w:r>
        <w:rPr>
          <w:spacing w:val="0"/>
          <w:w w:val="100"/>
          <w:position w:val="0"/>
        </w:rPr>
        <w:t>该方案主运输利用原寨崖底煤业有限公司工业场地的主斜井，考虑到现有辅助运输系统繁琐，占用人员多，及为了改善工 人劳动条件，新增二号副斜井一条，该斜井位于寨崖底浴室灯房附近，坡度为</w:t>
      </w:r>
      <w:r>
        <w:rPr>
          <w:rFonts w:ascii="Times New Roman" w:eastAsia="Times New Roman" w:hAnsi="Times New Roman" w:cs="Times New Roman"/>
          <w:spacing w:val="0"/>
          <w:w w:val="100"/>
          <w:position w:val="0"/>
        </w:rPr>
        <w:t>6</w:t>
      </w:r>
      <w:r>
        <w:rPr>
          <w:spacing w:val="0"/>
          <w:w w:val="100"/>
          <w:position w:val="0"/>
        </w:rPr>
        <w:t>°，全长</w:t>
      </w:r>
      <w:r>
        <w:rPr>
          <w:rFonts w:ascii="Times New Roman" w:eastAsia="Times New Roman" w:hAnsi="Times New Roman" w:cs="Times New Roman"/>
          <w:spacing w:val="0"/>
          <w:w w:val="100"/>
          <w:position w:val="0"/>
        </w:rPr>
        <w:t>944m</w:t>
      </w:r>
      <w:r>
        <w:rPr>
          <w:spacing w:val="0"/>
          <w:w w:val="100"/>
          <w:position w:val="0"/>
        </w:rPr>
        <w:t>，使用无轨胶轮车下放人员、材料 和设备，实现辅助运输无轨化，进一步提高矿井的现代化程度，达到“减员提效”的目的。因现有辅助运输巷道断面较小，不能 满足无轨胶轮车运输要求，对巷道断面进行刷大。后期在开拓</w:t>
      </w:r>
      <w:r>
        <w:rPr>
          <w:rFonts w:ascii="Times New Roman" w:eastAsia="Times New Roman" w:hAnsi="Times New Roman" w:cs="Times New Roman"/>
          <w:spacing w:val="0"/>
          <w:w w:val="100"/>
          <w:position w:val="0"/>
        </w:rPr>
        <w:t>23</w:t>
      </w:r>
      <w:r>
        <w:rPr>
          <w:spacing w:val="0"/>
          <w:w w:val="100"/>
          <w:position w:val="0"/>
        </w:rPr>
        <w:t>盘区和</w:t>
      </w:r>
      <w:r>
        <w:rPr>
          <w:rFonts w:ascii="Times New Roman" w:eastAsia="Times New Roman" w:hAnsi="Times New Roman" w:cs="Times New Roman"/>
          <w:spacing w:val="0"/>
          <w:w w:val="100"/>
          <w:position w:val="0"/>
        </w:rPr>
        <w:t>11</w:t>
      </w:r>
      <w:r>
        <w:rPr>
          <w:spacing w:val="0"/>
          <w:w w:val="100"/>
          <w:position w:val="0"/>
        </w:rPr>
        <w:t>盘区时，为充分利用现有井筒，满足</w:t>
      </w:r>
      <w:r>
        <w:rPr>
          <w:rFonts w:ascii="Times New Roman" w:eastAsia="Times New Roman" w:hAnsi="Times New Roman" w:cs="Times New Roman"/>
          <w:spacing w:val="0"/>
          <w:w w:val="100"/>
          <w:position w:val="0"/>
        </w:rPr>
        <w:t>23</w:t>
      </w:r>
      <w:r>
        <w:rPr>
          <w:spacing w:val="0"/>
          <w:w w:val="100"/>
          <w:position w:val="0"/>
        </w:rPr>
        <w:t>盘区和</w:t>
      </w:r>
      <w:r>
        <w:rPr>
          <w:rFonts w:ascii="Times New Roman" w:eastAsia="Times New Roman" w:hAnsi="Times New Roman" w:cs="Times New Roman"/>
          <w:spacing w:val="0"/>
          <w:w w:val="100"/>
          <w:position w:val="0"/>
        </w:rPr>
        <w:t>11</w:t>
      </w:r>
      <w:r>
        <w:rPr>
          <w:spacing w:val="0"/>
          <w:w w:val="100"/>
          <w:position w:val="0"/>
        </w:rPr>
        <w:t>盘 区的巷道掘进、辅助运输及回风及瓦斯抽放需要，分别利用副立井（原石盘上煤矿副立井，用于</w:t>
      </w:r>
      <w:r>
        <w:rPr>
          <w:rFonts w:ascii="Times New Roman" w:eastAsia="Times New Roman" w:hAnsi="Times New Roman" w:cs="Times New Roman"/>
          <w:spacing w:val="0"/>
          <w:w w:val="100"/>
          <w:position w:val="0"/>
        </w:rPr>
        <w:t>11</w:t>
      </w:r>
      <w:r>
        <w:rPr>
          <w:spacing w:val="0"/>
          <w:w w:val="100"/>
          <w:position w:val="0"/>
        </w:rPr>
        <w:t>盘区辅助运输、进风）、进风 斜井（原石盘上煤矿主斜井，用于</w:t>
      </w:r>
      <w:r>
        <w:rPr>
          <w:rFonts w:ascii="Times New Roman" w:eastAsia="Times New Roman" w:hAnsi="Times New Roman" w:cs="Times New Roman"/>
          <w:spacing w:val="0"/>
          <w:w w:val="100"/>
          <w:position w:val="0"/>
        </w:rPr>
        <w:t>11</w:t>
      </w:r>
      <w:r>
        <w:rPr>
          <w:spacing w:val="0"/>
          <w:w w:val="100"/>
          <w:position w:val="0"/>
        </w:rPr>
        <w:t>盘区巷道掘进、进风）、三号回风立井（原石盘上煤矿回风立井，用于</w:t>
      </w:r>
      <w:r>
        <w:rPr>
          <w:rFonts w:ascii="Times New Roman" w:eastAsia="Times New Roman" w:hAnsi="Times New Roman" w:cs="Times New Roman"/>
          <w:spacing w:val="0"/>
          <w:w w:val="100"/>
          <w:position w:val="0"/>
        </w:rPr>
        <w:t>11</w:t>
      </w:r>
      <w:r>
        <w:rPr>
          <w:spacing w:val="0"/>
          <w:w w:val="100"/>
          <w:position w:val="0"/>
        </w:rPr>
        <w:t>盘区回风、瓦斯抽 放）、进风立井（原白草耳煤矿主立井，用于</w:t>
      </w:r>
      <w:r>
        <w:rPr>
          <w:rFonts w:ascii="Times New Roman" w:eastAsia="Times New Roman" w:hAnsi="Times New Roman" w:cs="Times New Roman"/>
          <w:spacing w:val="0"/>
          <w:w w:val="100"/>
          <w:position w:val="0"/>
        </w:rPr>
        <w:t>23</w:t>
      </w:r>
      <w:r>
        <w:rPr>
          <w:spacing w:val="0"/>
          <w:w w:val="100"/>
          <w:position w:val="0"/>
        </w:rPr>
        <w:t>盘区巷道掘进）、二号回风立井（原白草耳煤矿副立井，用于</w:t>
      </w:r>
      <w:r>
        <w:rPr>
          <w:rFonts w:ascii="Times New Roman" w:eastAsia="Times New Roman" w:hAnsi="Times New Roman" w:cs="Times New Roman"/>
          <w:spacing w:val="0"/>
          <w:w w:val="100"/>
          <w:position w:val="0"/>
        </w:rPr>
        <w:t>23</w:t>
      </w:r>
      <w:r>
        <w:rPr>
          <w:spacing w:val="0"/>
          <w:w w:val="100"/>
          <w:position w:val="0"/>
        </w:rPr>
        <w:t>盘区巷道掘进）。</w:t>
      </w:r>
    </w:p>
    <w:p>
      <w:pPr>
        <w:pStyle w:val="a2"/>
        <w:keepNext w:val="0"/>
        <w:keepLines w:val="0"/>
        <w:widowControl w:val="0"/>
        <w:shd w:val="clear" w:color="auto" w:fill="auto"/>
        <w:bidi w:val="0"/>
        <w:spacing w:before="0" w:after="160" w:line="467" w:lineRule="exact"/>
        <w:ind w:left="0" w:right="0" w:firstLine="740"/>
        <w:jc w:val="both"/>
      </w:pPr>
      <w:r>
        <w:rPr>
          <w:spacing w:val="0"/>
          <w:w w:val="100"/>
          <w:position w:val="0"/>
        </w:rPr>
        <w:t>该方案开拓巷道利用原寨崖底煤矿已有巷道开采，在</w:t>
      </w:r>
      <w:r>
        <w:rPr>
          <w:rFonts w:ascii="Times New Roman" w:eastAsia="Times New Roman" w:hAnsi="Times New Roman" w:cs="Times New Roman"/>
          <w:spacing w:val="0"/>
          <w:w w:val="100"/>
          <w:position w:val="0"/>
        </w:rPr>
        <w:t>ZK1</w:t>
      </w:r>
      <w:r>
        <w:rPr>
          <w:spacing w:val="0"/>
          <w:w w:val="100"/>
          <w:position w:val="0"/>
        </w:rPr>
        <w:t>钻孔附近以与原寨崖底煤矿</w:t>
      </w:r>
      <w:r>
        <w:rPr>
          <w:rFonts w:ascii="Times New Roman" w:eastAsia="Times New Roman" w:hAnsi="Times New Roman" w:cs="Times New Roman"/>
          <w:spacing w:val="0"/>
          <w:w w:val="100"/>
          <w:position w:val="0"/>
        </w:rPr>
        <w:t>22</w:t>
      </w:r>
      <w:r>
        <w:rPr>
          <w:spacing w:val="0"/>
          <w:w w:val="100"/>
          <w:position w:val="0"/>
        </w:rPr>
        <w:t>盘区下山</w:t>
      </w:r>
      <w:r>
        <w:rPr>
          <w:rFonts w:ascii="Times New Roman" w:eastAsia="Times New Roman" w:hAnsi="Times New Roman" w:cs="Times New Roman"/>
          <w:spacing w:val="0"/>
          <w:w w:val="100"/>
          <w:position w:val="0"/>
        </w:rPr>
        <w:t>112</w:t>
      </w:r>
      <w:r>
        <w:rPr>
          <w:spacing w:val="0"/>
          <w:w w:val="100"/>
          <w:position w:val="0"/>
        </w:rPr>
        <w:t>°的夹角向西南方向 布置一组盘区巷开采</w:t>
      </w:r>
      <w:r>
        <w:rPr>
          <w:rFonts w:ascii="Times New Roman" w:eastAsia="Times New Roman" w:hAnsi="Times New Roman" w:cs="Times New Roman"/>
          <w:spacing w:val="0"/>
          <w:w w:val="100"/>
          <w:position w:val="0"/>
        </w:rPr>
        <w:t>ZK1</w:t>
      </w:r>
      <w:r>
        <w:rPr>
          <w:spacing w:val="0"/>
          <w:w w:val="100"/>
          <w:position w:val="0"/>
        </w:rPr>
        <w:t>钻孔以南的资源。在</w:t>
      </w:r>
      <w:r>
        <w:rPr>
          <w:rFonts w:ascii="Times New Roman" w:eastAsia="Times New Roman" w:hAnsi="Times New Roman" w:cs="Times New Roman"/>
          <w:spacing w:val="0"/>
          <w:w w:val="100"/>
          <w:position w:val="0"/>
        </w:rPr>
        <w:t>11</w:t>
      </w:r>
      <w:r>
        <w:rPr>
          <w:spacing w:val="0"/>
          <w:w w:val="100"/>
          <w:position w:val="0"/>
        </w:rPr>
        <w:t>盘区</w:t>
      </w:r>
      <w:r>
        <w:rPr>
          <w:rFonts w:ascii="Times New Roman" w:eastAsia="Times New Roman" w:hAnsi="Times New Roman" w:cs="Times New Roman"/>
          <w:spacing w:val="0"/>
          <w:w w:val="100"/>
          <w:position w:val="0"/>
        </w:rPr>
        <w:t>4</w:t>
      </w:r>
      <w:r>
        <w:rPr>
          <w:spacing w:val="0"/>
          <w:w w:val="100"/>
          <w:position w:val="0"/>
        </w:rPr>
        <w:t>号煤中沿煤层走向布置一组盘区巷道，该盘区巷道通过带式输送机斜巷、 辅助运输斜巷及回风斜巷与</w:t>
      </w:r>
      <w:r>
        <w:rPr>
          <w:rFonts w:ascii="Times New Roman" w:eastAsia="Times New Roman" w:hAnsi="Times New Roman" w:cs="Times New Roman"/>
          <w:spacing w:val="0"/>
          <w:w w:val="100"/>
          <w:position w:val="0"/>
        </w:rPr>
        <w:t>23</w:t>
      </w:r>
      <w:r>
        <w:rPr>
          <w:spacing w:val="0"/>
          <w:w w:val="100"/>
          <w:position w:val="0"/>
        </w:rPr>
        <w:t>盘区巷道相连。其中带式输送机斜巷倾角</w:t>
      </w:r>
      <w:r>
        <w:rPr>
          <w:rFonts w:ascii="Times New Roman" w:eastAsia="Times New Roman" w:hAnsi="Times New Roman" w:cs="Times New Roman"/>
          <w:spacing w:val="0"/>
          <w:w w:val="100"/>
          <w:position w:val="0"/>
        </w:rPr>
        <w:t>16</w:t>
      </w:r>
      <w:r>
        <w:rPr>
          <w:spacing w:val="0"/>
          <w:w w:val="100"/>
          <w:position w:val="0"/>
        </w:rPr>
        <w:t>°，辅助运输斜巷倾角</w:t>
      </w:r>
      <w:r>
        <w:rPr>
          <w:rFonts w:ascii="Times New Roman" w:eastAsia="Times New Roman" w:hAnsi="Times New Roman" w:cs="Times New Roman"/>
          <w:spacing w:val="0"/>
          <w:w w:val="100"/>
          <w:position w:val="0"/>
        </w:rPr>
        <w:t>6</w:t>
      </w:r>
      <w:r>
        <w:rPr>
          <w:spacing w:val="0"/>
          <w:w w:val="100"/>
          <w:position w:val="0"/>
        </w:rPr>
        <w:t>°，回风斜巷倾角</w:t>
      </w:r>
      <w:r>
        <w:rPr>
          <w:rFonts w:ascii="Times New Roman" w:eastAsia="Times New Roman" w:hAnsi="Times New Roman" w:cs="Times New Roman"/>
          <w:spacing w:val="0"/>
          <w:w w:val="100"/>
          <w:position w:val="0"/>
        </w:rPr>
        <w:t>25</w:t>
      </w:r>
      <w:r>
        <w:rPr>
          <w:spacing w:val="0"/>
          <w:w w:val="100"/>
          <w:position w:val="0"/>
        </w:rPr>
        <w:t>°。根 据确定的开发方式。</w:t>
      </w:r>
    </w:p>
    <w:p>
      <w:pPr>
        <w:pStyle w:val="a2"/>
        <w:keepNext w:val="0"/>
        <w:keepLines w:val="0"/>
        <w:widowControl w:val="0"/>
        <w:numPr>
          <w:ilvl w:val="0"/>
          <w:numId w:val="11"/>
        </w:numPr>
        <w:shd w:val="clear" w:color="auto" w:fill="auto"/>
        <w:tabs>
          <w:tab w:val="left" w:pos="1110"/>
        </w:tabs>
        <w:bidi w:val="0"/>
        <w:spacing w:before="0" w:after="0" w:line="374" w:lineRule="auto"/>
        <w:ind w:left="0" w:right="0" w:firstLine="740"/>
        <w:jc w:val="both"/>
      </w:pPr>
      <w:bookmarkStart w:id="30" w:name="bookmark30"/>
      <w:bookmarkEnd w:id="30"/>
      <w:r>
        <w:rPr>
          <w:spacing w:val="0"/>
          <w:w w:val="100"/>
          <w:position w:val="0"/>
        </w:rPr>
        <w:t>方案二</w:t>
      </w:r>
    </w:p>
    <w:p>
      <w:pPr>
        <w:pStyle w:val="a2"/>
        <w:keepNext w:val="0"/>
        <w:keepLines w:val="0"/>
        <w:widowControl w:val="0"/>
        <w:shd w:val="clear" w:color="auto" w:fill="auto"/>
        <w:bidi w:val="0"/>
        <w:spacing w:before="0" w:after="160" w:line="467" w:lineRule="exact"/>
        <w:ind w:left="0" w:right="0" w:firstLine="740"/>
        <w:jc w:val="both"/>
      </w:pPr>
      <w:r>
        <w:rPr>
          <w:spacing w:val="0"/>
          <w:w w:val="100"/>
          <w:position w:val="0"/>
        </w:rPr>
        <w:t>整合方案、煤层分组同方案一。不同为利用井筒中，将原石盘上主斜井封闭；该方案利用的</w:t>
      </w:r>
      <w:r>
        <w:rPr>
          <w:rFonts w:ascii="Times New Roman" w:eastAsia="Times New Roman" w:hAnsi="Times New Roman" w:cs="Times New Roman"/>
          <w:spacing w:val="0"/>
          <w:w w:val="100"/>
          <w:position w:val="0"/>
        </w:rPr>
        <w:t>22</w:t>
      </w:r>
      <w:r>
        <w:rPr>
          <w:spacing w:val="0"/>
          <w:w w:val="100"/>
          <w:position w:val="0"/>
        </w:rPr>
        <w:t xml:space="preserve">盘区下山巷道较方案一回退 </w:t>
      </w:r>
      <w:r>
        <w:rPr>
          <w:rFonts w:ascii="Times New Roman" w:eastAsia="Times New Roman" w:hAnsi="Times New Roman" w:cs="Times New Roman"/>
          <w:spacing w:val="0"/>
          <w:w w:val="100"/>
          <w:position w:val="0"/>
        </w:rPr>
        <w:t>200m</w:t>
      </w:r>
      <w:r>
        <w:rPr>
          <w:spacing w:val="0"/>
          <w:w w:val="100"/>
          <w:position w:val="0"/>
        </w:rPr>
        <w:t>左右，与</w:t>
      </w:r>
      <w:r>
        <w:rPr>
          <w:rFonts w:ascii="Times New Roman" w:eastAsia="Times New Roman" w:hAnsi="Times New Roman" w:cs="Times New Roman"/>
          <w:spacing w:val="0"/>
          <w:w w:val="100"/>
          <w:position w:val="0"/>
        </w:rPr>
        <w:t>22</w:t>
      </w:r>
      <w:r>
        <w:rPr>
          <w:spacing w:val="0"/>
          <w:w w:val="100"/>
          <w:position w:val="0"/>
        </w:rPr>
        <w:t>盘区下山以</w:t>
      </w:r>
      <w:r>
        <w:rPr>
          <w:rFonts w:ascii="Times New Roman" w:eastAsia="Times New Roman" w:hAnsi="Times New Roman" w:cs="Times New Roman"/>
          <w:spacing w:val="0"/>
          <w:w w:val="100"/>
          <w:position w:val="0"/>
        </w:rPr>
        <w:t>95</w:t>
      </w:r>
      <w:r>
        <w:rPr>
          <w:spacing w:val="0"/>
          <w:w w:val="100"/>
          <w:position w:val="0"/>
        </w:rPr>
        <w:t>°的夹角向西南方向布置一组盘区巷。</w:t>
      </w:r>
      <w:r>
        <w:rPr>
          <w:rFonts w:ascii="Times New Roman" w:eastAsia="Times New Roman" w:hAnsi="Times New Roman" w:cs="Times New Roman"/>
          <w:spacing w:val="0"/>
          <w:w w:val="100"/>
          <w:position w:val="0"/>
        </w:rPr>
        <w:t>11</w:t>
      </w:r>
      <w:r>
        <w:rPr>
          <w:spacing w:val="0"/>
          <w:w w:val="100"/>
          <w:position w:val="0"/>
        </w:rPr>
        <w:t>盘区巷道与</w:t>
      </w:r>
      <w:r>
        <w:rPr>
          <w:rFonts w:ascii="Times New Roman" w:eastAsia="Times New Roman" w:hAnsi="Times New Roman" w:cs="Times New Roman"/>
          <w:spacing w:val="0"/>
          <w:w w:val="100"/>
          <w:position w:val="0"/>
        </w:rPr>
        <w:t>23</w:t>
      </w:r>
      <w:r>
        <w:rPr>
          <w:spacing w:val="0"/>
          <w:w w:val="100"/>
          <w:position w:val="0"/>
        </w:rPr>
        <w:t>盘区巷道垂直方向重叠布置，该盘区巷 道通过带式输送机斜巷、辅助运输斜巷及回风斜巷与</w:t>
      </w:r>
      <w:r>
        <w:rPr>
          <w:rFonts w:ascii="Times New Roman" w:eastAsia="Times New Roman" w:hAnsi="Times New Roman" w:cs="Times New Roman"/>
          <w:spacing w:val="0"/>
          <w:w w:val="100"/>
          <w:position w:val="0"/>
        </w:rPr>
        <w:t>23</w:t>
      </w:r>
      <w:r>
        <w:rPr>
          <w:spacing w:val="0"/>
          <w:w w:val="100"/>
          <w:position w:val="0"/>
        </w:rPr>
        <w:t>盘区巷道相连。其中带式输送机斜巷倾角</w:t>
      </w:r>
      <w:r>
        <w:rPr>
          <w:rFonts w:ascii="Times New Roman" w:eastAsia="Times New Roman" w:hAnsi="Times New Roman" w:cs="Times New Roman"/>
          <w:spacing w:val="0"/>
          <w:w w:val="100"/>
          <w:position w:val="0"/>
        </w:rPr>
        <w:t>10</w:t>
      </w:r>
      <w:r>
        <w:rPr>
          <w:spacing w:val="0"/>
          <w:w w:val="100"/>
          <w:position w:val="0"/>
        </w:rPr>
        <w:t>°，辅助运输斜巷倾角</w:t>
      </w:r>
      <w:r>
        <w:rPr>
          <w:rFonts w:ascii="Times New Roman" w:eastAsia="Times New Roman" w:hAnsi="Times New Roman" w:cs="Times New Roman"/>
          <w:spacing w:val="0"/>
          <w:w w:val="100"/>
          <w:position w:val="0"/>
        </w:rPr>
        <w:t>6</w:t>
      </w:r>
      <w:r>
        <w:rPr>
          <w:spacing w:val="0"/>
          <w:w w:val="100"/>
          <w:position w:val="0"/>
        </w:rPr>
        <w:t>°， 回风斜巷倾角</w:t>
      </w:r>
      <w:r>
        <w:rPr>
          <w:rFonts w:ascii="Times New Roman" w:eastAsia="Times New Roman" w:hAnsi="Times New Roman" w:cs="Times New Roman"/>
          <w:spacing w:val="0"/>
          <w:w w:val="100"/>
          <w:position w:val="0"/>
        </w:rPr>
        <w:t xml:space="preserve">25 </w:t>
      </w:r>
      <w:r>
        <w:rPr>
          <w:spacing w:val="0"/>
          <w:w w:val="100"/>
          <w:position w:val="0"/>
        </w:rPr>
        <w:t>°。</w:t>
      </w:r>
    </w:p>
    <w:p>
      <w:pPr>
        <w:pStyle w:val="a4"/>
        <w:keepNext w:val="0"/>
        <w:keepLines w:val="0"/>
        <w:widowControl w:val="0"/>
        <w:shd w:val="clear" w:color="auto" w:fill="auto"/>
        <w:bidi w:val="0"/>
        <w:spacing w:before="0" w:after="0" w:line="467" w:lineRule="exact"/>
        <w:ind w:left="0" w:right="0" w:firstLine="0"/>
        <w:jc w:val="left"/>
      </w:pPr>
      <w:r>
        <w:rPr>
          <w:spacing w:val="0"/>
          <w:w w:val="100"/>
          <w:position w:val="0"/>
        </w:rPr>
        <w:t>两方案优缺点比较见下表</w:t>
      </w:r>
    </w:p>
    <w:p>
      <w:pPr>
        <w:pStyle w:val="a4"/>
        <w:keepNext w:val="0"/>
        <w:keepLines w:val="0"/>
        <w:widowControl w:val="0"/>
        <w:shd w:val="clear" w:color="auto" w:fill="auto"/>
        <w:tabs>
          <w:tab w:val="left" w:pos="2791"/>
        </w:tabs>
        <w:bidi w:val="0"/>
        <w:spacing w:before="0" w:after="0" w:line="467" w:lineRule="exact"/>
        <w:ind w:left="0" w:right="0" w:firstLine="0"/>
        <w:jc w:val="left"/>
      </w:pPr>
      <w:r>
        <w:rPr>
          <w:spacing w:val="0"/>
          <w:w w:val="100"/>
          <w:position w:val="0"/>
        </w:rPr>
        <w:t>表</w:t>
      </w:r>
      <w:r>
        <w:rPr>
          <w:spacing w:val="0"/>
          <w:w w:val="100"/>
          <w:position w:val="0"/>
        </w:rPr>
        <w:t>2.3-1</w:t>
        <w:tab/>
      </w:r>
      <w:r>
        <w:rPr>
          <w:spacing w:val="0"/>
          <w:w w:val="100"/>
          <w:position w:val="0"/>
        </w:rPr>
        <w:t>开拓方式方案优缺点比较表</w:t>
      </w:r>
    </w:p>
    <w:tbl>
      <w:tblPr>
        <w:tblStyle w:val="TableNormal"/>
        <w:tblOverlap w:val="never"/>
        <w:jc w:val="center"/>
        <w:tblLayout w:type="fixed"/>
        <w:tblCellMar>
          <w:left w:w="10" w:type="dxa"/>
          <w:right w:w="10" w:type="dxa"/>
        </w:tblCellMar>
      </w:tblPr>
      <w:tblGrid>
        <w:gridCol w:w="1848"/>
        <w:gridCol w:w="5837"/>
        <w:gridCol w:w="5510"/>
      </w:tblGrid>
      <w:tr>
        <w:tblPrEx>
          <w:jc w:val="center"/>
          <w:tblLayout w:type="fixed"/>
          <w:tblCellMar>
            <w:left w:w="10" w:type="dxa"/>
            <w:right w:w="10" w:type="dxa"/>
          </w:tblCellMar>
        </w:tblPrEx>
        <w:trPr>
          <w:trHeight w:hRule="exact" w:val="566"/>
          <w:jc w:val="center"/>
        </w:trPr>
        <w:tc>
          <w:tcPr>
            <w:tcW w:w="1848" w:type="dxa"/>
            <w:tcBorders>
              <w:top w:val="single" w:sz="4" w:space="0" w:color="auto"/>
              <w:left w:val="single" w:sz="4" w:space="0" w:color="auto"/>
            </w:tcBorders>
            <w:shd w:val="clear" w:color="auto" w:fill="FFFFFF"/>
            <w:vAlign w:val="top"/>
          </w:tcPr>
          <w:p>
            <w:pPr>
              <w:widowControl w:val="0"/>
              <w:rPr>
                <w:sz w:val="10"/>
                <w:szCs w:val="10"/>
              </w:rPr>
            </w:pPr>
          </w:p>
        </w:tc>
        <w:tc>
          <w:tcPr>
            <w:tcW w:w="583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优点</w:t>
            </w:r>
          </w:p>
        </w:tc>
        <w:tc>
          <w:tcPr>
            <w:tcW w:w="5510" w:type="dxa"/>
            <w:tcBorders>
              <w:top w:val="single" w:sz="4" w:space="0" w:color="auto"/>
              <w:left w:val="single" w:sz="4" w:space="0" w:color="auto"/>
              <w:right w:val="single" w:sz="4" w:space="0" w:color="auto"/>
            </w:tcBorders>
            <w:shd w:val="clear" w:color="auto" w:fill="FFFFFF"/>
            <w:vAlign w:val="bottom"/>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缺点</w:t>
            </w:r>
          </w:p>
        </w:tc>
      </w:tr>
      <w:tr>
        <w:tblPrEx>
          <w:jc w:val="center"/>
          <w:tblLayout w:type="fixed"/>
          <w:tblCellMar>
            <w:left w:w="10" w:type="dxa"/>
            <w:right w:w="10" w:type="dxa"/>
          </w:tblCellMar>
        </w:tblPrEx>
        <w:trPr>
          <w:trHeight w:hRule="exact" w:val="1421"/>
          <w:jc w:val="center"/>
        </w:trPr>
        <w:tc>
          <w:tcPr>
            <w:tcW w:w="1848" w:type="dxa"/>
            <w:tcBorders>
              <w:top w:val="single" w:sz="4" w:space="0" w:color="auto"/>
              <w:left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方案一</w:t>
            </w:r>
          </w:p>
        </w:tc>
        <w:tc>
          <w:tcPr>
            <w:tcW w:w="5837" w:type="dxa"/>
            <w:tcBorders>
              <w:top w:val="single" w:sz="4" w:space="0" w:color="auto"/>
              <w:left w:val="single" w:sz="4" w:space="0" w:color="auto"/>
            </w:tcBorders>
            <w:shd w:val="clear" w:color="auto" w:fill="FFFFFF"/>
            <w:vAlign w:val="bottom"/>
          </w:tcPr>
          <w:p>
            <w:pPr>
              <w:pStyle w:val="a3"/>
              <w:keepNext w:val="0"/>
              <w:keepLines w:val="0"/>
              <w:widowControl w:val="0"/>
              <w:shd w:val="clear" w:color="auto" w:fill="auto"/>
              <w:tabs>
                <w:tab w:val="left" w:pos="553"/>
              </w:tabs>
              <w:bidi w:val="0"/>
              <w:spacing w:before="0" w:after="0" w:line="470" w:lineRule="exact"/>
              <w:ind w:left="140" w:right="0" w:firstLine="0"/>
              <w:jc w:val="left"/>
            </w:pPr>
            <w:r>
              <w:rPr>
                <w:spacing w:val="0"/>
                <w:w w:val="100"/>
                <w:position w:val="0"/>
              </w:rPr>
              <w:t>1、</w:t>
              <w:tab/>
              <w:t>井田两翼划分比较均衡，下组煤工作面走向 长度大，可减少工作面搬家次数；</w:t>
            </w:r>
          </w:p>
          <w:p>
            <w:pPr>
              <w:pStyle w:val="a3"/>
              <w:keepNext w:val="0"/>
              <w:keepLines w:val="0"/>
              <w:widowControl w:val="0"/>
              <w:shd w:val="clear" w:color="auto" w:fill="auto"/>
              <w:tabs>
                <w:tab w:val="left" w:pos="548"/>
              </w:tabs>
              <w:bidi w:val="0"/>
              <w:spacing w:before="0" w:after="0" w:line="470" w:lineRule="exact"/>
              <w:ind w:left="140" w:right="0" w:firstLine="0"/>
              <w:jc w:val="left"/>
            </w:pPr>
            <w:r>
              <w:rPr>
                <w:spacing w:val="0"/>
                <w:w w:val="100"/>
                <w:position w:val="0"/>
              </w:rPr>
              <w:t>2、</w:t>
              <w:tab/>
              <w:t>三角煤少，有利于综采工作面布置。</w:t>
            </w:r>
          </w:p>
        </w:tc>
        <w:tc>
          <w:tcPr>
            <w:tcW w:w="5510" w:type="dxa"/>
            <w:tcBorders>
              <w:top w:val="single" w:sz="4" w:space="0" w:color="auto"/>
              <w:left w:val="single" w:sz="4" w:space="0" w:color="auto"/>
              <w:right w:val="single" w:sz="4" w:space="0" w:color="auto"/>
            </w:tcBorders>
            <w:shd w:val="clear" w:color="auto" w:fill="FFFFFF"/>
            <w:vAlign w:val="center"/>
          </w:tcPr>
          <w:p>
            <w:pPr>
              <w:pStyle w:val="a3"/>
              <w:keepNext w:val="0"/>
              <w:keepLines w:val="0"/>
              <w:widowControl w:val="0"/>
              <w:shd w:val="clear" w:color="auto" w:fill="auto"/>
              <w:tabs>
                <w:tab w:val="left" w:pos="558"/>
              </w:tabs>
              <w:bidi w:val="0"/>
              <w:spacing w:before="0" w:after="140" w:line="240" w:lineRule="auto"/>
              <w:ind w:left="0" w:right="0" w:firstLine="160"/>
              <w:jc w:val="left"/>
            </w:pPr>
            <w:r>
              <w:rPr>
                <w:spacing w:val="0"/>
                <w:w w:val="100"/>
                <w:position w:val="0"/>
              </w:rPr>
              <w:t>1、</w:t>
              <w:tab/>
              <w:t>11盘区工作面推进长度短，搬家次数多；</w:t>
            </w:r>
          </w:p>
          <w:p>
            <w:pPr>
              <w:pStyle w:val="a3"/>
              <w:keepNext w:val="0"/>
              <w:keepLines w:val="0"/>
              <w:widowControl w:val="0"/>
              <w:shd w:val="clear" w:color="auto" w:fill="auto"/>
              <w:tabs>
                <w:tab w:val="left" w:pos="582"/>
              </w:tabs>
              <w:bidi w:val="0"/>
              <w:spacing w:before="0" w:after="0" w:line="240" w:lineRule="auto"/>
              <w:ind w:left="0" w:right="0" w:firstLine="160"/>
              <w:jc w:val="left"/>
            </w:pPr>
            <w:r>
              <w:rPr>
                <w:spacing w:val="0"/>
                <w:w w:val="100"/>
                <w:position w:val="0"/>
              </w:rPr>
              <w:t>2、</w:t>
              <w:tab/>
              <w:t>回采11盘区开拓工程量大。</w:t>
            </w:r>
          </w:p>
        </w:tc>
      </w:tr>
      <w:tr>
        <w:tblPrEx>
          <w:jc w:val="center"/>
          <w:tblLayout w:type="fixed"/>
          <w:tblCellMar>
            <w:left w:w="10" w:type="dxa"/>
            <w:right w:w="10" w:type="dxa"/>
          </w:tblCellMar>
        </w:tblPrEx>
        <w:trPr>
          <w:trHeight w:hRule="exact" w:val="970"/>
          <w:jc w:val="center"/>
        </w:trPr>
        <w:tc>
          <w:tcPr>
            <w:tcW w:w="1848" w:type="dxa"/>
            <w:tcBorders>
              <w:top w:val="single" w:sz="4" w:space="0" w:color="auto"/>
              <w:left w:val="single" w:sz="4" w:space="0" w:color="auto"/>
              <w:bottom w:val="single" w:sz="4" w:space="0" w:color="auto"/>
            </w:tcBorders>
            <w:shd w:val="clear" w:color="auto" w:fill="FFFFFF"/>
            <w:vAlign w:val="center"/>
          </w:tcPr>
          <w:p>
            <w:pPr>
              <w:pStyle w:val="a3"/>
              <w:keepNext w:val="0"/>
              <w:keepLines w:val="0"/>
              <w:widowControl w:val="0"/>
              <w:shd w:val="clear" w:color="auto" w:fill="auto"/>
              <w:bidi w:val="0"/>
              <w:spacing w:before="0" w:after="0" w:line="240" w:lineRule="auto"/>
              <w:ind w:left="0" w:right="0" w:firstLine="0"/>
              <w:jc w:val="center"/>
            </w:pPr>
            <w:r>
              <w:rPr>
                <w:spacing w:val="0"/>
                <w:w w:val="100"/>
                <w:position w:val="0"/>
              </w:rPr>
              <w:t>方案二</w:t>
            </w:r>
          </w:p>
        </w:tc>
        <w:tc>
          <w:tcPr>
            <w:tcW w:w="5837" w:type="dxa"/>
            <w:tcBorders>
              <w:top w:val="single" w:sz="4" w:space="0" w:color="auto"/>
              <w:left w:val="single" w:sz="4" w:space="0" w:color="auto"/>
              <w:bottom w:val="single" w:sz="4" w:space="0" w:color="auto"/>
            </w:tcBorders>
            <w:shd w:val="clear" w:color="auto" w:fill="FFFFFF"/>
            <w:vAlign w:val="bottom"/>
          </w:tcPr>
          <w:p>
            <w:pPr>
              <w:pStyle w:val="a3"/>
              <w:keepNext w:val="0"/>
              <w:keepLines w:val="0"/>
              <w:widowControl w:val="0"/>
              <w:shd w:val="clear" w:color="auto" w:fill="auto"/>
              <w:tabs>
                <w:tab w:val="left" w:pos="534"/>
              </w:tabs>
              <w:bidi w:val="0"/>
              <w:spacing w:before="0" w:after="140" w:line="240" w:lineRule="auto"/>
              <w:ind w:left="140" w:right="0" w:firstLine="0"/>
              <w:jc w:val="left"/>
            </w:pPr>
            <w:r>
              <w:rPr>
                <w:spacing w:val="0"/>
                <w:w w:val="100"/>
                <w:position w:val="0"/>
              </w:rPr>
              <w:t>1、</w:t>
              <w:tab/>
              <w:t>相对方案一，11盘区工作面推进长度大；</w:t>
            </w:r>
          </w:p>
          <w:p>
            <w:pPr>
              <w:pStyle w:val="a3"/>
              <w:keepNext w:val="0"/>
              <w:keepLines w:val="0"/>
              <w:widowControl w:val="0"/>
              <w:shd w:val="clear" w:color="auto" w:fill="auto"/>
              <w:tabs>
                <w:tab w:val="left" w:pos="572"/>
              </w:tabs>
              <w:bidi w:val="0"/>
              <w:spacing w:before="0" w:after="0" w:line="240" w:lineRule="auto"/>
              <w:ind w:left="140" w:right="0" w:firstLine="0"/>
              <w:jc w:val="left"/>
            </w:pPr>
            <w:r>
              <w:rPr>
                <w:spacing w:val="0"/>
                <w:w w:val="100"/>
                <w:position w:val="0"/>
              </w:rPr>
              <w:t>2、</w:t>
              <w:tab/>
              <w:t>比方案一开拓工程量少</w:t>
            </w:r>
            <w:r>
              <w:rPr>
                <w:spacing w:val="0"/>
                <w:w w:val="100"/>
                <w:position w:val="0"/>
              </w:rPr>
              <w:t>5200m。</w:t>
            </w:r>
          </w:p>
        </w:tc>
        <w:tc>
          <w:tcPr>
            <w:tcW w:w="551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3"/>
              <w:keepNext w:val="0"/>
              <w:keepLines w:val="0"/>
              <w:widowControl w:val="0"/>
              <w:shd w:val="clear" w:color="auto" w:fill="auto"/>
              <w:tabs>
                <w:tab w:val="left" w:pos="558"/>
              </w:tabs>
              <w:bidi w:val="0"/>
              <w:spacing w:before="0" w:after="140" w:line="240" w:lineRule="auto"/>
              <w:ind w:left="0" w:right="0" w:firstLine="160"/>
              <w:jc w:val="left"/>
            </w:pPr>
            <w:r>
              <w:rPr>
                <w:spacing w:val="0"/>
                <w:w w:val="100"/>
                <w:position w:val="0"/>
              </w:rPr>
              <w:t>1、</w:t>
              <w:tab/>
              <w:t>下组煤工作面走向长度小，搬家次数多；</w:t>
            </w:r>
          </w:p>
          <w:p>
            <w:pPr>
              <w:pStyle w:val="a3"/>
              <w:keepNext w:val="0"/>
              <w:keepLines w:val="0"/>
              <w:widowControl w:val="0"/>
              <w:shd w:val="clear" w:color="auto" w:fill="auto"/>
              <w:tabs>
                <w:tab w:val="left" w:pos="568"/>
              </w:tabs>
              <w:bidi w:val="0"/>
              <w:spacing w:before="0" w:after="0" w:line="240" w:lineRule="auto"/>
              <w:ind w:left="0" w:right="0" w:firstLine="160"/>
              <w:jc w:val="left"/>
            </w:pPr>
            <w:r>
              <w:rPr>
                <w:spacing w:val="0"/>
                <w:w w:val="100"/>
                <w:position w:val="0"/>
              </w:rPr>
              <w:t>2、</w:t>
              <w:tab/>
              <w:t>三角煤多，资源回收困难。</w:t>
            </w:r>
          </w:p>
        </w:tc>
      </w:tr>
    </w:tbl>
    <w:p>
      <w:pPr>
        <w:pStyle w:val="a2"/>
        <w:keepNext w:val="0"/>
        <w:keepLines w:val="0"/>
        <w:widowControl w:val="0"/>
        <w:shd w:val="clear" w:color="auto" w:fill="auto"/>
        <w:bidi w:val="0"/>
        <w:spacing w:before="0" w:after="160" w:line="474" w:lineRule="exact"/>
        <w:ind w:left="0" w:right="0" w:firstLine="540"/>
        <w:jc w:val="both"/>
      </w:pPr>
      <w:r>
        <w:rPr>
          <w:spacing w:val="0"/>
          <w:w w:val="100"/>
          <w:position w:val="0"/>
        </w:rPr>
        <w:t>本矿井装备综采工作面，应尽量加大工作面推进长度，减少工作面搬家次数。本井田主要可采煤层为下组煤的</w:t>
      </w:r>
      <w:r>
        <w:rPr>
          <w:rFonts w:ascii="Times New Roman" w:eastAsia="Times New Roman" w:hAnsi="Times New Roman" w:cs="Times New Roman"/>
          <w:spacing w:val="0"/>
          <w:w w:val="100"/>
          <w:position w:val="0"/>
        </w:rPr>
        <w:t>9</w:t>
      </w:r>
      <w:r>
        <w:rPr>
          <w:spacing w:val="0"/>
          <w:w w:val="100"/>
          <w:position w:val="0"/>
        </w:rPr>
        <w:t>号煤层，上 组煤</w:t>
      </w:r>
      <w:r>
        <w:rPr>
          <w:rFonts w:ascii="Times New Roman" w:eastAsia="Times New Roman" w:hAnsi="Times New Roman" w:cs="Times New Roman"/>
          <w:spacing w:val="0"/>
          <w:w w:val="100"/>
          <w:position w:val="0"/>
        </w:rPr>
        <w:t>3</w:t>
      </w:r>
      <w:r>
        <w:rPr>
          <w:spacing w:val="0"/>
          <w:w w:val="100"/>
          <w:position w:val="0"/>
        </w:rPr>
        <w:t>、</w:t>
      </w:r>
      <w:r>
        <w:rPr>
          <w:rFonts w:ascii="Times New Roman" w:eastAsia="Times New Roman" w:hAnsi="Times New Roman" w:cs="Times New Roman"/>
          <w:spacing w:val="0"/>
          <w:w w:val="100"/>
          <w:position w:val="0"/>
        </w:rPr>
        <w:t>4</w:t>
      </w:r>
      <w:r>
        <w:rPr>
          <w:spacing w:val="0"/>
          <w:w w:val="100"/>
          <w:position w:val="0"/>
        </w:rPr>
        <w:t>号煤层仅在原石盘上井田范围内局部可采，因此应在下组煤开发更合理的前题下，合理的布置上组煤开拓巷道。方案一 虽然较方案二井巷开拓工程量大，但考虑到本矿井巷道基本沿煤层布置，为了更好的回收资源，设计推荐方案一为本井田的开拓 方案。</w:t>
      </w:r>
    </w:p>
    <w:p>
      <w:pPr>
        <w:pStyle w:val="32"/>
        <w:keepNext/>
        <w:keepLines/>
        <w:widowControl w:val="0"/>
        <w:shd w:val="clear" w:color="auto" w:fill="auto"/>
        <w:bidi w:val="0"/>
        <w:spacing w:before="0" w:after="160" w:line="240" w:lineRule="auto"/>
        <w:ind w:left="0" w:right="0" w:firstLine="0"/>
        <w:jc w:val="left"/>
      </w:pPr>
      <w:bookmarkStart w:id="31" w:name="bookmark31"/>
      <w:bookmarkStart w:id="32" w:name="bookmark32"/>
      <w:bookmarkStart w:id="33" w:name="bookmark33"/>
      <w:r>
        <w:rPr>
          <w:color w:val="000000"/>
          <w:spacing w:val="0"/>
          <w:w w:val="100"/>
          <w:position w:val="0"/>
        </w:rPr>
        <w:t>三盘区划分及开采顺序</w:t>
      </w:r>
      <w:bookmarkEnd w:id="31"/>
      <w:bookmarkEnd w:id="32"/>
      <w:bookmarkEnd w:id="33"/>
    </w:p>
    <w:p>
      <w:pPr>
        <w:pStyle w:val="a2"/>
        <w:keepNext w:val="0"/>
        <w:keepLines w:val="0"/>
        <w:widowControl w:val="0"/>
        <w:shd w:val="clear" w:color="auto" w:fill="auto"/>
        <w:bidi w:val="0"/>
        <w:spacing w:before="0" w:after="0" w:line="456" w:lineRule="exact"/>
        <w:ind w:left="0" w:right="0" w:firstLine="540"/>
        <w:jc w:val="both"/>
      </w:pPr>
      <w:r>
        <w:rPr>
          <w:spacing w:val="0"/>
          <w:w w:val="100"/>
          <w:position w:val="0"/>
        </w:rPr>
        <w:t>本井田可采煤层赋存总趋势是东北高，西南低，煤层平缓，走向和倾斜方向起伏不大。设计将3、4号划分为上组煤；下部 8</w:t>
      </w:r>
      <w:r>
        <w:rPr>
          <w:spacing w:val="0"/>
          <w:w w:val="100"/>
          <w:position w:val="0"/>
          <w:sz w:val="13"/>
          <w:szCs w:val="13"/>
        </w:rPr>
        <w:t>-1</w:t>
      </w:r>
      <w:r>
        <w:rPr>
          <w:spacing w:val="0"/>
          <w:w w:val="100"/>
          <w:position w:val="0"/>
        </w:rPr>
        <w:t>、8</w:t>
      </w:r>
      <w:r>
        <w:rPr>
          <w:spacing w:val="0"/>
          <w:w w:val="100"/>
          <w:position w:val="0"/>
          <w:sz w:val="13"/>
          <w:szCs w:val="13"/>
        </w:rPr>
        <w:t>-2</w:t>
      </w:r>
      <w:r>
        <w:rPr>
          <w:spacing w:val="0"/>
          <w:w w:val="100"/>
          <w:position w:val="0"/>
        </w:rPr>
        <w:t>、9号煤划分为下组煤，将主开拓水平设在9号煤层中，水平标高</w:t>
      </w:r>
      <w:r>
        <w:rPr>
          <w:spacing w:val="0"/>
          <w:w w:val="100"/>
          <w:position w:val="0"/>
        </w:rPr>
        <w:t>+895m，</w:t>
      </w:r>
      <w:r>
        <w:rPr>
          <w:spacing w:val="0"/>
          <w:w w:val="100"/>
          <w:position w:val="0"/>
        </w:rPr>
        <w:t>在4号煤中设上组煤的辅助水平。</w:t>
      </w:r>
    </w:p>
    <w:p>
      <w:pPr>
        <w:pStyle w:val="a2"/>
        <w:keepNext w:val="0"/>
        <w:keepLines w:val="0"/>
        <w:widowControl w:val="0"/>
        <w:shd w:val="clear" w:color="auto" w:fill="auto"/>
        <w:bidi w:val="0"/>
        <w:spacing w:before="0" w:after="0" w:line="461" w:lineRule="exact"/>
        <w:ind w:left="0" w:right="0" w:firstLine="540"/>
        <w:jc w:val="both"/>
      </w:pPr>
      <w:r>
        <w:rPr>
          <w:spacing w:val="0"/>
          <w:w w:val="100"/>
          <w:position w:val="0"/>
        </w:rPr>
        <w:t>根据大巷位置，煤层赋存条件和开采技术条件、井田面积等因素，全井田共划分五个盘区，其中上煤组沿煤层倾向开采，下 组煤沿煤层走向开采。</w:t>
      </w:r>
    </w:p>
    <w:p>
      <w:pPr>
        <w:pStyle w:val="a2"/>
        <w:keepNext w:val="0"/>
        <w:keepLines w:val="0"/>
        <w:widowControl w:val="0"/>
        <w:shd w:val="clear" w:color="auto" w:fill="auto"/>
        <w:bidi w:val="0"/>
        <w:spacing w:before="0" w:after="100" w:line="461" w:lineRule="exact"/>
        <w:ind w:left="0" w:right="0" w:firstLine="540"/>
        <w:jc w:val="both"/>
      </w:pPr>
      <w:r>
        <w:rPr>
          <w:spacing w:val="0"/>
          <w:w w:val="100"/>
          <w:position w:val="0"/>
        </w:rPr>
        <w:t>盘区内工作面由近至远开采，各煤层之间由上到下开采。工作面采用后退式开采，由井田边界向井田中央大巷推进。资源整 合完成后，矿井投产采区为22盘区和23盘区，接续顺序为22盘区、23盘区、11盘区、24盘区。矿方目前正在开采22盘区内 的9号煤层，由于现有巷道系统、提升及通风、排水等条件均满足</w:t>
      </w:r>
      <w:r>
        <w:rPr>
          <w:spacing w:val="0"/>
          <w:w w:val="100"/>
          <w:position w:val="0"/>
        </w:rPr>
        <w:t>1.20Mt/a</w:t>
      </w:r>
      <w:r>
        <w:rPr>
          <w:spacing w:val="0"/>
          <w:w w:val="100"/>
          <w:position w:val="0"/>
        </w:rPr>
        <w:t>的设计能力，设计维持22盘区现有开采系统不变。</w:t>
      </w:r>
    </w:p>
    <w:p>
      <w:pPr>
        <w:pStyle w:val="a2"/>
        <w:keepNext w:val="0"/>
        <w:keepLines w:val="0"/>
        <w:widowControl w:val="0"/>
        <w:shd w:val="clear" w:color="auto" w:fill="auto"/>
        <w:bidi w:val="0"/>
        <w:spacing w:before="0" w:after="0" w:line="365" w:lineRule="exact"/>
        <w:ind w:left="0" w:right="0" w:firstLine="0"/>
        <w:jc w:val="center"/>
      </w:pPr>
      <w:r>
        <w:rPr>
          <w:color w:val="000000"/>
          <w:spacing w:val="0"/>
          <w:w w:val="100"/>
          <w:position w:val="0"/>
        </w:rPr>
        <w:t>第四节井筒</w:t>
      </w:r>
    </w:p>
    <w:p>
      <w:pPr>
        <w:pStyle w:val="a2"/>
        <w:keepNext w:val="0"/>
        <w:keepLines w:val="0"/>
        <w:widowControl w:val="0"/>
        <w:shd w:val="clear" w:color="auto" w:fill="auto"/>
        <w:bidi w:val="0"/>
        <w:spacing w:before="0" w:after="100" w:line="365" w:lineRule="exact"/>
        <w:ind w:left="0" w:right="0" w:firstLine="540"/>
        <w:jc w:val="left"/>
      </w:pPr>
      <w:r>
        <w:rPr>
          <w:spacing w:val="0"/>
          <w:w w:val="100"/>
          <w:position w:val="0"/>
        </w:rPr>
        <w:t>根据确定的开拓方案，整合系统改造完成矿井生产时共使用4条井筒，分别为：主斜井、一号副斜井、二号副斜井及一号</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https://d.book118.com/098012001062006042</w:t>
        </w:r>
      </w:hyperlink>
    </w:p>
    <w:p>
      <w:pPr>
        <w:pStyle w:val="a2"/>
        <w:keepNext w:val="0"/>
        <w:keepLines w:val="0"/>
        <w:widowControl w:val="0"/>
        <w:shd w:val="clear" w:color="auto" w:fill="auto"/>
        <w:bidi w:val="0"/>
        <w:spacing w:before="0" w:after="100" w:line="365" w:lineRule="exact"/>
        <w:ind w:left="0" w:right="0" w:firstLine="540"/>
        <w:jc w:val="left"/>
      </w:pPr>
    </w:p>
    <w:sectPr>
      <w:type w:val="nextPage"/>
      <w:pgSz w:w="17861" w:h="25258"/>
      <w:pgMar w:top="1240" w:right="1022" w:bottom="2060" w:left="1397" w:header="0" w:footer="3" w:gutter="0"/>
      <w:pgNumType w:start="9"/>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687AAC"/>
    <w:multiLevelType w:val="multilevel"/>
    <w:tmpl w:val="00000000"/>
    <w:lvl w:ilvl="0">
      <w:start w:val="1"/>
      <w:numFmt w:val="decimal"/>
      <w:lvlText w:val="%1."/>
      <w:lvlJc w:val="left"/>
      <w:rPr>
        <w:rFonts w:ascii="SimSun" w:eastAsia="SimSun" w:hAnsi="SimSun" w:cs="SimSun"/>
        <w:b w:val="0"/>
        <w:bCs w:val="0"/>
        <w:i w:val="0"/>
        <w:iCs w:val="0"/>
        <w:smallCaps w:val="0"/>
        <w:strike w:val="0"/>
        <w:color w:val="00808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5149C74"/>
    <w:multiLevelType w:val="multilevel"/>
    <w:tmpl w:val="00000000"/>
    <w:lvl w:ilvl="0">
      <w:start w:val="1"/>
      <w:numFmt w:val="decimal"/>
      <w:lvlText w:val="%1."/>
      <w:lvlJc w:val="left"/>
      <w:rPr>
        <w:rFonts w:ascii="SimSun" w:eastAsia="SimSun" w:hAnsi="SimSun" w:cs="SimSun"/>
        <w:b w:val="0"/>
        <w:bCs w:val="0"/>
        <w:i w:val="0"/>
        <w:iCs w:val="0"/>
        <w:smallCaps w:val="0"/>
        <w:strike w:val="0"/>
        <w:color w:val="329865"/>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948C90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349B99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654CD2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3172B2F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189CA72"/>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808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32EC8178"/>
    <w:multiLevelType w:val="multilevel"/>
    <w:tmpl w:val="00000000"/>
    <w:lvl w:ilvl="0">
      <w:start w:val="1"/>
      <w:numFmt w:val="ideographDigital"/>
      <w:lvlText w:val="(%1)"/>
      <w:lvlJc w:val="left"/>
      <w:rPr>
        <w:rFonts w:ascii="SimSun" w:eastAsia="SimSun" w:hAnsi="SimSun" w:cs="SimSun"/>
        <w:b w:val="0"/>
        <w:bCs w:val="0"/>
        <w:i w:val="0"/>
        <w:iCs w:val="0"/>
        <w:smallCaps w:val="0"/>
        <w:strike w:val="0"/>
        <w:color w:val="00000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3DB5E805"/>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112016A"/>
    <w:multiLevelType w:val="multilevel"/>
    <w:tmpl w:val="00000000"/>
    <w:lvl w:ilvl="0">
      <w:start w:val="1"/>
      <w:numFmt w:val="ideographDigital"/>
      <w:lvlText w:val="(%1)"/>
      <w:lvlJc w:val="left"/>
      <w:rPr>
        <w:rFonts w:ascii="SimSun" w:eastAsia="SimSun" w:hAnsi="SimSun" w:cs="SimSun"/>
        <w:b w:val="0"/>
        <w:bCs w:val="0"/>
        <w:i w:val="0"/>
        <w:iCs w:val="0"/>
        <w:smallCaps w:val="0"/>
        <w:strike w:val="0"/>
        <w:color w:val="329865"/>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4CA45D1C"/>
    <w:multiLevelType w:val="multilevel"/>
    <w:tmpl w:val="00000000"/>
    <w:lvl w:ilvl="0">
      <w:start w:val="1"/>
      <w:numFmt w:val="decimal"/>
      <w:lvlText w:val="%1."/>
      <w:lvlJc w:val="left"/>
      <w:rPr>
        <w:rFonts w:ascii="SimSun" w:eastAsia="SimSun" w:hAnsi="SimSun" w:cs="SimSun"/>
        <w:b w:val="0"/>
        <w:bCs w:val="0"/>
        <w:i w:val="0"/>
        <w:iCs w:val="0"/>
        <w:smallCaps w:val="0"/>
        <w:strike w:val="0"/>
        <w:color w:val="329865"/>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4DDD3144"/>
    <w:multiLevelType w:val="multilevel"/>
    <w:tmpl w:val="00000000"/>
    <w:lvl w:ilvl="0">
      <w:start w:val="1"/>
      <w:numFmt w:val="decimal"/>
      <w:lvlText w:val="%1."/>
      <w:lvlJc w:val="left"/>
      <w:rPr>
        <w:rFonts w:ascii="SimSun" w:eastAsia="SimSun" w:hAnsi="SimSun" w:cs="SimSun"/>
        <w:b w:val="0"/>
        <w:bCs w:val="0"/>
        <w:i w:val="0"/>
        <w:iCs w:val="0"/>
        <w:smallCaps w:val="0"/>
        <w:strike w:val="0"/>
        <w:color w:val="00808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55077E17"/>
    <w:multiLevelType w:val="multilevel"/>
    <w:tmpl w:val="00000000"/>
    <w:lvl w:ilvl="0">
      <w:start w:val="1"/>
      <w:numFmt w:val="ideographDigital"/>
      <w:lvlText w:val="(%1)"/>
      <w:lvlJc w:val="left"/>
      <w:rPr>
        <w:rFonts w:ascii="Times New Roman" w:eastAsia="Times New Roman" w:hAnsi="Times New Roman" w:cs="Times New Roman"/>
        <w:b w:val="0"/>
        <w:bCs w:val="0"/>
        <w:i w:val="0"/>
        <w:iCs w:val="0"/>
        <w:smallCaps w:val="0"/>
        <w:strike w:val="0"/>
        <w:color w:val="329865"/>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59C65B4F"/>
    <w:multiLevelType w:val="multilevel"/>
    <w:tmpl w:val="00000000"/>
    <w:lvl w:ilvl="0">
      <w:start w:val="1"/>
      <w:numFmt w:val="decimal"/>
      <w:lvlText w:val="%1)"/>
      <w:lvlJc w:val="left"/>
      <w:rPr>
        <w:rFonts w:ascii="SimSun" w:eastAsia="SimSun" w:hAnsi="SimSun" w:cs="SimSun"/>
        <w:b w:val="0"/>
        <w:bCs w:val="0"/>
        <w:i w:val="0"/>
        <w:iCs w:val="0"/>
        <w:smallCaps w:val="0"/>
        <w:strike w:val="0"/>
        <w:color w:val="329865"/>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5D05E823"/>
    <w:multiLevelType w:val="multilevel"/>
    <w:tmpl w:val="00000000"/>
    <w:lvl w:ilvl="0">
      <w:start w:val="1"/>
      <w:numFmt w:val="decimal"/>
      <w:lvlText w:val="(%1)"/>
      <w:lvlJc w:val="left"/>
      <w:rPr>
        <w:rFonts w:ascii="SimSun" w:eastAsia="SimSun" w:hAnsi="SimSun" w:cs="SimSun"/>
        <w:b w:val="0"/>
        <w:bCs w:val="0"/>
        <w:i w:val="0"/>
        <w:iCs w:val="0"/>
        <w:smallCaps w:val="0"/>
        <w:strike w:val="0"/>
        <w:color w:val="329865"/>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673BA40A"/>
    <w:multiLevelType w:val="multilevel"/>
    <w:tmpl w:val="00000000"/>
    <w:lvl w:ilvl="0">
      <w:start w:val="1"/>
      <w:numFmt w:val="decimal"/>
      <w:lvlText w:val="%1."/>
      <w:lvlJc w:val="left"/>
      <w:rPr>
        <w:rFonts w:ascii="SimSun" w:eastAsia="SimSun" w:hAnsi="SimSun" w:cs="SimSun"/>
        <w:b w:val="0"/>
        <w:bCs w:val="0"/>
        <w:i w:val="0"/>
        <w:iCs w:val="0"/>
        <w:smallCaps w:val="0"/>
        <w:strike w:val="0"/>
        <w:color w:val="329865"/>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674D141A"/>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329865"/>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69CA1F65"/>
    <w:multiLevelType w:val="multilevel"/>
    <w:tmpl w:val="00000000"/>
    <w:lvl w:ilvl="0">
      <w:start w:val="1"/>
      <w:numFmt w:val="decimal"/>
      <w:lvlText w:val="%1."/>
      <w:lvlJc w:val="left"/>
      <w:rPr>
        <w:rFonts w:ascii="SimSun" w:eastAsia="SimSun" w:hAnsi="SimSun" w:cs="SimSun"/>
        <w:b w:val="0"/>
        <w:bCs w:val="0"/>
        <w:i w:val="0"/>
        <w:iCs w:val="0"/>
        <w:smallCaps w:val="0"/>
        <w:strike w:val="0"/>
        <w:color w:val="00808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76EB48D7"/>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
  </w:num>
  <w:num w:numId="2">
    <w:abstractNumId w:val="7"/>
  </w:num>
  <w:num w:numId="3">
    <w:abstractNumId w:val="17"/>
  </w:num>
  <w:num w:numId="4">
    <w:abstractNumId w:val="0"/>
  </w:num>
  <w:num w:numId="5">
    <w:abstractNumId w:val="6"/>
  </w:num>
  <w:num w:numId="6">
    <w:abstractNumId w:val="3"/>
  </w:num>
  <w:num w:numId="7">
    <w:abstractNumId w:val="5"/>
  </w:num>
  <w:num w:numId="8">
    <w:abstractNumId w:val="2"/>
  </w:num>
  <w:num w:numId="9">
    <w:abstractNumId w:val="13"/>
  </w:num>
  <w:num w:numId="10">
    <w:abstractNumId w:val="8"/>
  </w:num>
  <w:num w:numId="11">
    <w:abstractNumId w:val="16"/>
  </w:num>
  <w:num w:numId="12">
    <w:abstractNumId w:val="4"/>
  </w:num>
  <w:num w:numId="13">
    <w:abstractNumId w:val="15"/>
  </w:num>
  <w:num w:numId="14">
    <w:abstractNumId w:val="9"/>
  </w:num>
  <w:num w:numId="15">
    <w:abstractNumId w:val="18"/>
  </w:num>
  <w:num w:numId="16">
    <w:abstractNumId w:val="12"/>
  </w:num>
  <w:num w:numId="17">
    <w:abstractNumId w:val="10"/>
  </w:num>
  <w:num w:numId="18">
    <w:abstractNumId w:val="14"/>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正文文本_"/>
    <w:basedOn w:val="DefaultParagraphFont"/>
    <w:link w:val="a2"/>
    <w:rPr>
      <w:rFonts w:ascii="SimSun" w:eastAsia="SimSun" w:hAnsi="SimSun" w:cs="SimSun"/>
      <w:b w:val="0"/>
      <w:bCs w:val="0"/>
      <w:i w:val="0"/>
      <w:iCs w:val="0"/>
      <w:smallCaps w:val="0"/>
      <w:strike w:val="0"/>
      <w:color w:val="329865"/>
      <w:sz w:val="26"/>
      <w:szCs w:val="26"/>
      <w:u w:val="none"/>
      <w:shd w:val="clear" w:color="auto" w:fill="auto"/>
    </w:rPr>
  </w:style>
  <w:style w:type="character" w:customStyle="1" w:styleId="a0">
    <w:name w:val="其他_"/>
    <w:basedOn w:val="DefaultParagraphFont"/>
    <w:link w:val="a3"/>
    <w:rPr>
      <w:rFonts w:ascii="SimSun" w:eastAsia="SimSun" w:hAnsi="SimSun" w:cs="SimSun"/>
      <w:b w:val="0"/>
      <w:bCs w:val="0"/>
      <w:i w:val="0"/>
      <w:iCs w:val="0"/>
      <w:smallCaps w:val="0"/>
      <w:strike w:val="0"/>
      <w:color w:val="329865"/>
      <w:sz w:val="26"/>
      <w:szCs w:val="26"/>
      <w:u w:val="none"/>
      <w:shd w:val="clear" w:color="auto" w:fill="auto"/>
    </w:rPr>
  </w:style>
  <w:style w:type="character" w:customStyle="1" w:styleId="2">
    <w:name w:val="正文文本 (2)_"/>
    <w:basedOn w:val="DefaultParagraphFont"/>
    <w:link w:val="21"/>
    <w:rPr>
      <w:rFonts w:ascii="Times New Roman" w:eastAsia="Times New Roman" w:hAnsi="Times New Roman" w:cs="Times New Roman"/>
      <w:b w:val="0"/>
      <w:bCs w:val="0"/>
      <w:i w:val="0"/>
      <w:iCs w:val="0"/>
      <w:smallCaps w:val="0"/>
      <w:strike w:val="0"/>
      <w:color w:val="329865"/>
      <w:sz w:val="26"/>
      <w:szCs w:val="26"/>
      <w:u w:val="none"/>
      <w:shd w:val="clear" w:color="auto" w:fill="auto"/>
    </w:rPr>
  </w:style>
  <w:style w:type="character" w:customStyle="1" w:styleId="3">
    <w:name w:val="正文文本 (3)_"/>
    <w:basedOn w:val="DefaultParagraphFont"/>
    <w:link w:val="31"/>
    <w:rPr>
      <w:rFonts w:ascii="SimSun" w:eastAsia="SimSun" w:hAnsi="SimSun" w:cs="SimSun"/>
      <w:b w:val="0"/>
      <w:bCs w:val="0"/>
      <w:i w:val="0"/>
      <w:iCs w:val="0"/>
      <w:smallCaps w:val="0"/>
      <w:strike w:val="0"/>
      <w:color w:val="329865"/>
      <w:sz w:val="13"/>
      <w:szCs w:val="13"/>
      <w:u w:val="none"/>
      <w:shd w:val="clear" w:color="auto" w:fill="auto"/>
    </w:rPr>
  </w:style>
  <w:style w:type="character" w:customStyle="1" w:styleId="a1">
    <w:name w:val="表格标题_"/>
    <w:basedOn w:val="DefaultParagraphFont"/>
    <w:link w:val="a4"/>
    <w:rPr>
      <w:rFonts w:ascii="SimSun" w:eastAsia="SimSun" w:hAnsi="SimSun" w:cs="SimSun"/>
      <w:b w:val="0"/>
      <w:bCs w:val="0"/>
      <w:i w:val="0"/>
      <w:iCs w:val="0"/>
      <w:smallCaps w:val="0"/>
      <w:strike w:val="0"/>
      <w:color w:val="329865"/>
      <w:sz w:val="26"/>
      <w:szCs w:val="26"/>
      <w:u w:val="none"/>
      <w:shd w:val="clear" w:color="auto" w:fill="auto"/>
    </w:rPr>
  </w:style>
  <w:style w:type="character" w:customStyle="1" w:styleId="30">
    <w:name w:val="标题 #3_"/>
    <w:basedOn w:val="DefaultParagraphFont"/>
    <w:link w:val="32"/>
    <w:rPr>
      <w:rFonts w:ascii="SimSun" w:eastAsia="SimSun" w:hAnsi="SimSun" w:cs="SimSun"/>
      <w:b/>
      <w:bCs/>
      <w:i w:val="0"/>
      <w:iCs w:val="0"/>
      <w:smallCaps w:val="0"/>
      <w:strike w:val="0"/>
      <w:color w:val="329865"/>
      <w:sz w:val="26"/>
      <w:szCs w:val="26"/>
      <w:u w:val="none"/>
      <w:shd w:val="clear" w:color="auto" w:fill="auto"/>
    </w:rPr>
  </w:style>
  <w:style w:type="character" w:customStyle="1" w:styleId="1">
    <w:name w:val="标题 #1_"/>
    <w:basedOn w:val="DefaultParagraphFont"/>
    <w:link w:val="10"/>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20">
    <w:name w:val="标题 #2_"/>
    <w:basedOn w:val="DefaultParagraphFont"/>
    <w:link w:val="22"/>
    <w:rPr>
      <w:rFonts w:ascii="Times New Roman" w:eastAsia="Times New Roman" w:hAnsi="Times New Roman" w:cs="Times New Roman"/>
      <w:b w:val="0"/>
      <w:bCs w:val="0"/>
      <w:i w:val="0"/>
      <w:iCs w:val="0"/>
      <w:smallCaps w:val="0"/>
      <w:strike w:val="0"/>
      <w:color w:val="329865"/>
      <w:sz w:val="26"/>
      <w:szCs w:val="26"/>
      <w:u w:val="none"/>
      <w:shd w:val="clear" w:color="auto" w:fill="auto"/>
    </w:rPr>
  </w:style>
  <w:style w:type="paragraph" w:customStyle="1" w:styleId="a2">
    <w:name w:val="正文文本"/>
    <w:basedOn w:val="Normal"/>
    <w:link w:val="a"/>
    <w:pPr>
      <w:widowControl w:val="0"/>
      <w:shd w:val="clear" w:color="auto" w:fill="auto"/>
      <w:spacing w:line="377" w:lineRule="auto"/>
      <w:ind w:firstLine="400"/>
    </w:pPr>
    <w:rPr>
      <w:rFonts w:ascii="SimSun" w:eastAsia="SimSun" w:hAnsi="SimSun" w:cs="SimSun"/>
      <w:b w:val="0"/>
      <w:bCs w:val="0"/>
      <w:i w:val="0"/>
      <w:iCs w:val="0"/>
      <w:smallCaps w:val="0"/>
      <w:strike w:val="0"/>
      <w:color w:val="329865"/>
      <w:sz w:val="26"/>
      <w:szCs w:val="26"/>
      <w:u w:val="none"/>
      <w:shd w:val="clear" w:color="auto" w:fill="auto"/>
    </w:rPr>
  </w:style>
  <w:style w:type="paragraph" w:customStyle="1" w:styleId="a3">
    <w:name w:val="其他"/>
    <w:basedOn w:val="Normal"/>
    <w:link w:val="a0"/>
    <w:pPr>
      <w:widowControl w:val="0"/>
      <w:shd w:val="clear" w:color="auto" w:fill="auto"/>
      <w:spacing w:line="377" w:lineRule="auto"/>
      <w:ind w:firstLine="400"/>
    </w:pPr>
    <w:rPr>
      <w:rFonts w:ascii="SimSun" w:eastAsia="SimSun" w:hAnsi="SimSun" w:cs="SimSun"/>
      <w:b w:val="0"/>
      <w:bCs w:val="0"/>
      <w:i w:val="0"/>
      <w:iCs w:val="0"/>
      <w:smallCaps w:val="0"/>
      <w:strike w:val="0"/>
      <w:color w:val="329865"/>
      <w:sz w:val="26"/>
      <w:szCs w:val="26"/>
      <w:u w:val="none"/>
      <w:shd w:val="clear" w:color="auto" w:fill="auto"/>
    </w:rPr>
  </w:style>
  <w:style w:type="paragraph" w:customStyle="1" w:styleId="21">
    <w:name w:val="正文文本 (2)"/>
    <w:basedOn w:val="Normal"/>
    <w:link w:val="2"/>
    <w:pPr>
      <w:widowControl w:val="0"/>
      <w:shd w:val="clear" w:color="auto" w:fill="auto"/>
      <w:spacing w:line="276" w:lineRule="auto"/>
      <w:ind w:firstLine="720"/>
    </w:pPr>
    <w:rPr>
      <w:rFonts w:ascii="Times New Roman" w:eastAsia="Times New Roman" w:hAnsi="Times New Roman" w:cs="Times New Roman"/>
      <w:b w:val="0"/>
      <w:bCs w:val="0"/>
      <w:i w:val="0"/>
      <w:iCs w:val="0"/>
      <w:smallCaps w:val="0"/>
      <w:strike w:val="0"/>
      <w:color w:val="329865"/>
      <w:sz w:val="26"/>
      <w:szCs w:val="26"/>
      <w:u w:val="none"/>
      <w:shd w:val="clear" w:color="auto" w:fill="auto"/>
    </w:rPr>
  </w:style>
  <w:style w:type="paragraph" w:customStyle="1" w:styleId="31">
    <w:name w:val="正文文本 (3)"/>
    <w:basedOn w:val="Normal"/>
    <w:link w:val="3"/>
    <w:pPr>
      <w:widowControl w:val="0"/>
      <w:shd w:val="clear" w:color="auto" w:fill="auto"/>
      <w:ind w:left="3520"/>
    </w:pPr>
    <w:rPr>
      <w:rFonts w:ascii="SimSun" w:eastAsia="SimSun" w:hAnsi="SimSun" w:cs="SimSun"/>
      <w:b w:val="0"/>
      <w:bCs w:val="0"/>
      <w:i w:val="0"/>
      <w:iCs w:val="0"/>
      <w:smallCaps w:val="0"/>
      <w:strike w:val="0"/>
      <w:color w:val="329865"/>
      <w:sz w:val="13"/>
      <w:szCs w:val="13"/>
      <w:u w:val="none"/>
      <w:shd w:val="clear" w:color="auto" w:fill="auto"/>
    </w:rPr>
  </w:style>
  <w:style w:type="paragraph" w:customStyle="1" w:styleId="a4">
    <w:name w:val="表格标题"/>
    <w:basedOn w:val="Normal"/>
    <w:link w:val="a1"/>
    <w:pPr>
      <w:widowControl w:val="0"/>
      <w:shd w:val="clear" w:color="auto" w:fill="auto"/>
    </w:pPr>
    <w:rPr>
      <w:rFonts w:ascii="SimSun" w:eastAsia="SimSun" w:hAnsi="SimSun" w:cs="SimSun"/>
      <w:b w:val="0"/>
      <w:bCs w:val="0"/>
      <w:i w:val="0"/>
      <w:iCs w:val="0"/>
      <w:smallCaps w:val="0"/>
      <w:strike w:val="0"/>
      <w:color w:val="329865"/>
      <w:sz w:val="26"/>
      <w:szCs w:val="26"/>
      <w:u w:val="none"/>
      <w:shd w:val="clear" w:color="auto" w:fill="auto"/>
    </w:rPr>
  </w:style>
  <w:style w:type="paragraph" w:customStyle="1" w:styleId="32">
    <w:name w:val="标题 #3"/>
    <w:basedOn w:val="Normal"/>
    <w:link w:val="30"/>
    <w:pPr>
      <w:widowControl w:val="0"/>
      <w:shd w:val="clear" w:color="auto" w:fill="auto"/>
      <w:spacing w:after="370" w:line="466" w:lineRule="exact"/>
      <w:outlineLvl w:val="2"/>
    </w:pPr>
    <w:rPr>
      <w:rFonts w:ascii="SimSun" w:eastAsia="SimSun" w:hAnsi="SimSun" w:cs="SimSun"/>
      <w:b/>
      <w:bCs/>
      <w:i w:val="0"/>
      <w:iCs w:val="0"/>
      <w:smallCaps w:val="0"/>
      <w:strike w:val="0"/>
      <w:color w:val="329865"/>
      <w:sz w:val="26"/>
      <w:szCs w:val="26"/>
      <w:u w:val="none"/>
      <w:shd w:val="clear" w:color="auto" w:fill="auto"/>
    </w:rPr>
  </w:style>
  <w:style w:type="paragraph" w:customStyle="1" w:styleId="10">
    <w:name w:val="标题 #1"/>
    <w:basedOn w:val="Normal"/>
    <w:link w:val="1"/>
    <w:pPr>
      <w:widowControl w:val="0"/>
      <w:shd w:val="clear" w:color="auto" w:fill="auto"/>
      <w:ind w:left="720" w:firstLine="270"/>
      <w:outlineLvl w:val="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22">
    <w:name w:val="标题 #2"/>
    <w:basedOn w:val="Normal"/>
    <w:link w:val="20"/>
    <w:pPr>
      <w:widowControl w:val="0"/>
      <w:shd w:val="clear" w:color="auto" w:fill="auto"/>
      <w:spacing w:after="80"/>
      <w:ind w:firstLine="780"/>
      <w:outlineLvl w:val="1"/>
    </w:pPr>
    <w:rPr>
      <w:rFonts w:ascii="Times New Roman" w:eastAsia="Times New Roman" w:hAnsi="Times New Roman" w:cs="Times New Roman"/>
      <w:b w:val="0"/>
      <w:bCs w:val="0"/>
      <w:i w:val="0"/>
      <w:iCs w:val="0"/>
      <w:smallCaps w:val="0"/>
      <w:strike w:val="0"/>
      <w:color w:val="329865"/>
      <w:sz w:val="26"/>
      <w:szCs w:val="26"/>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801200106200604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