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0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_Toc24706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_Toc24884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9" w:history="1">
        <w:r>
          <w:rPr>
            <w:rFonts w:ascii="仿宋" w:eastAsia="仿宋" w:hAnsi="仿宋" w:cs="仿宋" w:hint="eastAsia"/>
            <w:lang w:eastAsia="zh-CN"/>
          </w:rPr>
          <w:t>(一)、硅钙项目选址原则</w:t>
        </w:r>
        <w:r>
          <w:tab/>
        </w:r>
        <w:r>
          <w:fldChar w:fldCharType="begin"/>
        </w:r>
        <w:r>
          <w:instrText xml:space="preserve"> PAGEREF _Toc22629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eastAsia="zh-CN"/>
          </w:rPr>
          <w:t>(五)、硅钙项目选址综合评价</w:t>
        </w:r>
        <w:r>
          <w:tab/>
        </w:r>
        <w:r>
          <w:fldChar w:fldCharType="begin"/>
        </w:r>
        <w:r>
          <w:instrText xml:space="preserve"> PAGEREF _Toc23425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五、硅钙项目概况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(二)、硅钙项目提出的理由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(三)、硅钙项目选址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(六)、硅钙项目投资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(七)、硅钙项目进度规划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(九)、硅钙项目综合评价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_Toc22622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(一)、硅钙项目背景分析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6" w:history="1">
        <w:r>
          <w:rPr>
            <w:rFonts w:ascii="仿宋" w:eastAsia="仿宋" w:hAnsi="仿宋" w:cs="仿宋" w:hint="eastAsia"/>
            <w:lang w:eastAsia="zh-CN"/>
          </w:rPr>
          <w:t>(二)、硅钙项目建设必要性分析</w:t>
        </w:r>
        <w:r>
          <w:tab/>
        </w:r>
        <w:r>
          <w:fldChar w:fldCharType="begin"/>
        </w:r>
        <w:r>
          <w:instrText xml:space="preserve"> PAGEREF _Toc31196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eastAsia="zh-CN"/>
          </w:rPr>
          <w:t>八、硅钙项目经济效益</w:t>
        </w:r>
        <w:r>
          <w:tab/>
        </w:r>
        <w:r>
          <w:fldChar w:fldCharType="begin"/>
        </w:r>
        <w:r>
          <w:instrText xml:space="preserve"> PAGEREF _Toc30504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(三)、硅钙项目盈利能力分析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0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6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https://d.book118.com/098016037141006031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8016037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2024-01-24T14:59:00Z</dcterms:created>
  <dcterms:modified xsi:type="dcterms:W3CDTF">2024-01-24T14:59:29Z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D675A63B2DA94B93A166A47D45117D96_11</vt:lpwstr>
  </property>
  <property fmtid="{D5CDD505-2E9C-101B-9397-08002B2CF9AE}" pid="3" name="KSOProductBuildVer">
    <vt:lpwstr>2052-12.1.0.16120</vt:lpwstr>
  </property>
</Properties>
</file>