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衡器（秤）项目创业投资方案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二、衡器（秤）项目建设目标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(一)、衡器（秤）项目建设目标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三、衡器（秤）知识产权管理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9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_Toc30439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四、市场分析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6" w:history="1">
        <w:r>
          <w:rPr>
            <w:rFonts w:ascii="仿宋" w:eastAsia="仿宋" w:hAnsi="仿宋" w:cs="仿宋" w:hint="eastAsia"/>
            <w:lang w:eastAsia="zh-CN"/>
          </w:rPr>
          <w:t>(一)、衡器（秤）行业发展前景</w:t>
        </w:r>
        <w:r>
          <w:tab/>
        </w:r>
        <w:r>
          <w:fldChar w:fldCharType="begin"/>
        </w:r>
        <w:r>
          <w:instrText xml:space="preserve"> PAGEREF _Toc17076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(二)、衡器（秤）产业链分析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(三)、衡器（秤）项目市场营销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(四)、衡器（秤）行业发展特点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五、建设内容与产品方案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_Toc3290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0" w:history="1">
        <w:r>
          <w:rPr>
            <w:rFonts w:ascii="仿宋" w:eastAsia="仿宋" w:hAnsi="仿宋" w:cs="仿宋" w:hint="eastAsia"/>
            <w:lang w:eastAsia="zh-CN"/>
          </w:rPr>
          <w:t>(二)、衡器（秤）产品规划方案及生产纲领</w:t>
        </w:r>
        <w:r>
          <w:tab/>
        </w:r>
        <w:r>
          <w:fldChar w:fldCharType="begin"/>
        </w:r>
        <w:r>
          <w:instrText xml:space="preserve"> PAGEREF _Toc17190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六、衡器（秤）生产控制的概念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(一)、衡器（秤）生产控制的概念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_Toc27539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eastAsia="zh-CN"/>
          </w:rPr>
          <w:t>八、衡器（秤）项目承办单位基本情况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_Toc22902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九、衡器（秤）项目规划进度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3" w:history="1">
        <w:r>
          <w:rPr>
            <w:rFonts w:ascii="仿宋" w:eastAsia="仿宋" w:hAnsi="仿宋" w:cs="仿宋" w:hint="eastAsia"/>
            <w:lang w:eastAsia="zh-CN"/>
          </w:rPr>
          <w:t>(一)、衡器（秤）项目进度安排</w:t>
        </w:r>
        <w:r>
          <w:tab/>
        </w:r>
        <w:r>
          <w:fldChar w:fldCharType="begin"/>
        </w:r>
        <w:r>
          <w:instrText xml:space="preserve"> PAGEREF _Toc11083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(二)、衡器（秤）项目实施保障措施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十、信息安全与数据管理方案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" w:history="1">
        <w:r>
          <w:rPr>
            <w:rFonts w:ascii="仿宋" w:eastAsia="仿宋" w:hAnsi="仿宋" w:cs="仿宋" w:hint="eastAsia"/>
            <w:lang w:eastAsia="zh-CN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_Toc1132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十一、项目交付与运营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4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_Toc13524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十二、项目验收与总结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_Toc1358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_Toc8227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_Toc27381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2" w:history="1">
        <w:r>
          <w:rPr>
            <w:rFonts w:ascii="仿宋" w:eastAsia="仿宋" w:hAnsi="仿宋" w:cs="仿宋" w:hint="eastAsia"/>
            <w:lang w:eastAsia="zh-CN"/>
          </w:rPr>
          <w:t>(三)、衡器（秤）项目盈利能力分析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_Toc30204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十四、技术创新的过程与模式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十五、衡器（秤）项目工程方案分析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十六、库存控制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十七、第四十三章员工参与决策与公司治理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9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_Toc26959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7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十八、渠道管理概述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十九、员工管理与发展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二十、衡器（秤）项目监督与评估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二十一、财务管理与报告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4" w:history="1">
        <w:r>
          <w:rPr>
            <w:rFonts w:ascii="仿宋" w:eastAsia="仿宋" w:hAnsi="仿宋" w:cs="仿宋" w:hint="eastAsia"/>
            <w:lang w:eastAsia="zh-CN"/>
          </w:rPr>
          <w:t>二十二市场营销策略</w:t>
        </w:r>
        <w:r>
          <w:tab/>
        </w:r>
        <w:r>
          <w:fldChar w:fldCharType="begin"/>
        </w:r>
        <w:r>
          <w:instrText xml:space="preserve"> PAGEREF _Toc16884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5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7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_Toc16137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53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7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在制定衡器（秤）项目的产品方案时，充分考虑了国家和地方产业政策、市场需求、资源供应情况、企业的资金能力、生产技术水平以及衡器（秤）项目的经济效益和投资风险等多方面因素。主要产品是衡器（秤），根据市场需求的变化，我们将灵活调整具体的产品种类。根据人员、设备能力以及市场预测，确定了每年的生产计划。根据产品方案、建设规模和预测的衡器（秤）产品价格，我们确定每年的产量为XXX，预计年产值达到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https://d.book118.com/098017073072006043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衡器（秤）项目创业投资方案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衡器（秤）项目创业投资方案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衡器（秤）项目创业投资方案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衡器（秤）项目创业投资方案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衡器（秤）项目创业投资方案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365E14"/>
    <w:rsid w:val="03365E1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017073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2024-02-23T10:06:00Z</dcterms:created>
  <dcterms:modified xsi:type="dcterms:W3CDTF">2024-02-23T10:07:11Z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AA5F884A4DB247FF9054E51289A8B680_11</vt:lpwstr>
  </property>
  <property fmtid="{D5CDD505-2E9C-101B-9397-08002B2CF9AE}" pid="3" name="KSOProductBuildVer">
    <vt:lpwstr>2052-12.1.0.16250</vt:lpwstr>
  </property>
</Properties>
</file>