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2018-2023年四川职业技术学院高职单招（数学／语文／英语）历年常考试题库含答案解析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D.七言歌行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下列属于曹操的作品是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A.《长歌行》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D.《兵车行》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《李将军列传》中作者将李广和李蔡对比的目的是凸显李广（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A.勇猛善射的武功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B.体恤部下的武德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C.终生未封的遭遇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D.治军简易的特点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奠定郭沫若在中国现代文学史上的地位的是他于1921年出版的诗集（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A.《尝试集》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中国文学史上的“小李杜”是指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B.李商隐杜牧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C.李白杜牧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D.李商隐杜甫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郭沫若《炉中煤》写于（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A.五四时期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B.抗日战争爆发初期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C.抗日战争胜利之时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D.新中国建立之时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“五十步笑百步”这一典故出自（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下列选项中，画线部分翻译错误的一项是（）。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A.闻道百，以为莫己若者，我之谓也以为~~莫己若者：认为没有谁如同自己一样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B.今乃弃黔首以资敌国，却宾客以业诸侯~~却宾客以业诸侯：驱逐宾客使诸侯成就功业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C.填然鼓之，兵刃既接，弃甲曳兵而走~~弃甲曳兵而走：抛弃了铠甲、拖着士兵离开了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D.制，岩邑也，虢叔死焉，佗邑为命制~~岩邑也：制是险要的城邑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李商隐的《无题》（相见时难别亦难）表达相思之苦的名句是（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A.东风无力百花残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B.晓镜但愁云鬓改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C.相见时难别亦难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D.春蚕到死丝方尽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《前赤壁赋》行文的内在线索是（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A.时间的推移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B.感情的变化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C.事理的逻辑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D.想象的展开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52922" cy="16861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2922" cy="16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《无题》（相见时难别亦难）是一首（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https://d.book118.com/098052071132006040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098052071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