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4" w:lineRule="auto"/>
        <w:rPr>
          <w:rFonts w:ascii="Arial"/>
          <w:sz w:val="21"/>
        </w:rPr>
      </w:pPr>
    </w:p>
    <w:p>
      <w:pPr>
        <w:spacing w:before="68" w:line="222" w:lineRule="auto"/>
        <w:ind w:left="1653"/>
        <w:outlineLvl w:val="0"/>
        <w:rPr>
          <w:rFonts w:ascii="SimHei" w:eastAsia="SimHei" w:hAnsi="SimHei" w:cs="SimHei"/>
          <w:sz w:val="21"/>
          <w:szCs w:val="21"/>
        </w:rPr>
      </w:pPr>
      <w:r>
        <w:rPr>
          <w:rFonts w:ascii="SimHei" w:eastAsia="SimHei" w:hAnsi="SimHei" w:cs="SimHei"/>
          <w:b/>
          <w:bCs/>
          <w:spacing w:val="-3"/>
          <w:sz w:val="21"/>
          <w:szCs w:val="21"/>
        </w:rPr>
        <w:t>非金属建材塑限测定仪校准规范</w:t>
      </w:r>
    </w:p>
    <w:p>
      <w:pPr>
        <w:spacing w:line="353" w:lineRule="auto"/>
        <w:rPr>
          <w:rFonts w:ascii="Arial"/>
          <w:sz w:val="21"/>
        </w:rPr>
      </w:pPr>
    </w:p>
    <w:p>
      <w:pPr>
        <w:spacing w:before="52" w:line="223" w:lineRule="auto"/>
        <w:ind w:left="2"/>
        <w:rPr>
          <w:rFonts w:ascii="SimHei" w:eastAsia="SimHei" w:hAnsi="SimHei" w:cs="SimHei"/>
          <w:sz w:val="16"/>
          <w:szCs w:val="16"/>
        </w:rPr>
      </w:pPr>
      <w:r>
        <w:rPr>
          <w:rFonts w:ascii="SimHei" w:eastAsia="SimHei" w:hAnsi="SimHei" w:cs="SimHei"/>
          <w:b/>
          <w:bCs/>
          <w:spacing w:val="-6"/>
          <w:sz w:val="16"/>
          <w:szCs w:val="16"/>
        </w:rPr>
        <w:t>1</w:t>
      </w:r>
      <w:r>
        <w:rPr>
          <w:rFonts w:ascii="SimHei" w:eastAsia="SimHei" w:hAnsi="SimHei" w:cs="SimHei"/>
          <w:spacing w:val="-6"/>
          <w:sz w:val="16"/>
          <w:szCs w:val="16"/>
        </w:rPr>
        <w:t xml:space="preserve">  </w:t>
      </w:r>
      <w:r>
        <w:rPr>
          <w:rFonts w:ascii="SimHei" w:eastAsia="SimHei" w:hAnsi="SimHei" w:cs="SimHei"/>
          <w:b/>
          <w:bCs/>
          <w:spacing w:val="-6"/>
          <w:sz w:val="16"/>
          <w:szCs w:val="16"/>
        </w:rPr>
        <w:t>范围</w:t>
      </w:r>
    </w:p>
    <w:p>
      <w:pPr>
        <w:pStyle w:val="BodyText"/>
        <w:spacing w:before="198" w:line="259" w:lineRule="auto"/>
        <w:ind w:firstLine="350"/>
      </w:pPr>
      <w:r>
        <w:rPr>
          <w:spacing w:val="3"/>
        </w:rPr>
        <w:t>本规范适用于水泥净浆标准稠度与凝结时间测定仪、砂浆稠度</w:t>
      </w:r>
      <w:r>
        <w:rPr>
          <w:spacing w:val="2"/>
        </w:rPr>
        <w:t>仪、沥青针入度仪、</w:t>
      </w:r>
      <w:r>
        <w:t xml:space="preserve"> </w:t>
      </w:r>
      <w:r>
        <w:rPr>
          <w:spacing w:val="7"/>
        </w:rPr>
        <w:t>土壤液塑限测定仪(以下简称塑限测定仪)的校准。</w:t>
      </w:r>
    </w:p>
    <w:p>
      <w:pPr>
        <w:spacing w:before="217" w:line="221" w:lineRule="auto"/>
        <w:ind w:left="2"/>
        <w:rPr>
          <w:rFonts w:ascii="SimHei" w:eastAsia="SimHei" w:hAnsi="SimHei" w:cs="SimHei"/>
          <w:sz w:val="16"/>
          <w:szCs w:val="16"/>
        </w:rPr>
      </w:pPr>
      <w:r>
        <w:rPr>
          <w:rFonts w:ascii="SimHei" w:eastAsia="SimHei" w:hAnsi="SimHei" w:cs="SimHei"/>
          <w:b/>
          <w:bCs/>
          <w:spacing w:val="-5"/>
          <w:sz w:val="16"/>
          <w:szCs w:val="16"/>
        </w:rPr>
        <w:t>2</w:t>
      </w:r>
      <w:r>
        <w:rPr>
          <w:rFonts w:ascii="SimHei" w:eastAsia="SimHei" w:hAnsi="SimHei" w:cs="SimHei"/>
          <w:spacing w:val="76"/>
          <w:w w:val="101"/>
          <w:sz w:val="16"/>
          <w:szCs w:val="16"/>
        </w:rPr>
        <w:t xml:space="preserve"> </w:t>
      </w:r>
      <w:r>
        <w:rPr>
          <w:rFonts w:ascii="SimHei" w:eastAsia="SimHei" w:hAnsi="SimHei" w:cs="SimHei"/>
          <w:b/>
          <w:bCs/>
          <w:spacing w:val="-5"/>
          <w:sz w:val="16"/>
          <w:szCs w:val="16"/>
        </w:rPr>
        <w:t>概述</w:t>
      </w:r>
    </w:p>
    <w:p>
      <w:pPr>
        <w:pStyle w:val="BodyText"/>
        <w:spacing w:before="193" w:line="265" w:lineRule="auto"/>
        <w:ind w:right="71"/>
        <w:jc w:val="both"/>
      </w:pPr>
      <w:r>
        <w:rPr>
          <w:spacing w:val="4"/>
        </w:rPr>
        <w:t>2.1</w:t>
      </w:r>
      <w:r>
        <w:rPr>
          <w:spacing w:val="78"/>
        </w:rPr>
        <w:t xml:space="preserve"> </w:t>
      </w:r>
      <w:r>
        <w:rPr>
          <w:spacing w:val="4"/>
        </w:rPr>
        <w:t>水泥净浆标准稠度与凝结时间测定仪是根据水泥</w:t>
      </w:r>
      <w:r>
        <w:rPr>
          <w:spacing w:val="3"/>
        </w:rPr>
        <w:t>的触变性测量水泥标准稠度用水</w:t>
      </w:r>
      <w:r>
        <w:t xml:space="preserve"> </w:t>
      </w:r>
      <w:r>
        <w:rPr>
          <w:spacing w:val="2"/>
        </w:rPr>
        <w:t>量和凝结时间的专用计量仪器，是通过压头</w:t>
      </w:r>
      <w:r>
        <w:rPr>
          <w:spacing w:val="1"/>
        </w:rPr>
        <w:t>在固定试验力作用下垂直插入标准稠度水泥</w:t>
      </w:r>
      <w:r>
        <w:t xml:space="preserve"> </w:t>
      </w:r>
      <w:r>
        <w:t>中，以固定时间的插入深度或以固定深度的插入时间来表达的。</w:t>
      </w:r>
    </w:p>
    <w:p>
      <w:pPr>
        <w:pStyle w:val="BodyText"/>
        <w:spacing w:before="40" w:line="219" w:lineRule="auto"/>
      </w:pPr>
      <w:r>
        <w:rPr>
          <w:spacing w:val="4"/>
        </w:rPr>
        <w:t>2.2</w:t>
      </w:r>
      <w:r>
        <w:rPr>
          <w:spacing w:val="78"/>
        </w:rPr>
        <w:t xml:space="preserve"> </w:t>
      </w:r>
      <w:r>
        <w:rPr>
          <w:spacing w:val="4"/>
        </w:rPr>
        <w:t>砂浆稠度仪是测量砂浆稠度的专用计量仪器，是通</w:t>
      </w:r>
      <w:r>
        <w:rPr>
          <w:spacing w:val="3"/>
        </w:rPr>
        <w:t>过标准圆锥以固定的试验力垂</w:t>
      </w:r>
    </w:p>
    <w:p>
      <w:pPr>
        <w:pStyle w:val="BodyText"/>
        <w:spacing w:before="70" w:line="219" w:lineRule="auto"/>
      </w:pPr>
      <w:r>
        <w:rPr>
          <w:spacing w:val="-3"/>
        </w:rPr>
        <w:t>直插入砂浆深度来表达的。</w:t>
      </w:r>
    </w:p>
    <w:p>
      <w:pPr>
        <w:pStyle w:val="BodyText"/>
        <w:spacing w:before="9" w:line="219" w:lineRule="auto"/>
      </w:pPr>
      <w:r>
        <w:rPr>
          <w:spacing w:val="5"/>
        </w:rPr>
        <w:t>2.3  沥青针入度仪是测量沥青针入度的专用计量仪器，是通过标准针在一定试验力、</w:t>
      </w:r>
    </w:p>
    <w:p>
      <w:pPr>
        <w:pStyle w:val="BodyText"/>
        <w:spacing w:before="90" w:line="219" w:lineRule="auto"/>
      </w:pPr>
      <w:r>
        <w:t>时间及温度条件下垂直插入沥青试样深度来表达的。</w:t>
      </w:r>
    </w:p>
    <w:p>
      <w:pPr>
        <w:pStyle w:val="BodyText"/>
        <w:spacing w:before="31" w:line="260" w:lineRule="auto"/>
        <w:ind w:right="67"/>
      </w:pPr>
      <w:r>
        <w:rPr>
          <w:spacing w:val="4"/>
        </w:rPr>
        <w:t>2.4  土壤液塑限测定仪是测量土壤液塑限</w:t>
      </w:r>
      <w:r>
        <w:rPr>
          <w:spacing w:val="3"/>
        </w:rPr>
        <w:t>的专用计量仪器，是通过标准圆锥在一定的</w:t>
      </w:r>
      <w:r>
        <w:t xml:space="preserve"> </w:t>
      </w:r>
      <w:r>
        <w:rPr>
          <w:spacing w:val="1"/>
        </w:rPr>
        <w:t>试验力、时间下垂直插入土壤试样深度来表</w:t>
      </w:r>
      <w:r>
        <w:t>达的。</w:t>
      </w:r>
    </w:p>
    <w:p>
      <w:pPr>
        <w:spacing w:before="217" w:line="222" w:lineRule="auto"/>
        <w:ind w:left="2"/>
        <w:rPr>
          <w:rFonts w:ascii="SimHei" w:eastAsia="SimHei" w:hAnsi="SimHei" w:cs="SimHei"/>
          <w:sz w:val="16"/>
          <w:szCs w:val="16"/>
        </w:rPr>
      </w:pPr>
      <w:r>
        <w:rPr>
          <w:rFonts w:ascii="SimHei" w:eastAsia="SimHei" w:hAnsi="SimHei" w:cs="SimHei"/>
          <w:b/>
          <w:bCs/>
          <w:spacing w:val="-4"/>
          <w:sz w:val="16"/>
          <w:szCs w:val="16"/>
        </w:rPr>
        <w:t>3</w:t>
      </w:r>
      <w:r>
        <w:rPr>
          <w:rFonts w:ascii="SimHei" w:eastAsia="SimHei" w:hAnsi="SimHei" w:cs="SimHei"/>
          <w:spacing w:val="76"/>
          <w:sz w:val="16"/>
          <w:szCs w:val="16"/>
        </w:rPr>
        <w:t xml:space="preserve"> </w:t>
      </w:r>
      <w:r>
        <w:rPr>
          <w:rFonts w:ascii="SimHei" w:eastAsia="SimHei" w:hAnsi="SimHei" w:cs="SimHei"/>
          <w:b/>
          <w:bCs/>
          <w:spacing w:val="-4"/>
          <w:sz w:val="16"/>
          <w:szCs w:val="16"/>
        </w:rPr>
        <w:t>计量特性</w:t>
      </w:r>
    </w:p>
    <w:p>
      <w:pPr>
        <w:pStyle w:val="BodyText"/>
        <w:spacing w:before="211" w:line="219" w:lineRule="auto"/>
      </w:pPr>
      <w:r>
        <w:rPr>
          <w:spacing w:val="1"/>
        </w:rPr>
        <w:t>3.1</w:t>
      </w:r>
      <w:r>
        <w:rPr>
          <w:spacing w:val="81"/>
        </w:rPr>
        <w:t xml:space="preserve"> </w:t>
      </w:r>
      <w:r>
        <w:rPr>
          <w:spacing w:val="1"/>
        </w:rPr>
        <w:t>塑限测定仪滑动部分质量</w:t>
      </w:r>
    </w:p>
    <w:p>
      <w:pPr>
        <w:pStyle w:val="BodyText"/>
        <w:spacing w:before="60" w:line="219" w:lineRule="auto"/>
        <w:ind w:left="350"/>
      </w:pPr>
      <w:r>
        <w:rPr>
          <w:spacing w:val="1"/>
        </w:rPr>
        <w:t>塑限测定仪滑动部分质量要求见表1。</w:t>
      </w:r>
    </w:p>
    <w:p>
      <w:pPr>
        <w:spacing w:before="137" w:line="222" w:lineRule="auto"/>
        <w:ind w:left="2002"/>
        <w:rPr>
          <w:rFonts w:ascii="SimHei" w:eastAsia="SimHei" w:hAnsi="SimHei" w:cs="SimHei"/>
          <w:sz w:val="16"/>
          <w:szCs w:val="16"/>
        </w:rPr>
      </w:pPr>
      <w:r>
        <w:rPr>
          <w:rFonts w:ascii="SimHei" w:eastAsia="SimHei" w:hAnsi="SimHei" w:cs="SimHei"/>
          <w:b/>
          <w:bCs/>
          <w:spacing w:val="-17"/>
          <w:sz w:val="16"/>
          <w:szCs w:val="16"/>
        </w:rPr>
        <w:t>表1</w:t>
      </w:r>
      <w:r>
        <w:rPr>
          <w:rFonts w:ascii="SimHei" w:eastAsia="SimHei" w:hAnsi="SimHei" w:cs="SimHei"/>
          <w:spacing w:val="-17"/>
          <w:sz w:val="16"/>
          <w:szCs w:val="16"/>
        </w:rPr>
        <w:t xml:space="preserve">  </w:t>
      </w:r>
      <w:r>
        <w:rPr>
          <w:rFonts w:ascii="SimHei" w:eastAsia="SimHei" w:hAnsi="SimHei" w:cs="SimHei"/>
          <w:b/>
          <w:bCs/>
          <w:spacing w:val="-17"/>
          <w:sz w:val="16"/>
          <w:szCs w:val="16"/>
        </w:rPr>
        <w:t>塑限测定仪滑动部分质量要求</w:t>
      </w:r>
    </w:p>
    <w:tbl>
      <w:tblPr>
        <w:tblStyle w:val="TableNormal"/>
        <w:tblW w:w="600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13"/>
        <w:gridCol w:w="1417"/>
        <w:gridCol w:w="1058"/>
        <w:gridCol w:w="1058"/>
        <w:gridCol w:w="1063"/>
      </w:tblGrid>
      <w:tr>
        <w:tblPrEx>
          <w:tblW w:w="600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91"/>
        </w:trPr>
        <w:tc>
          <w:tcPr>
            <w:tcW w:w="1413" w:type="dxa"/>
            <w:tcBorders>
              <w:tl2br w:val="single" w:sz="4" w:space="0" w:color="000000"/>
            </w:tcBorders>
            <w:vAlign w:val="top"/>
          </w:tcPr>
          <w:p>
            <w:pPr>
              <w:pStyle w:val="TableText"/>
              <w:spacing w:before="140" w:line="206" w:lineRule="auto"/>
              <w:ind w:left="835"/>
            </w:pPr>
            <w:r>
              <w:t>类</w:t>
            </w:r>
          </w:p>
          <w:p>
            <w:pPr>
              <w:pStyle w:val="TableText"/>
              <w:spacing w:line="227" w:lineRule="auto"/>
              <w:ind w:left="1115"/>
            </w:pPr>
            <w:r>
              <w:t>型</w:t>
            </w:r>
          </w:p>
          <w:p>
            <w:pPr>
              <w:pStyle w:val="TableText"/>
              <w:spacing w:before="12" w:line="220" w:lineRule="auto"/>
              <w:ind w:left="135"/>
            </w:pPr>
            <w:r>
              <w:rPr>
                <w:spacing w:val="-3"/>
              </w:rPr>
              <w:t>项   目</w:t>
            </w:r>
          </w:p>
        </w:tc>
        <w:tc>
          <w:tcPr>
            <w:tcW w:w="1417" w:type="dxa"/>
            <w:vAlign w:val="top"/>
          </w:tcPr>
          <w:p>
            <w:pPr>
              <w:pStyle w:val="TableText"/>
              <w:spacing w:before="171" w:line="261" w:lineRule="auto"/>
              <w:ind w:left="142" w:right="152"/>
            </w:pPr>
            <w:r>
              <w:rPr>
                <w:spacing w:val="-1"/>
              </w:rPr>
              <w:t>水泥净浆标准稠度</w:t>
            </w:r>
            <w:r>
              <w:t xml:space="preserve"> </w:t>
            </w:r>
            <w:r>
              <w:rPr>
                <w:spacing w:val="-1"/>
              </w:rPr>
              <w:t>与凝结时间测定仪</w:t>
            </w:r>
          </w:p>
        </w:tc>
        <w:tc>
          <w:tcPr>
            <w:tcW w:w="1058" w:type="dxa"/>
            <w:vAlign w:val="top"/>
          </w:tcPr>
          <w:p>
            <w:pPr>
              <w:pStyle w:val="TableText"/>
              <w:spacing w:before="280" w:line="219" w:lineRule="auto"/>
              <w:ind w:left="175"/>
            </w:pPr>
            <w:r>
              <w:rPr>
                <w:spacing w:val="-1"/>
              </w:rPr>
              <w:t>砂浆稠度仪</w:t>
            </w:r>
          </w:p>
        </w:tc>
        <w:tc>
          <w:tcPr>
            <w:tcW w:w="1058" w:type="dxa"/>
            <w:vAlign w:val="top"/>
          </w:tcPr>
          <w:p>
            <w:pPr>
              <w:pStyle w:val="TableText"/>
              <w:spacing w:before="279" w:line="219" w:lineRule="auto"/>
              <w:ind w:left="107"/>
            </w:pPr>
            <w:r>
              <w:rPr>
                <w:spacing w:val="-1"/>
              </w:rPr>
              <w:t>沥青针入度仪</w:t>
            </w:r>
          </w:p>
        </w:tc>
        <w:tc>
          <w:tcPr>
            <w:tcW w:w="1063" w:type="dxa"/>
            <w:vAlign w:val="top"/>
          </w:tcPr>
          <w:p>
            <w:pPr>
              <w:pStyle w:val="TableText"/>
              <w:spacing w:before="181" w:line="219" w:lineRule="exact"/>
              <w:ind w:left="248"/>
            </w:pPr>
            <w:r>
              <w:rPr>
                <w:spacing w:val="-2"/>
                <w:position w:val="6"/>
              </w:rPr>
              <w:t>土壤液塑</w:t>
            </w:r>
          </w:p>
          <w:p>
            <w:pPr>
              <w:pStyle w:val="TableText"/>
              <w:spacing w:line="219" w:lineRule="auto"/>
              <w:ind w:left="248"/>
            </w:pPr>
            <w:r>
              <w:rPr>
                <w:spacing w:val="1"/>
              </w:rPr>
              <w:t>限测定仪</w:t>
            </w:r>
          </w:p>
        </w:tc>
      </w:tr>
    </w:tbl>
    <w:p>
      <w:pPr>
        <w:sectPr>
          <w:headerReference w:type="default" r:id="rId4"/>
          <w:footerReference w:type="default" r:id="rId5"/>
          <w:pgSz w:w="7200" w:h="10460"/>
          <w:pgMar w:top="510" w:right="579" w:bottom="857" w:left="409" w:header="297" w:footer="748" w:gutter="0"/>
          <w:cols w:space="708"/>
        </w:sectPr>
      </w:pPr>
    </w:p>
    <w:tbl>
      <w:tblPr>
        <w:tblStyle w:val="TableNormal0"/>
        <w:tblW w:w="600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13"/>
        <w:gridCol w:w="1417"/>
        <w:gridCol w:w="1058"/>
        <w:gridCol w:w="1058"/>
        <w:gridCol w:w="1063"/>
      </w:tblGrid>
      <w:tr>
        <w:tblPrEx>
          <w:tblW w:w="600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48"/>
        </w:trPr>
        <w:tc>
          <w:tcPr>
            <w:tcW w:w="1413" w:type="dxa"/>
            <w:vAlign w:val="top"/>
          </w:tcPr>
          <w:p>
            <w:pPr>
              <w:spacing w:line="253" w:lineRule="auto"/>
              <w:rPr>
                <w:rFonts w:ascii="Arial"/>
                <w:sz w:val="21"/>
              </w:rPr>
            </w:pPr>
          </w:p>
          <w:p>
            <w:pPr>
              <w:spacing w:line="253" w:lineRule="auto"/>
              <w:rPr>
                <w:rFonts w:ascii="Arial"/>
                <w:sz w:val="21"/>
              </w:rPr>
            </w:pPr>
          </w:p>
          <w:p>
            <w:pPr>
              <w:pStyle w:val="TableText"/>
              <w:spacing w:before="45" w:line="214" w:lineRule="auto"/>
              <w:ind w:left="205"/>
            </w:pPr>
            <w:r>
              <w:rPr>
                <w:spacing w:val="-1"/>
              </w:rPr>
              <w:t>滑动部分质量/g</w:t>
            </w:r>
          </w:p>
        </w:tc>
        <w:tc>
          <w:tcPr>
            <w:tcW w:w="1417" w:type="dxa"/>
            <w:vAlign w:val="top"/>
          </w:tcPr>
          <w:p>
            <w:pPr>
              <w:spacing w:line="261" w:lineRule="auto"/>
              <w:rPr>
                <w:rFonts w:ascii="Arial"/>
                <w:sz w:val="21"/>
              </w:rPr>
            </w:pPr>
          </w:p>
          <w:p>
            <w:pPr>
              <w:spacing w:line="262" w:lineRule="auto"/>
              <w:rPr>
                <w:rFonts w:ascii="Arial"/>
                <w:sz w:val="21"/>
              </w:rPr>
            </w:pPr>
          </w:p>
          <w:p>
            <w:pPr>
              <w:pStyle w:val="TableText"/>
              <w:spacing w:before="45" w:line="235" w:lineRule="auto"/>
              <w:ind w:left="492"/>
            </w:pPr>
            <w:r>
              <w:rPr>
                <w:spacing w:val="-2"/>
              </w:rPr>
              <w:t>300±1</w:t>
            </w:r>
          </w:p>
        </w:tc>
        <w:tc>
          <w:tcPr>
            <w:tcW w:w="1058" w:type="dxa"/>
            <w:vAlign w:val="top"/>
          </w:tcPr>
          <w:p>
            <w:pPr>
              <w:spacing w:line="261" w:lineRule="auto"/>
              <w:rPr>
                <w:rFonts w:ascii="Arial"/>
                <w:sz w:val="21"/>
              </w:rPr>
            </w:pPr>
          </w:p>
          <w:p>
            <w:pPr>
              <w:spacing w:line="262" w:lineRule="auto"/>
              <w:rPr>
                <w:rFonts w:ascii="Arial"/>
                <w:sz w:val="21"/>
              </w:rPr>
            </w:pPr>
          </w:p>
          <w:p>
            <w:pPr>
              <w:pStyle w:val="TableText"/>
              <w:spacing w:before="45" w:line="235" w:lineRule="auto"/>
              <w:ind w:left="315"/>
            </w:pPr>
            <w:r>
              <w:rPr>
                <w:spacing w:val="-2"/>
              </w:rPr>
              <w:t>300±1</w:t>
            </w:r>
          </w:p>
        </w:tc>
        <w:tc>
          <w:tcPr>
            <w:tcW w:w="1058" w:type="dxa"/>
            <w:vAlign w:val="top"/>
          </w:tcPr>
          <w:p>
            <w:pPr>
              <w:pStyle w:val="TableText"/>
              <w:spacing w:before="241" w:line="350" w:lineRule="exact"/>
              <w:ind w:left="247"/>
            </w:pPr>
            <w:r>
              <w:rPr>
                <w:spacing w:val="-2"/>
                <w:position w:val="16"/>
              </w:rPr>
              <w:t>50±0.05</w:t>
            </w:r>
          </w:p>
          <w:p>
            <w:pPr>
              <w:pStyle w:val="TableText"/>
              <w:spacing w:line="235" w:lineRule="auto"/>
              <w:ind w:left="207"/>
            </w:pPr>
            <w:r>
              <w:rPr>
                <w:spacing w:val="-2"/>
              </w:rPr>
              <w:t>100±0.05</w:t>
            </w:r>
          </w:p>
          <w:p>
            <w:pPr>
              <w:pStyle w:val="TableText"/>
              <w:spacing w:before="171" w:line="235" w:lineRule="auto"/>
              <w:ind w:left="207"/>
            </w:pPr>
            <w:r>
              <w:rPr>
                <w:spacing w:val="-1"/>
              </w:rPr>
              <w:t>200±0.05</w:t>
            </w:r>
          </w:p>
        </w:tc>
        <w:tc>
          <w:tcPr>
            <w:tcW w:w="1063" w:type="dxa"/>
            <w:vAlign w:val="top"/>
          </w:tcPr>
          <w:p>
            <w:pPr>
              <w:spacing w:line="363" w:lineRule="auto"/>
              <w:rPr>
                <w:rFonts w:ascii="Arial"/>
                <w:sz w:val="21"/>
              </w:rPr>
            </w:pPr>
          </w:p>
          <w:p>
            <w:pPr>
              <w:pStyle w:val="TableText"/>
              <w:spacing w:before="46" w:line="370" w:lineRule="exact"/>
              <w:ind w:left="279"/>
            </w:pPr>
            <w:r>
              <w:rPr>
                <w:spacing w:val="-2"/>
                <w:position w:val="18"/>
              </w:rPr>
              <w:t>76±0.2</w:t>
            </w:r>
          </w:p>
          <w:p>
            <w:pPr>
              <w:pStyle w:val="TableText"/>
              <w:spacing w:line="235" w:lineRule="auto"/>
              <w:ind w:left="248"/>
            </w:pPr>
            <w:r>
              <w:rPr>
                <w:spacing w:val="-3"/>
              </w:rPr>
              <w:t>100±0.2</w:t>
            </w:r>
          </w:p>
        </w:tc>
      </w:tr>
    </w:tbl>
    <w:p>
      <w:pPr>
        <w:spacing w:line="268" w:lineRule="auto"/>
        <w:rPr>
          <w:rFonts w:ascii="Arial"/>
          <w:sz w:val="21"/>
        </w:rPr>
      </w:pPr>
    </w:p>
    <w:p>
      <w:pPr>
        <w:pStyle w:val="BodyText"/>
        <w:spacing w:before="52" w:line="219" w:lineRule="auto"/>
      </w:pPr>
      <w:r>
        <w:rPr>
          <w:spacing w:val="-1"/>
        </w:rPr>
        <w:t>3.2  塑限测定仪压头</w:t>
      </w:r>
    </w:p>
    <w:p>
      <w:pPr>
        <w:pStyle w:val="BodyText"/>
        <w:spacing w:before="20" w:line="219" w:lineRule="auto"/>
      </w:pPr>
      <w:r>
        <w:rPr>
          <w:spacing w:val="2"/>
        </w:rPr>
        <w:t>3.2.1  水泥净浆标准稠度与凝结时间测定仪</w:t>
      </w:r>
      <w:r>
        <w:rPr>
          <w:spacing w:val="1"/>
        </w:rPr>
        <w:t>压头</w:t>
      </w:r>
    </w:p>
    <w:p>
      <w:pPr>
        <w:pStyle w:val="BodyText"/>
        <w:spacing w:before="69" w:line="219" w:lineRule="auto"/>
        <w:ind w:left="350"/>
      </w:pPr>
      <w:r>
        <w:rPr>
          <w:spacing w:val="4"/>
        </w:rPr>
        <w:t>水泥净浆标准稠度与凝结时间测定仪压头的几何形状和几何量要求见图1和表2。</w:t>
      </w:r>
    </w:p>
    <w:p>
      <w:pPr>
        <w:spacing w:line="219" w:lineRule="auto"/>
        <w:sectPr>
          <w:headerReference w:type="default" r:id="rId6"/>
          <w:footerReference w:type="default" r:id="rId7"/>
          <w:type w:val="nextPage"/>
          <w:pgSz w:w="7200" w:h="10460"/>
          <w:pgMar w:top="510" w:right="579" w:bottom="857" w:left="409" w:header="297" w:footer="748" w:gutter="0"/>
          <w:pgNumType w:start="2"/>
          <w:cols w:space="708"/>
          <w:titlePg w:val="0"/>
        </w:sectPr>
      </w:pPr>
    </w:p>
    <w:p>
      <w:pPr>
        <w:spacing w:line="376" w:lineRule="auto"/>
        <w:rPr>
          <w:rFonts w:ascii="Arial"/>
          <w:sz w:val="21"/>
        </w:rPr>
      </w:pPr>
      <w:r>
        <w:drawing>
          <wp:anchor distT="0" distB="0" distL="0" distR="0" simplePos="0" relativeHeight="251659264" behindDoc="0" locked="0" layoutInCell="0" allowOverlap="1">
            <wp:simplePos x="0" y="0"/>
            <wp:positionH relativeFrom="page">
              <wp:posOffset>2463814</wp:posOffset>
            </wp:positionH>
            <wp:positionV relativeFrom="page">
              <wp:posOffset>971541</wp:posOffset>
            </wp:positionV>
            <wp:extent cx="1162027" cy="1174737"/>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1162027" cy="1174737"/>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2559027</wp:posOffset>
            </wp:positionH>
            <wp:positionV relativeFrom="page">
              <wp:posOffset>2641620</wp:posOffset>
            </wp:positionV>
            <wp:extent cx="1536714" cy="1555697"/>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1536714" cy="1555697"/>
                    </a:xfrm>
                    <a:prstGeom prst="rect">
                      <a:avLst/>
                    </a:prstGeom>
                  </pic:spPr>
                </pic:pic>
              </a:graphicData>
            </a:graphic>
          </wp:anchor>
        </w:drawing>
      </w:r>
    </w:p>
    <w:p>
      <w:pPr>
        <w:pStyle w:val="BodyText"/>
        <w:spacing w:before="42" w:line="212" w:lineRule="auto"/>
        <w:ind w:left="2965"/>
        <w:rPr>
          <w:rFonts w:ascii="Times New Roman" w:eastAsia="Times New Roman" w:hAnsi="Times New Roman" w:cs="Times New Roman"/>
          <w:sz w:val="13"/>
          <w:szCs w:val="13"/>
        </w:rPr>
      </w:pPr>
      <w:r>
        <w:rPr>
          <w:spacing w:val="-2"/>
          <w:sz w:val="13"/>
          <w:szCs w:val="13"/>
        </w:rPr>
        <w:t>单位</w:t>
      </w:r>
      <w:r>
        <w:rPr>
          <w:spacing w:val="-29"/>
          <w:sz w:val="13"/>
          <w:szCs w:val="13"/>
        </w:rPr>
        <w:t xml:space="preserve"> </w:t>
      </w:r>
      <w:r>
        <w:rPr>
          <w:rFonts w:ascii="Times New Roman" w:eastAsia="Times New Roman" w:hAnsi="Times New Roman" w:cs="Times New Roman"/>
          <w:spacing w:val="-2"/>
          <w:sz w:val="13"/>
          <w:szCs w:val="13"/>
        </w:rPr>
        <w:t>(mm)</w:t>
      </w:r>
    </w:p>
    <w:p>
      <w:pPr>
        <w:pStyle w:val="BodyText"/>
        <w:spacing w:line="1960" w:lineRule="exact"/>
        <w:ind w:firstLine="1175"/>
      </w:pPr>
      <w:r>
        <w:rPr>
          <w:position w:val="-39"/>
        </w:rPr>
        <w:pict>
          <v:group id="_x0000_i1025" style="width:76pt;height:98.05pt;mso-position-horizontal-relative:char;mso-position-vertical-relative:line" coordorigin="0,0" coordsize="1520,196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20;height:1961;position:absolute" filled="f" stroked="f">
              <v:imagedata r:id="rId10" o:title=""/>
            </v:shape>
            <v:shapetype id="_x0000_t202" coordsize="21600,21600" o:spt="202" path="m,l,21600r21600,l21600,xe">
              <v:stroke joinstyle="miter"/>
              <v:path gradientshapeok="t" o:connecttype="rect"/>
            </v:shapetype>
            <v:shape id="_x0000_s1027" type="#_x0000_t202" style="width:1560;height:2001;left:-20;position:absolute;top:-20" filled="f" stroked="f">
              <o:lock v:ext="edit" aspectratio="f"/>
              <v:textbox inset="0,0,0,0">
                <w:txbxContent>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43" w:line="200" w:lineRule="auto"/>
                      <w:ind w:left="219"/>
                      <w:rPr>
                        <w:rFonts w:ascii="SimSun" w:eastAsia="SimSun" w:hAnsi="SimSun" w:cs="SimSun"/>
                        <w:sz w:val="13"/>
                        <w:szCs w:val="13"/>
                      </w:rPr>
                    </w:pPr>
                    <w:r>
                      <w:rPr>
                        <w:rFonts w:ascii="SimSun" w:eastAsia="SimSun" w:hAnsi="SimSun" w:cs="SimSun"/>
                        <w:spacing w:val="-4"/>
                        <w:sz w:val="13"/>
                        <w:szCs w:val="13"/>
                      </w:rPr>
                      <w:t>φ10+0.05</w:t>
                    </w:r>
                  </w:p>
                  <w:p>
                    <w:pPr>
                      <w:spacing w:line="235" w:lineRule="auto"/>
                      <w:ind w:left="1189"/>
                      <w:rPr>
                        <w:rFonts w:ascii="SimSun" w:eastAsia="SimSun" w:hAnsi="SimSun" w:cs="SimSun"/>
                        <w:sz w:val="13"/>
                        <w:szCs w:val="13"/>
                      </w:rPr>
                    </w:pPr>
                    <w:r>
                      <w:rPr>
                        <w:rFonts w:ascii="SimSun" w:eastAsia="SimSun" w:hAnsi="SimSun" w:cs="SimSun"/>
                        <w:spacing w:val="-2"/>
                        <w:sz w:val="13"/>
                        <w:szCs w:val="13"/>
                      </w:rPr>
                      <w:t>50±1</w:t>
                    </w:r>
                  </w:p>
                </w:txbxContent>
              </v:textbox>
            </v:shape>
            <w10:wrap type="none"/>
          </v:group>
        </w:pict>
      </w:r>
    </w:p>
    <w:p>
      <w:pPr>
        <w:pStyle w:val="BodyText"/>
        <w:spacing w:before="230" w:line="226" w:lineRule="auto"/>
        <w:ind w:left="1374"/>
        <w:rPr>
          <w:sz w:val="13"/>
          <w:szCs w:val="13"/>
        </w:rPr>
      </w:pPr>
      <w:r>
        <w:rPr>
          <w:rFonts w:ascii="Times New Roman" w:eastAsia="Times New Roman" w:hAnsi="Times New Roman" w:cs="Times New Roman"/>
          <w:spacing w:val="-1"/>
          <w:sz w:val="13"/>
          <w:szCs w:val="13"/>
        </w:rPr>
        <w:t>(a)</w:t>
      </w:r>
      <w:r>
        <w:rPr>
          <w:rFonts w:ascii="Times New Roman" w:eastAsia="Times New Roman" w:hAnsi="Times New Roman" w:cs="Times New Roman"/>
          <w:spacing w:val="16"/>
          <w:sz w:val="13"/>
          <w:szCs w:val="13"/>
        </w:rPr>
        <w:t xml:space="preserve">  </w:t>
      </w:r>
      <w:r>
        <w:rPr>
          <w:spacing w:val="-1"/>
          <w:sz w:val="13"/>
          <w:szCs w:val="13"/>
        </w:rPr>
        <w:t xml:space="preserve">标准稠度试杆                        </w:t>
      </w:r>
      <w:r>
        <w:rPr>
          <w:rFonts w:ascii="Times New Roman" w:eastAsia="Times New Roman" w:hAnsi="Times New Roman" w:cs="Times New Roman"/>
          <w:spacing w:val="-1"/>
          <w:sz w:val="13"/>
          <w:szCs w:val="13"/>
        </w:rPr>
        <w:t xml:space="preserve">(b)  </w:t>
      </w:r>
      <w:r>
        <w:rPr>
          <w:spacing w:val="-1"/>
          <w:sz w:val="13"/>
          <w:szCs w:val="13"/>
        </w:rPr>
        <w:t>初凝用试针</w:t>
      </w:r>
    </w:p>
    <w:p>
      <w:pPr>
        <w:spacing w:line="347" w:lineRule="auto"/>
        <w:rPr>
          <w:rFonts w:ascii="Arial"/>
          <w:sz w:val="21"/>
        </w:rPr>
      </w:pPr>
    </w:p>
    <w:p>
      <w:pPr>
        <w:spacing w:line="2690" w:lineRule="exact"/>
        <w:ind w:firstLine="365"/>
      </w:pPr>
      <w:r>
        <w:rPr>
          <w:position w:val="-53"/>
        </w:rPr>
        <w:drawing>
          <wp:inline distT="0" distB="0" distL="0" distR="0">
            <wp:extent cx="1720836" cy="170816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1"/>
                    <a:stretch>
                      <a:fillRect/>
                    </a:stretch>
                  </pic:blipFill>
                  <pic:spPr>
                    <a:xfrm>
                      <a:off x="0" y="0"/>
                      <a:ext cx="1720836" cy="1708161"/>
                    </a:xfrm>
                    <a:prstGeom prst="rect">
                      <a:avLst/>
                    </a:prstGeom>
                  </pic:spPr>
                </pic:pic>
              </a:graphicData>
            </a:graphic>
          </wp:inline>
        </w:drawing>
      </w:r>
    </w:p>
    <w:p>
      <w:pPr>
        <w:pStyle w:val="BodyText"/>
        <w:spacing w:before="250" w:line="212" w:lineRule="auto"/>
        <w:ind w:left="1065"/>
        <w:rPr>
          <w:sz w:val="13"/>
          <w:szCs w:val="13"/>
        </w:rPr>
      </w:pPr>
      <w:r>
        <w:rPr>
          <w:spacing w:val="-3"/>
          <w:sz w:val="13"/>
          <w:szCs w:val="13"/>
        </w:rPr>
        <w:t>(c)</w:t>
      </w:r>
      <w:r>
        <w:rPr>
          <w:spacing w:val="-23"/>
          <w:sz w:val="13"/>
          <w:szCs w:val="13"/>
        </w:rPr>
        <w:t xml:space="preserve"> </w:t>
      </w:r>
      <w:r>
        <w:rPr>
          <w:spacing w:val="-3"/>
          <w:sz w:val="13"/>
          <w:szCs w:val="13"/>
        </w:rPr>
        <w:t>终凝用试针</w:t>
      </w:r>
      <w:r>
        <w:rPr>
          <w:spacing w:val="1"/>
          <w:sz w:val="13"/>
          <w:szCs w:val="13"/>
        </w:rPr>
        <w:t xml:space="preserve">                               </w:t>
      </w:r>
      <w:r>
        <w:rPr>
          <w:sz w:val="13"/>
          <w:szCs w:val="13"/>
        </w:rPr>
        <w:t xml:space="preserve">      </w:t>
      </w:r>
      <w:r>
        <w:rPr>
          <w:rFonts w:ascii="Times New Roman" w:eastAsia="Times New Roman" w:hAnsi="Times New Roman" w:cs="Times New Roman"/>
          <w:spacing w:val="-3"/>
          <w:sz w:val="13"/>
          <w:szCs w:val="13"/>
        </w:rPr>
        <w:t xml:space="preserve">(d)  </w:t>
      </w:r>
      <w:r>
        <w:rPr>
          <w:spacing w:val="-3"/>
          <w:sz w:val="13"/>
          <w:szCs w:val="13"/>
        </w:rPr>
        <w:t>试锥</w:t>
      </w:r>
    </w:p>
    <w:p>
      <w:pPr>
        <w:spacing w:line="291" w:lineRule="auto"/>
        <w:rPr>
          <w:rFonts w:ascii="Arial"/>
          <w:sz w:val="21"/>
        </w:rPr>
      </w:pPr>
    </w:p>
    <w:p>
      <w:pPr>
        <w:pStyle w:val="BodyText"/>
        <w:spacing w:before="43" w:line="219" w:lineRule="auto"/>
        <w:ind w:left="1444"/>
        <w:rPr>
          <w:sz w:val="13"/>
          <w:szCs w:val="13"/>
        </w:rPr>
      </w:pPr>
      <w:r>
        <w:rPr>
          <w:spacing w:val="8"/>
          <w:sz w:val="13"/>
          <w:szCs w:val="13"/>
        </w:rPr>
        <w:t>图 1  水泥净浆标准稠度与凝结时间测定仪压头示意图</w:t>
      </w:r>
    </w:p>
    <w:p>
      <w:pPr>
        <w:spacing w:before="243" w:line="221" w:lineRule="auto"/>
        <w:ind w:left="1226"/>
        <w:rPr>
          <w:rFonts w:ascii="SimHei" w:eastAsia="SimHei" w:hAnsi="SimHei" w:cs="SimHei"/>
          <w:sz w:val="13"/>
          <w:szCs w:val="13"/>
        </w:rPr>
      </w:pPr>
      <w:r>
        <w:rPr>
          <w:rFonts w:ascii="SimHei" w:eastAsia="SimHei" w:hAnsi="SimHei" w:cs="SimHei"/>
          <w:b/>
          <w:bCs/>
          <w:spacing w:val="9"/>
          <w:sz w:val="13"/>
          <w:szCs w:val="13"/>
        </w:rPr>
        <w:t>表</w:t>
      </w:r>
      <w:r>
        <w:rPr>
          <w:rFonts w:ascii="SimHei" w:eastAsia="SimHei" w:hAnsi="SimHei" w:cs="SimHei"/>
          <w:spacing w:val="-14"/>
          <w:sz w:val="13"/>
          <w:szCs w:val="13"/>
        </w:rPr>
        <w:t xml:space="preserve"> </w:t>
      </w:r>
      <w:r>
        <w:rPr>
          <w:rFonts w:ascii="SimHei" w:eastAsia="SimHei" w:hAnsi="SimHei" w:cs="SimHei"/>
          <w:b/>
          <w:bCs/>
          <w:spacing w:val="9"/>
          <w:sz w:val="13"/>
          <w:szCs w:val="13"/>
        </w:rPr>
        <w:t>2</w:t>
      </w:r>
      <w:r>
        <w:rPr>
          <w:rFonts w:ascii="SimHei" w:eastAsia="SimHei" w:hAnsi="SimHei" w:cs="SimHei"/>
          <w:spacing w:val="3"/>
          <w:sz w:val="13"/>
          <w:szCs w:val="13"/>
        </w:rPr>
        <w:t xml:space="preserve">  </w:t>
      </w:r>
      <w:r>
        <w:rPr>
          <w:rFonts w:ascii="SimHei" w:eastAsia="SimHei" w:hAnsi="SimHei" w:cs="SimHei"/>
          <w:b/>
          <w:bCs/>
          <w:spacing w:val="9"/>
          <w:sz w:val="13"/>
          <w:szCs w:val="13"/>
        </w:rPr>
        <w:t>水泥净浆标准稠度与凝结时间测定仪压头的几何量要求</w:t>
      </w:r>
    </w:p>
    <w:p>
      <w:pPr>
        <w:spacing w:line="67" w:lineRule="exact"/>
        <w:sectPr>
          <w:headerReference w:type="default" r:id="rId12"/>
          <w:footerReference w:type="default" r:id="rId13"/>
          <w:pgSz w:w="7300" w:h="10540"/>
          <w:pgMar w:top="779" w:right="469" w:bottom="671" w:left="604" w:header="582" w:footer="542" w:gutter="0"/>
          <w:pgNumType w:start="3"/>
          <w:cols w:space="708"/>
        </w:sectPr>
      </w:pPr>
    </w:p>
    <w:tbl>
      <w:tblPr>
        <w:tblStyle w:val="TableNormal1"/>
        <w:tblW w:w="61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94"/>
        <w:gridCol w:w="988"/>
        <w:gridCol w:w="998"/>
        <w:gridCol w:w="989"/>
        <w:gridCol w:w="988"/>
        <w:gridCol w:w="1223"/>
      </w:tblGrid>
      <w:tr>
        <w:tblPrEx>
          <w:tblW w:w="61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42"/>
        </w:trPr>
        <w:tc>
          <w:tcPr>
            <w:tcW w:w="994" w:type="dxa"/>
            <w:tcBorders>
              <w:tl2br w:val="single" w:sz="4" w:space="0" w:color="000000"/>
            </w:tcBorders>
            <w:vAlign w:val="top"/>
          </w:tcPr>
          <w:p>
            <w:pPr>
              <w:pStyle w:val="TableText"/>
              <w:spacing w:before="10" w:line="172" w:lineRule="auto"/>
              <w:ind w:left="415"/>
            </w:pPr>
            <w:r>
              <w:t>几</w:t>
            </w:r>
          </w:p>
          <w:p>
            <w:pPr>
              <w:pStyle w:val="TableText"/>
              <w:spacing w:line="161" w:lineRule="auto"/>
              <w:ind w:left="574"/>
            </w:pPr>
            <w:r>
              <w:t>何</w:t>
            </w:r>
          </w:p>
          <w:p>
            <w:pPr>
              <w:pStyle w:val="TableText"/>
              <w:spacing w:line="171" w:lineRule="auto"/>
              <w:ind w:left="765"/>
            </w:pPr>
            <w:r>
              <w:t>量</w:t>
            </w:r>
          </w:p>
          <w:p>
            <w:pPr>
              <w:pStyle w:val="TableText"/>
              <w:spacing w:line="183" w:lineRule="auto"/>
              <w:ind w:left="55"/>
            </w:pPr>
            <w:r>
              <w:rPr>
                <w:spacing w:val="-2"/>
              </w:rPr>
              <w:t>压头类型</w:t>
            </w:r>
          </w:p>
        </w:tc>
        <w:tc>
          <w:tcPr>
            <w:tcW w:w="988" w:type="dxa"/>
            <w:vAlign w:val="top"/>
          </w:tcPr>
          <w:p>
            <w:pPr>
              <w:pStyle w:val="TableText"/>
              <w:spacing w:before="201" w:line="220" w:lineRule="auto"/>
              <w:ind w:left="101"/>
            </w:pPr>
            <w:r>
              <w:rPr>
                <w:spacing w:val="-1"/>
              </w:rPr>
              <w:t>有效长度/mm</w:t>
            </w:r>
          </w:p>
        </w:tc>
        <w:tc>
          <w:tcPr>
            <w:tcW w:w="998" w:type="dxa"/>
            <w:vAlign w:val="top"/>
          </w:tcPr>
          <w:p>
            <w:pPr>
              <w:pStyle w:val="TableText"/>
              <w:spacing w:before="200" w:line="219" w:lineRule="auto"/>
              <w:ind w:left="243"/>
            </w:pPr>
            <w:r>
              <w:rPr>
                <w:spacing w:val="-2"/>
              </w:rPr>
              <w:t>直径/mm</w:t>
            </w:r>
          </w:p>
        </w:tc>
        <w:tc>
          <w:tcPr>
            <w:tcW w:w="989" w:type="dxa"/>
            <w:vAlign w:val="top"/>
          </w:tcPr>
          <w:p>
            <w:pPr>
              <w:pStyle w:val="TableText"/>
              <w:spacing w:before="199" w:line="219" w:lineRule="auto"/>
              <w:ind w:left="205"/>
            </w:pPr>
            <w:r>
              <w:rPr>
                <w:spacing w:val="1"/>
              </w:rPr>
              <w:t>圆锥角/(</w:t>
            </w:r>
          </w:p>
        </w:tc>
        <w:tc>
          <w:tcPr>
            <w:tcW w:w="988" w:type="dxa"/>
            <w:vAlign w:val="top"/>
          </w:tcPr>
          <w:p>
            <w:pPr>
              <w:pStyle w:val="TableText"/>
              <w:spacing w:before="200" w:line="219" w:lineRule="auto"/>
              <w:ind w:left="245"/>
            </w:pPr>
            <w:r>
              <w:rPr>
                <w:spacing w:val="-2"/>
              </w:rPr>
              <w:t>高度/mm</w:t>
            </w:r>
          </w:p>
        </w:tc>
        <w:tc>
          <w:tcPr>
            <w:tcW w:w="1223" w:type="dxa"/>
            <w:vAlign w:val="top"/>
          </w:tcPr>
          <w:p>
            <w:pPr>
              <w:pStyle w:val="TableText"/>
              <w:spacing w:before="100" w:line="230" w:lineRule="exact"/>
              <w:ind w:left="258"/>
            </w:pPr>
            <w:r>
              <w:rPr>
                <w:spacing w:val="-1"/>
                <w:position w:val="6"/>
              </w:rPr>
              <w:t>表面粗糙度</w:t>
            </w:r>
          </w:p>
          <w:p>
            <w:pPr>
              <w:pStyle w:val="TableText"/>
              <w:spacing w:line="219" w:lineRule="auto"/>
              <w:ind w:left="358"/>
            </w:pPr>
            <w:r>
              <w:rPr>
                <w:spacing w:val="-1"/>
              </w:rPr>
              <w:t>R</w:t>
            </w:r>
            <w:r>
              <w:rPr>
                <w:rFonts w:ascii="Calibri" w:eastAsia="Calibri" w:hAnsi="Calibri" w:cs="Calibri"/>
                <w:spacing w:val="-1"/>
              </w:rPr>
              <w:t>₄</w:t>
            </w:r>
            <w:r>
              <w:rPr>
                <w:spacing w:val="-1"/>
              </w:rPr>
              <w:t>/μm</w:t>
            </w:r>
          </w:p>
        </w:tc>
      </w:tr>
      <w:tr>
        <w:tblPrEx>
          <w:tblW w:w="6180" w:type="dxa"/>
          <w:tblInd w:w="5" w:type="dxa"/>
          <w:tblLayout w:type="fixed"/>
        </w:tblPrEx>
        <w:trPr>
          <w:trHeight w:val="268"/>
        </w:trPr>
        <w:tc>
          <w:tcPr>
            <w:tcW w:w="994" w:type="dxa"/>
            <w:vAlign w:val="top"/>
          </w:tcPr>
          <w:p>
            <w:pPr>
              <w:pStyle w:val="TableText"/>
              <w:spacing w:before="68" w:line="219" w:lineRule="auto"/>
              <w:ind w:left="65"/>
            </w:pPr>
            <w:r>
              <w:rPr>
                <w:spacing w:val="-1"/>
              </w:rPr>
              <w:t>标准稠度试杆</w:t>
            </w:r>
          </w:p>
        </w:tc>
        <w:tc>
          <w:tcPr>
            <w:tcW w:w="988" w:type="dxa"/>
            <w:vAlign w:val="top"/>
          </w:tcPr>
          <w:p>
            <w:pPr>
              <w:pStyle w:val="TableText"/>
              <w:spacing w:before="80" w:line="234" w:lineRule="auto"/>
              <w:ind w:left="310"/>
            </w:pPr>
            <w:r>
              <w:rPr>
                <w:spacing w:val="-2"/>
              </w:rPr>
              <w:t>50±1</w:t>
            </w:r>
          </w:p>
        </w:tc>
        <w:tc>
          <w:tcPr>
            <w:tcW w:w="998" w:type="dxa"/>
            <w:vAlign w:val="top"/>
          </w:tcPr>
          <w:p>
            <w:pPr>
              <w:pStyle w:val="TableText"/>
              <w:spacing w:before="80" w:line="234" w:lineRule="auto"/>
              <w:ind w:left="172"/>
            </w:pPr>
            <w:r>
              <w:rPr>
                <w:spacing w:val="-1"/>
              </w:rPr>
              <w:t>+10±0.05</w:t>
            </w:r>
          </w:p>
        </w:tc>
        <w:tc>
          <w:tcPr>
            <w:tcW w:w="989" w:type="dxa"/>
            <w:vAlign w:val="top"/>
          </w:tcPr>
          <w:p>
            <w:pPr>
              <w:rPr>
                <w:rFonts w:ascii="Arial"/>
                <w:sz w:val="21"/>
              </w:rPr>
            </w:pPr>
          </w:p>
        </w:tc>
        <w:tc>
          <w:tcPr>
            <w:tcW w:w="988" w:type="dxa"/>
            <w:vAlign w:val="top"/>
          </w:tcPr>
          <w:p>
            <w:pPr>
              <w:rPr>
                <w:rFonts w:ascii="Arial"/>
                <w:sz w:val="21"/>
              </w:rPr>
            </w:pPr>
          </w:p>
        </w:tc>
        <w:tc>
          <w:tcPr>
            <w:tcW w:w="1223" w:type="dxa"/>
            <w:vAlign w:val="top"/>
          </w:tcPr>
          <w:p>
            <w:pPr>
              <w:pStyle w:val="TableText"/>
              <w:spacing w:before="104" w:line="184" w:lineRule="auto"/>
              <w:ind w:left="498"/>
            </w:pPr>
            <w:r>
              <w:rPr>
                <w:spacing w:val="-4"/>
              </w:rPr>
              <w:t>1.6</w:t>
            </w:r>
          </w:p>
        </w:tc>
      </w:tr>
      <w:tr>
        <w:tblPrEx>
          <w:tblW w:w="6180" w:type="dxa"/>
          <w:tblInd w:w="5" w:type="dxa"/>
          <w:tblLayout w:type="fixed"/>
        </w:tblPrEx>
        <w:trPr>
          <w:trHeight w:val="278"/>
        </w:trPr>
        <w:tc>
          <w:tcPr>
            <w:tcW w:w="994" w:type="dxa"/>
            <w:vAlign w:val="top"/>
          </w:tcPr>
          <w:p>
            <w:pPr>
              <w:pStyle w:val="TableText"/>
              <w:spacing w:before="71" w:line="221" w:lineRule="auto"/>
              <w:ind w:left="135"/>
            </w:pPr>
            <w:r>
              <w:rPr>
                <w:spacing w:val="-1"/>
              </w:rPr>
              <w:t>初凝用试针</w:t>
            </w:r>
          </w:p>
        </w:tc>
        <w:tc>
          <w:tcPr>
            <w:tcW w:w="988" w:type="dxa"/>
            <w:vAlign w:val="top"/>
          </w:tcPr>
          <w:p>
            <w:pPr>
              <w:pStyle w:val="TableText"/>
              <w:spacing w:before="82" w:line="235" w:lineRule="auto"/>
              <w:ind w:left="310"/>
            </w:pPr>
            <w:r>
              <w:rPr>
                <w:spacing w:val="-2"/>
              </w:rPr>
              <w:t>50±1</w:t>
            </w:r>
          </w:p>
        </w:tc>
        <w:tc>
          <w:tcPr>
            <w:tcW w:w="998" w:type="dxa"/>
            <w:vAlign w:val="top"/>
          </w:tcPr>
          <w:p>
            <w:pPr>
              <w:pStyle w:val="TableText"/>
              <w:spacing w:before="67" w:line="214" w:lineRule="auto"/>
              <w:ind w:left="102"/>
            </w:pPr>
            <w:r>
              <w:rPr>
                <w:spacing w:val="-1"/>
              </w:rPr>
              <w:t>p1.13±0.05</w:t>
            </w:r>
          </w:p>
        </w:tc>
        <w:tc>
          <w:tcPr>
            <w:tcW w:w="989" w:type="dxa"/>
            <w:vAlign w:val="top"/>
          </w:tcPr>
          <w:p>
            <w:pPr>
              <w:rPr>
                <w:rFonts w:ascii="Arial"/>
                <w:sz w:val="21"/>
              </w:rPr>
            </w:pPr>
          </w:p>
        </w:tc>
        <w:tc>
          <w:tcPr>
            <w:tcW w:w="988" w:type="dxa"/>
            <w:vAlign w:val="top"/>
          </w:tcPr>
          <w:p>
            <w:pPr>
              <w:rPr>
                <w:rFonts w:ascii="Arial"/>
                <w:sz w:val="21"/>
              </w:rPr>
            </w:pPr>
          </w:p>
        </w:tc>
        <w:tc>
          <w:tcPr>
            <w:tcW w:w="1223" w:type="dxa"/>
            <w:vAlign w:val="top"/>
          </w:tcPr>
          <w:p>
            <w:pPr>
              <w:pStyle w:val="TableText"/>
              <w:spacing w:before="106" w:line="184" w:lineRule="auto"/>
              <w:ind w:left="498"/>
            </w:pPr>
            <w:r>
              <w:rPr>
                <w:spacing w:val="-4"/>
              </w:rPr>
              <w:t>1.6</w:t>
            </w:r>
          </w:p>
        </w:tc>
      </w:tr>
      <w:tr>
        <w:tblPrEx>
          <w:tblW w:w="6180" w:type="dxa"/>
          <w:tblInd w:w="5" w:type="dxa"/>
          <w:tblLayout w:type="fixed"/>
        </w:tblPrEx>
        <w:trPr>
          <w:trHeight w:val="258"/>
        </w:trPr>
        <w:tc>
          <w:tcPr>
            <w:tcW w:w="994" w:type="dxa"/>
            <w:vAlign w:val="top"/>
          </w:tcPr>
          <w:p>
            <w:pPr>
              <w:pStyle w:val="TableText"/>
              <w:spacing w:before="63" w:line="221" w:lineRule="auto"/>
              <w:ind w:left="135"/>
            </w:pPr>
            <w:r>
              <w:rPr>
                <w:spacing w:val="-2"/>
              </w:rPr>
              <w:t>终凝用试针</w:t>
            </w:r>
          </w:p>
        </w:tc>
        <w:tc>
          <w:tcPr>
            <w:tcW w:w="988" w:type="dxa"/>
            <w:vAlign w:val="top"/>
          </w:tcPr>
          <w:p>
            <w:pPr>
              <w:pStyle w:val="TableText"/>
              <w:spacing w:before="74" w:line="229" w:lineRule="auto"/>
              <w:ind w:left="310"/>
            </w:pPr>
            <w:r>
              <w:rPr>
                <w:spacing w:val="-2"/>
              </w:rPr>
              <w:t>30±1</w:t>
            </w:r>
          </w:p>
        </w:tc>
        <w:tc>
          <w:tcPr>
            <w:tcW w:w="998" w:type="dxa"/>
            <w:vAlign w:val="top"/>
          </w:tcPr>
          <w:p>
            <w:pPr>
              <w:pStyle w:val="TableText"/>
              <w:spacing w:before="74" w:line="229" w:lineRule="auto"/>
              <w:ind w:left="102"/>
            </w:pPr>
            <w:r>
              <w:rPr>
                <w:spacing w:val="-1"/>
              </w:rPr>
              <w:t>+1.13±0.05</w:t>
            </w:r>
          </w:p>
        </w:tc>
        <w:tc>
          <w:tcPr>
            <w:tcW w:w="989" w:type="dxa"/>
            <w:vAlign w:val="top"/>
          </w:tcPr>
          <w:p>
            <w:pPr>
              <w:rPr>
                <w:rFonts w:ascii="Arial"/>
                <w:sz w:val="21"/>
              </w:rPr>
            </w:pPr>
          </w:p>
        </w:tc>
        <w:tc>
          <w:tcPr>
            <w:tcW w:w="988" w:type="dxa"/>
            <w:vAlign w:val="top"/>
          </w:tcPr>
          <w:p>
            <w:pPr>
              <w:rPr>
                <w:rFonts w:ascii="Arial"/>
                <w:sz w:val="21"/>
              </w:rPr>
            </w:pPr>
          </w:p>
        </w:tc>
        <w:tc>
          <w:tcPr>
            <w:tcW w:w="1223" w:type="dxa"/>
            <w:vAlign w:val="top"/>
          </w:tcPr>
          <w:p>
            <w:pPr>
              <w:pStyle w:val="TableText"/>
              <w:spacing w:before="98" w:line="184" w:lineRule="auto"/>
              <w:ind w:left="498"/>
            </w:pPr>
            <w:r>
              <w:rPr>
                <w:spacing w:val="-4"/>
              </w:rPr>
              <w:t>1.6</w:t>
            </w:r>
          </w:p>
        </w:tc>
      </w:tr>
      <w:tr>
        <w:tblPrEx>
          <w:tblW w:w="6180" w:type="dxa"/>
          <w:tblInd w:w="5" w:type="dxa"/>
          <w:tblLayout w:type="fixed"/>
        </w:tblPrEx>
        <w:trPr>
          <w:trHeight w:val="273"/>
        </w:trPr>
        <w:tc>
          <w:tcPr>
            <w:tcW w:w="994" w:type="dxa"/>
            <w:vAlign w:val="top"/>
          </w:tcPr>
          <w:p>
            <w:pPr>
              <w:pStyle w:val="TableText"/>
              <w:spacing w:before="75" w:line="220" w:lineRule="auto"/>
              <w:ind w:left="345"/>
            </w:pPr>
            <w:r>
              <w:rPr>
                <w:spacing w:val="-2"/>
              </w:rPr>
              <w:t>试锥</w:t>
            </w:r>
          </w:p>
        </w:tc>
        <w:tc>
          <w:tcPr>
            <w:tcW w:w="988" w:type="dxa"/>
            <w:vAlign w:val="top"/>
          </w:tcPr>
          <w:p>
            <w:pPr>
              <w:rPr>
                <w:rFonts w:ascii="Arial"/>
                <w:sz w:val="21"/>
              </w:rPr>
            </w:pPr>
          </w:p>
        </w:tc>
        <w:tc>
          <w:tcPr>
            <w:tcW w:w="998" w:type="dxa"/>
            <w:vAlign w:val="top"/>
          </w:tcPr>
          <w:p>
            <w:pPr>
              <w:pStyle w:val="TableText"/>
              <w:spacing w:before="147" w:line="55" w:lineRule="exact"/>
              <w:ind w:left="373"/>
              <w:rPr>
                <w:sz w:val="8"/>
                <w:szCs w:val="8"/>
              </w:rPr>
            </w:pPr>
            <w:r>
              <w:rPr>
                <w:spacing w:val="-1"/>
                <w:position w:val="-1"/>
                <w:sz w:val="8"/>
                <w:szCs w:val="8"/>
              </w:rPr>
              <w:t>———</w:t>
            </w:r>
          </w:p>
        </w:tc>
        <w:tc>
          <w:tcPr>
            <w:tcW w:w="989" w:type="dxa"/>
            <w:vAlign w:val="top"/>
          </w:tcPr>
          <w:p>
            <w:pPr>
              <w:pStyle w:val="TableText"/>
              <w:spacing w:before="86" w:line="233" w:lineRule="auto"/>
              <w:ind w:left="175"/>
            </w:pPr>
            <w:r>
              <w:rPr>
                <w:spacing w:val="-1"/>
              </w:rPr>
              <w:t>43.6±0.2</w:t>
            </w:r>
          </w:p>
        </w:tc>
        <w:tc>
          <w:tcPr>
            <w:tcW w:w="988" w:type="dxa"/>
            <w:vAlign w:val="top"/>
          </w:tcPr>
          <w:p>
            <w:pPr>
              <w:pStyle w:val="TableText"/>
              <w:spacing w:before="86" w:line="233" w:lineRule="auto"/>
              <w:ind w:left="245"/>
            </w:pPr>
            <w:r>
              <w:rPr>
                <w:spacing w:val="-2"/>
              </w:rPr>
              <w:t>50±0.5</w:t>
            </w:r>
          </w:p>
        </w:tc>
        <w:tc>
          <w:tcPr>
            <w:tcW w:w="1223" w:type="dxa"/>
            <w:vAlign w:val="top"/>
          </w:tcPr>
          <w:p>
            <w:pPr>
              <w:pStyle w:val="TableText"/>
              <w:spacing w:before="110" w:line="184" w:lineRule="auto"/>
              <w:ind w:left="498"/>
            </w:pPr>
            <w:r>
              <w:rPr>
                <w:spacing w:val="-4"/>
              </w:rPr>
              <w:t>1.6</w:t>
            </w:r>
          </w:p>
        </w:tc>
      </w:tr>
    </w:tbl>
    <w:p>
      <w:pPr>
        <w:spacing w:line="84" w:lineRule="exact"/>
        <w:rPr>
          <w:rFonts w:ascii="Arial"/>
          <w:sz w:val="7"/>
        </w:rPr>
      </w:pPr>
    </w:p>
    <w:p>
      <w:pPr>
        <w:spacing w:line="84" w:lineRule="exact"/>
        <w:rPr>
          <w:rFonts w:ascii="Arial" w:eastAsia="Arial" w:hAnsi="Arial" w:cs="Arial"/>
          <w:sz w:val="7"/>
          <w:szCs w:val="7"/>
        </w:rPr>
        <w:sectPr>
          <w:headerReference w:type="default" r:id="rId14"/>
          <w:footerReference w:type="default" r:id="rId15"/>
          <w:type w:val="nextPage"/>
          <w:pgSz w:w="7300" w:h="10540"/>
          <w:pgMar w:top="779" w:right="469" w:bottom="671" w:left="604" w:header="582" w:footer="542" w:gutter="0"/>
          <w:pgNumType w:start="4"/>
          <w:cols w:space="708"/>
          <w:titlePg w:val="0"/>
        </w:sectPr>
      </w:pPr>
    </w:p>
    <w:p>
      <w:pPr>
        <w:pStyle w:val="BodyText"/>
        <w:spacing w:before="238" w:line="219" w:lineRule="auto"/>
      </w:pPr>
      <w:r>
        <w:rPr>
          <w:spacing w:val="-2"/>
        </w:rPr>
        <w:t>3.2.2  砂浆稠度仪压头</w:t>
      </w:r>
    </w:p>
    <w:p>
      <w:pPr>
        <w:pStyle w:val="BodyText"/>
        <w:spacing w:before="39" w:line="219" w:lineRule="auto"/>
        <w:ind w:left="370"/>
      </w:pPr>
      <w:r>
        <w:rPr>
          <w:spacing w:val="4"/>
        </w:rPr>
        <w:t>砂浆稠度仪的压头为圆锥形，其几何形状和几何量要求见图2和表3。</w:t>
      </w:r>
    </w:p>
    <w:p>
      <w:pPr>
        <w:spacing w:line="253" w:lineRule="auto"/>
        <w:rPr>
          <w:rFonts w:ascii="Arial"/>
          <w:sz w:val="21"/>
        </w:rPr>
      </w:pPr>
    </w:p>
    <w:p>
      <w:pPr>
        <w:spacing w:line="3680" w:lineRule="exact"/>
        <w:ind w:firstLine="1949"/>
      </w:pPr>
      <w:r>
        <w:rPr>
          <w:position w:val="-73"/>
        </w:rPr>
        <w:drawing>
          <wp:inline distT="0" distB="0" distL="0" distR="0">
            <wp:extent cx="1530385" cy="233675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6"/>
                    <a:stretch>
                      <a:fillRect/>
                    </a:stretch>
                  </pic:blipFill>
                  <pic:spPr>
                    <a:xfrm>
                      <a:off x="0" y="0"/>
                      <a:ext cx="1530385" cy="2336756"/>
                    </a:xfrm>
                    <a:prstGeom prst="rect">
                      <a:avLst/>
                    </a:prstGeom>
                  </pic:spPr>
                </pic:pic>
              </a:graphicData>
            </a:graphic>
          </wp:inline>
        </w:drawing>
      </w:r>
    </w:p>
    <w:p>
      <w:pPr>
        <w:pStyle w:val="BodyText"/>
        <w:spacing w:before="6" w:line="220" w:lineRule="auto"/>
        <w:ind w:left="2689"/>
        <w:rPr>
          <w:sz w:val="14"/>
          <w:szCs w:val="14"/>
        </w:rPr>
      </w:pPr>
      <w:r>
        <w:rPr>
          <w:spacing w:val="-9"/>
          <w:sz w:val="14"/>
          <w:szCs w:val="14"/>
        </w:rPr>
        <w:t>标准圆锥</w:t>
      </w:r>
    </w:p>
    <w:p>
      <w:pPr>
        <w:pStyle w:val="BodyText"/>
        <w:spacing w:before="202" w:line="219" w:lineRule="auto"/>
        <w:ind w:left="2200"/>
        <w:rPr>
          <w:sz w:val="14"/>
          <w:szCs w:val="14"/>
        </w:rPr>
      </w:pPr>
      <w:r>
        <w:rPr>
          <w:spacing w:val="-2"/>
          <w:sz w:val="14"/>
          <w:szCs w:val="14"/>
        </w:rPr>
        <w:t>图 2  砂浆稠度仪压头示意图</w:t>
      </w:r>
    </w:p>
    <w:p>
      <w:pPr>
        <w:spacing w:before="210" w:line="221" w:lineRule="auto"/>
        <w:ind w:left="2002"/>
        <w:rPr>
          <w:rFonts w:ascii="SimHei" w:eastAsia="SimHei" w:hAnsi="SimHei" w:cs="SimHei"/>
          <w:sz w:val="14"/>
          <w:szCs w:val="14"/>
        </w:rPr>
      </w:pPr>
      <w:r>
        <w:rPr>
          <w:rFonts w:ascii="SimHei" w:eastAsia="SimHei" w:hAnsi="SimHei" w:cs="SimHei"/>
          <w:b/>
          <w:bCs/>
          <w:spacing w:val="-1"/>
          <w:sz w:val="14"/>
          <w:szCs w:val="14"/>
        </w:rPr>
        <w:t>表3</w:t>
      </w:r>
      <w:r>
        <w:rPr>
          <w:rFonts w:ascii="SimHei" w:eastAsia="SimHei" w:hAnsi="SimHei" w:cs="SimHei"/>
          <w:spacing w:val="-1"/>
          <w:sz w:val="14"/>
          <w:szCs w:val="14"/>
        </w:rPr>
        <w:t xml:space="preserve">  </w:t>
      </w:r>
      <w:r>
        <w:rPr>
          <w:rFonts w:ascii="SimHei" w:eastAsia="SimHei" w:hAnsi="SimHei" w:cs="SimHei"/>
          <w:b/>
          <w:bCs/>
          <w:spacing w:val="-1"/>
          <w:sz w:val="14"/>
          <w:szCs w:val="14"/>
        </w:rPr>
        <w:t>砂浆稠度仪压头的几何量要求</w:t>
      </w:r>
    </w:p>
    <w:p>
      <w:pPr>
        <w:spacing w:line="74" w:lineRule="exact"/>
      </w:pPr>
    </w:p>
    <w:tbl>
      <w:tblPr>
        <w:tblStyle w:val="TableNormal2"/>
        <w:tblW w:w="615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912"/>
        <w:gridCol w:w="1417"/>
        <w:gridCol w:w="1408"/>
        <w:gridCol w:w="1422"/>
      </w:tblGrid>
      <w:tr>
        <w:tblPrEx>
          <w:tblW w:w="615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78"/>
        </w:trPr>
        <w:tc>
          <w:tcPr>
            <w:tcW w:w="1912" w:type="dxa"/>
            <w:tcBorders>
              <w:tl2br w:val="single" w:sz="4" w:space="0" w:color="000000"/>
            </w:tcBorders>
            <w:vAlign w:val="top"/>
          </w:tcPr>
          <w:p>
            <w:pPr>
              <w:pStyle w:val="TableText"/>
              <w:spacing w:before="10" w:line="186" w:lineRule="auto"/>
              <w:ind w:left="995"/>
            </w:pPr>
            <w:r>
              <w:t>几</w:t>
            </w:r>
          </w:p>
          <w:p>
            <w:pPr>
              <w:pStyle w:val="TableText"/>
              <w:spacing w:line="202" w:lineRule="auto"/>
              <w:ind w:left="1284"/>
            </w:pPr>
            <w:r>
              <w:t>何</w:t>
            </w:r>
          </w:p>
          <w:p>
            <w:pPr>
              <w:pStyle w:val="TableText"/>
              <w:spacing w:line="225" w:lineRule="auto"/>
              <w:ind w:left="1615"/>
            </w:pPr>
            <w:r>
              <w:t>量</w:t>
            </w:r>
          </w:p>
          <w:p>
            <w:pPr>
              <w:pStyle w:val="TableText"/>
              <w:spacing w:before="54" w:line="181" w:lineRule="auto"/>
              <w:ind w:left="154"/>
            </w:pPr>
            <w:r>
              <w:rPr>
                <w:spacing w:val="-5"/>
              </w:rPr>
              <w:t>压</w:t>
            </w:r>
            <w:r>
              <w:rPr>
                <w:spacing w:val="9"/>
              </w:rPr>
              <w:t xml:space="preserve"> </w:t>
            </w:r>
            <w:r>
              <w:rPr>
                <w:spacing w:val="-5"/>
              </w:rPr>
              <w:t>头</w:t>
            </w:r>
            <w:r>
              <w:rPr>
                <w:spacing w:val="7"/>
              </w:rPr>
              <w:t xml:space="preserve"> </w:t>
            </w:r>
            <w:r>
              <w:rPr>
                <w:spacing w:val="-5"/>
              </w:rPr>
              <w:t>类</w:t>
            </w:r>
            <w:r>
              <w:rPr>
                <w:spacing w:val="12"/>
              </w:rPr>
              <w:t xml:space="preserve"> </w:t>
            </w:r>
            <w:r>
              <w:rPr>
                <w:spacing w:val="-5"/>
              </w:rPr>
              <w:t>型</w:t>
            </w:r>
          </w:p>
        </w:tc>
        <w:tc>
          <w:tcPr>
            <w:tcW w:w="1417" w:type="dxa"/>
            <w:vAlign w:val="top"/>
          </w:tcPr>
          <w:p>
            <w:pPr>
              <w:pStyle w:val="TableText"/>
              <w:spacing w:before="269" w:line="219" w:lineRule="auto"/>
              <w:ind w:left="382"/>
            </w:pPr>
            <w:r>
              <w:rPr>
                <w:spacing w:val="5"/>
              </w:rPr>
              <w:t>圆锥角/()</w:t>
            </w:r>
          </w:p>
        </w:tc>
        <w:tc>
          <w:tcPr>
            <w:tcW w:w="1408" w:type="dxa"/>
            <w:vAlign w:val="top"/>
          </w:tcPr>
          <w:p>
            <w:pPr>
              <w:pStyle w:val="TableText"/>
              <w:spacing w:before="271" w:line="220" w:lineRule="auto"/>
              <w:ind w:left="456"/>
            </w:pPr>
            <w:r>
              <w:rPr>
                <w:spacing w:val="-1"/>
              </w:rPr>
              <w:t>锥度/mm</w:t>
            </w:r>
          </w:p>
        </w:tc>
        <w:tc>
          <w:tcPr>
            <w:tcW w:w="1422" w:type="dxa"/>
            <w:vAlign w:val="top"/>
          </w:tcPr>
          <w:p>
            <w:pPr>
              <w:pStyle w:val="TableText"/>
              <w:spacing w:before="180" w:line="201" w:lineRule="exact"/>
              <w:ind w:left="357"/>
            </w:pPr>
            <w:r>
              <w:rPr>
                <w:spacing w:val="-1"/>
                <w:position w:val="4"/>
              </w:rPr>
              <w:t>表面粗糙度</w:t>
            </w:r>
          </w:p>
          <w:p>
            <w:pPr>
              <w:pStyle w:val="TableText"/>
              <w:spacing w:line="219" w:lineRule="auto"/>
              <w:ind w:left="457"/>
            </w:pPr>
            <w:r>
              <w:rPr>
                <w:spacing w:val="-1"/>
              </w:rPr>
              <w:t>R</w:t>
            </w:r>
            <w:r>
              <w:rPr>
                <w:rFonts w:ascii="Calibri" w:eastAsia="Calibri" w:hAnsi="Calibri" w:cs="Calibri"/>
                <w:spacing w:val="-1"/>
              </w:rPr>
              <w:t>₂</w:t>
            </w:r>
            <w:r>
              <w:rPr>
                <w:spacing w:val="-1"/>
              </w:rPr>
              <w:t>/μm</w:t>
            </w:r>
          </w:p>
        </w:tc>
      </w:tr>
      <w:tr>
        <w:tblPrEx>
          <w:tblW w:w="6159" w:type="dxa"/>
          <w:tblInd w:w="20" w:type="dxa"/>
          <w:tblLayout w:type="fixed"/>
        </w:tblPrEx>
        <w:trPr>
          <w:trHeight w:val="342"/>
        </w:trPr>
        <w:tc>
          <w:tcPr>
            <w:tcW w:w="1912" w:type="dxa"/>
            <w:vAlign w:val="top"/>
          </w:tcPr>
          <w:p>
            <w:pPr>
              <w:pStyle w:val="TableText"/>
              <w:spacing w:before="103" w:line="220" w:lineRule="auto"/>
              <w:ind w:left="664"/>
            </w:pPr>
            <w:r>
              <w:rPr>
                <w:spacing w:val="-2"/>
              </w:rPr>
              <w:t>标准圆锥</w:t>
            </w:r>
          </w:p>
        </w:tc>
        <w:tc>
          <w:tcPr>
            <w:tcW w:w="1417" w:type="dxa"/>
            <w:vAlign w:val="top"/>
          </w:tcPr>
          <w:p>
            <w:pPr>
              <w:pStyle w:val="TableText"/>
              <w:spacing w:before="114" w:line="235" w:lineRule="auto"/>
              <w:ind w:left="452"/>
            </w:pPr>
            <w:r>
              <w:rPr>
                <w:spacing w:val="-2"/>
              </w:rPr>
              <w:t>30±0.2</w:t>
            </w:r>
          </w:p>
        </w:tc>
        <w:tc>
          <w:tcPr>
            <w:tcW w:w="1408" w:type="dxa"/>
            <w:vAlign w:val="top"/>
          </w:tcPr>
          <w:p>
            <w:pPr>
              <w:pStyle w:val="TableText"/>
              <w:spacing w:before="114" w:line="235" w:lineRule="auto"/>
              <w:ind w:left="415"/>
            </w:pPr>
            <w:r>
              <w:rPr>
                <w:spacing w:val="-3"/>
              </w:rPr>
              <w:t>145±0.5</w:t>
            </w:r>
          </w:p>
        </w:tc>
        <w:tc>
          <w:tcPr>
            <w:tcW w:w="1422" w:type="dxa"/>
            <w:vAlign w:val="top"/>
          </w:tcPr>
          <w:p>
            <w:pPr>
              <w:pStyle w:val="TableText"/>
              <w:spacing w:before="138" w:line="184" w:lineRule="auto"/>
              <w:ind w:left="597"/>
            </w:pPr>
            <w:r>
              <w:rPr>
                <w:spacing w:val="-4"/>
              </w:rPr>
              <w:t>1.6</w:t>
            </w:r>
          </w:p>
        </w:tc>
      </w:tr>
    </w:tbl>
    <w:p>
      <w:pPr>
        <w:spacing w:line="256" w:lineRule="auto"/>
        <w:rPr>
          <w:rFonts w:ascii="Arial"/>
          <w:sz w:val="21"/>
        </w:rPr>
      </w:pPr>
    </w:p>
    <w:p>
      <w:pPr>
        <w:pStyle w:val="BodyText"/>
        <w:spacing w:before="53" w:line="219" w:lineRule="auto"/>
        <w:sectPr>
          <w:headerReference w:type="default" r:id="rId17"/>
          <w:footerReference w:type="default" r:id="rId18"/>
          <w:pgSz w:w="7200" w:h="10460"/>
          <w:pgMar w:top="708" w:right="565" w:bottom="567" w:left="450" w:header="610" w:footer="458" w:gutter="0"/>
          <w:pgNumType w:start="5"/>
          <w:cols w:space="708"/>
        </w:sectPr>
      </w:pPr>
      <w:r>
        <w:rPr>
          <w:spacing w:val="-2"/>
        </w:rPr>
        <w:t>3.2.3</w:t>
      </w:r>
      <w:r>
        <w:rPr>
          <w:spacing w:val="14"/>
        </w:rPr>
        <w:t xml:space="preserve">  </w:t>
      </w:r>
      <w:r>
        <w:rPr>
          <w:spacing w:val="-2"/>
        </w:rPr>
        <w:t>沥青针入度仪压头</w:t>
      </w:r>
    </w:p>
    <w:p>
      <w:pPr>
        <w:pStyle w:val="BodyText"/>
        <w:spacing w:before="52" w:line="251" w:lineRule="auto"/>
        <w:ind w:right="26" w:firstLine="339"/>
      </w:pPr>
      <w:r>
        <w:rPr>
          <w:spacing w:val="6"/>
        </w:rPr>
        <w:t>沥青针入度仪标准针的几何形状和几何量要求见图3和表4。标准针的洛氏硬度为</w:t>
      </w:r>
      <w:r>
        <w:rPr>
          <w:spacing w:val="1"/>
        </w:rPr>
        <w:t xml:space="preserve"> </w:t>
      </w:r>
      <w:r>
        <w:rPr>
          <w:spacing w:val="-5"/>
        </w:rPr>
        <w:t>(54～60)HRC。</w:t>
      </w:r>
    </w:p>
    <w:p>
      <w:pPr>
        <w:spacing w:before="121" w:line="221" w:lineRule="auto"/>
        <w:ind w:left="1941"/>
        <w:rPr>
          <w:rFonts w:ascii="SimHei" w:eastAsia="SimHei" w:hAnsi="SimHei" w:cs="SimHei"/>
          <w:sz w:val="14"/>
          <w:szCs w:val="14"/>
        </w:rPr>
      </w:pPr>
      <w:r>
        <w:rPr>
          <w:rFonts w:ascii="SimHei" w:eastAsia="SimHei" w:hAnsi="SimHei" w:cs="SimHei"/>
          <w:b/>
          <w:bCs/>
          <w:spacing w:val="-3"/>
          <w:sz w:val="14"/>
          <w:szCs w:val="14"/>
        </w:rPr>
        <w:t>表4</w:t>
      </w:r>
      <w:r>
        <w:rPr>
          <w:rFonts w:ascii="SimHei" w:eastAsia="SimHei" w:hAnsi="SimHei" w:cs="SimHei"/>
          <w:spacing w:val="19"/>
          <w:sz w:val="14"/>
          <w:szCs w:val="14"/>
        </w:rPr>
        <w:t xml:space="preserve">  </w:t>
      </w:r>
      <w:r>
        <w:rPr>
          <w:rFonts w:ascii="SimHei" w:eastAsia="SimHei" w:hAnsi="SimHei" w:cs="SimHei"/>
          <w:b/>
          <w:bCs/>
          <w:spacing w:val="-3"/>
          <w:sz w:val="14"/>
          <w:szCs w:val="14"/>
        </w:rPr>
        <w:t>沥青针入度仪压头的几何量要求</w:t>
      </w:r>
    </w:p>
    <w:p>
      <w:pPr>
        <w:spacing w:line="64" w:lineRule="exact"/>
      </w:pPr>
    </w:p>
    <w:tbl>
      <w:tblPr>
        <w:tblStyle w:val="TableNormal3"/>
        <w:tblW w:w="616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912"/>
        <w:gridCol w:w="2056"/>
        <w:gridCol w:w="2201"/>
      </w:tblGrid>
      <w:tr>
        <w:tblPrEx>
          <w:tblW w:w="616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89"/>
        </w:trPr>
        <w:tc>
          <w:tcPr>
            <w:tcW w:w="1912" w:type="dxa"/>
            <w:tcBorders>
              <w:tl2br w:val="single" w:sz="4" w:space="0" w:color="000000"/>
            </w:tcBorders>
            <w:vAlign w:val="top"/>
          </w:tcPr>
          <w:p>
            <w:pPr>
              <w:pStyle w:val="TableText"/>
              <w:spacing w:before="10" w:line="179" w:lineRule="auto"/>
              <w:ind w:left="985"/>
              <w:rPr>
                <w:sz w:val="15"/>
                <w:szCs w:val="15"/>
              </w:rPr>
            </w:pPr>
            <w:r>
              <w:rPr>
                <w:sz w:val="15"/>
                <w:szCs w:val="15"/>
              </w:rPr>
              <w:t>几</w:t>
            </w:r>
          </w:p>
          <w:p>
            <w:pPr>
              <w:pStyle w:val="TableText"/>
              <w:spacing w:line="196" w:lineRule="auto"/>
              <w:ind w:left="1285"/>
              <w:rPr>
                <w:sz w:val="15"/>
                <w:szCs w:val="15"/>
              </w:rPr>
            </w:pPr>
            <w:r>
              <w:rPr>
                <w:sz w:val="15"/>
                <w:szCs w:val="15"/>
              </w:rPr>
              <w:t>何</w:t>
            </w:r>
          </w:p>
          <w:p>
            <w:pPr>
              <w:pStyle w:val="TableText"/>
              <w:spacing w:line="225" w:lineRule="auto"/>
              <w:ind w:left="1574"/>
              <w:rPr>
                <w:sz w:val="15"/>
                <w:szCs w:val="15"/>
              </w:rPr>
            </w:pPr>
            <w:r>
              <w:rPr>
                <w:sz w:val="15"/>
                <w:szCs w:val="15"/>
              </w:rPr>
              <w:t>量</w:t>
            </w:r>
          </w:p>
          <w:p>
            <w:pPr>
              <w:pStyle w:val="TableText"/>
              <w:spacing w:before="22" w:line="194" w:lineRule="auto"/>
              <w:ind w:left="144"/>
              <w:rPr>
                <w:sz w:val="15"/>
                <w:szCs w:val="15"/>
              </w:rPr>
            </w:pPr>
            <w:r>
              <w:rPr>
                <w:spacing w:val="-6"/>
                <w:sz w:val="15"/>
                <w:szCs w:val="15"/>
              </w:rPr>
              <w:t>压 头</w:t>
            </w:r>
            <w:r>
              <w:rPr>
                <w:spacing w:val="-10"/>
                <w:sz w:val="15"/>
                <w:szCs w:val="15"/>
              </w:rPr>
              <w:t xml:space="preserve"> </w:t>
            </w:r>
            <w:r>
              <w:rPr>
                <w:spacing w:val="-6"/>
                <w:sz w:val="15"/>
                <w:szCs w:val="15"/>
              </w:rPr>
              <w:t>类 型</w:t>
            </w:r>
          </w:p>
        </w:tc>
        <w:tc>
          <w:tcPr>
            <w:tcW w:w="2056" w:type="dxa"/>
            <w:vAlign w:val="top"/>
          </w:tcPr>
          <w:p>
            <w:pPr>
              <w:pStyle w:val="TableText"/>
              <w:spacing w:before="271" w:line="220" w:lineRule="auto"/>
              <w:ind w:left="752"/>
              <w:rPr>
                <w:sz w:val="15"/>
                <w:szCs w:val="15"/>
              </w:rPr>
            </w:pPr>
            <w:r>
              <w:rPr>
                <w:spacing w:val="-2"/>
                <w:sz w:val="15"/>
                <w:szCs w:val="15"/>
              </w:rPr>
              <w:t>长度/mm</w:t>
            </w:r>
          </w:p>
        </w:tc>
        <w:tc>
          <w:tcPr>
            <w:tcW w:w="2201" w:type="dxa"/>
            <w:vAlign w:val="top"/>
          </w:tcPr>
          <w:p>
            <w:pPr>
              <w:pStyle w:val="TableText"/>
              <w:spacing w:before="161" w:line="240" w:lineRule="exact"/>
              <w:ind w:left="717"/>
              <w:rPr>
                <w:sz w:val="15"/>
                <w:szCs w:val="15"/>
              </w:rPr>
            </w:pPr>
            <w:r>
              <w:rPr>
                <w:spacing w:val="-1"/>
                <w:position w:val="6"/>
                <w:sz w:val="15"/>
                <w:szCs w:val="15"/>
              </w:rPr>
              <w:t>表面粗糙度</w:t>
            </w:r>
          </w:p>
          <w:p>
            <w:pPr>
              <w:pStyle w:val="TableText"/>
              <w:spacing w:line="219" w:lineRule="auto"/>
              <w:ind w:left="827"/>
              <w:rPr>
                <w:sz w:val="15"/>
                <w:szCs w:val="15"/>
              </w:rPr>
            </w:pPr>
            <w:r>
              <w:rPr>
                <w:spacing w:val="-1"/>
                <w:sz w:val="15"/>
                <w:szCs w:val="15"/>
              </w:rPr>
              <w:t>R</w:t>
            </w:r>
            <w:r>
              <w:rPr>
                <w:rFonts w:ascii="Calibri" w:eastAsia="Calibri" w:hAnsi="Calibri" w:cs="Calibri"/>
                <w:spacing w:val="-1"/>
                <w:sz w:val="15"/>
                <w:szCs w:val="15"/>
              </w:rPr>
              <w:t>₄</w:t>
            </w:r>
            <w:r>
              <w:rPr>
                <w:spacing w:val="-1"/>
                <w:sz w:val="15"/>
                <w:szCs w:val="15"/>
              </w:rPr>
              <w:t>/μm</w:t>
            </w:r>
          </w:p>
        </w:tc>
      </w:tr>
      <w:tr>
        <w:tblPrEx>
          <w:tblW w:w="6169" w:type="dxa"/>
          <w:tblInd w:w="10" w:type="dxa"/>
          <w:tblLayout w:type="fixed"/>
        </w:tblPrEx>
        <w:trPr>
          <w:trHeight w:val="391"/>
        </w:trPr>
        <w:tc>
          <w:tcPr>
            <w:tcW w:w="1912" w:type="dxa"/>
            <w:vAlign w:val="top"/>
          </w:tcPr>
          <w:p>
            <w:pPr>
              <w:pStyle w:val="TableText"/>
              <w:spacing w:before="122" w:line="220" w:lineRule="auto"/>
              <w:ind w:left="725"/>
              <w:rPr>
                <w:sz w:val="15"/>
                <w:szCs w:val="15"/>
              </w:rPr>
            </w:pPr>
            <w:r>
              <w:rPr>
                <w:spacing w:val="-2"/>
                <w:sz w:val="15"/>
                <w:szCs w:val="15"/>
              </w:rPr>
              <w:t>标准针</w:t>
            </w:r>
          </w:p>
        </w:tc>
        <w:tc>
          <w:tcPr>
            <w:tcW w:w="2056" w:type="dxa"/>
            <w:vAlign w:val="top"/>
          </w:tcPr>
          <w:p>
            <w:pPr>
              <w:pStyle w:val="TableText"/>
              <w:spacing w:before="135" w:line="235" w:lineRule="auto"/>
              <w:ind w:left="832"/>
              <w:rPr>
                <w:sz w:val="15"/>
                <w:szCs w:val="15"/>
              </w:rPr>
            </w:pPr>
            <w:r>
              <w:rPr>
                <w:spacing w:val="-2"/>
                <w:sz w:val="15"/>
                <w:szCs w:val="15"/>
              </w:rPr>
              <w:t>50±1</w:t>
            </w:r>
          </w:p>
        </w:tc>
        <w:tc>
          <w:tcPr>
            <w:tcW w:w="2201" w:type="dxa"/>
            <w:vAlign w:val="top"/>
          </w:tcPr>
          <w:p>
            <w:pPr>
              <w:pStyle w:val="TableText"/>
              <w:spacing w:before="160" w:line="183" w:lineRule="auto"/>
              <w:ind w:left="827"/>
              <w:rPr>
                <w:sz w:val="15"/>
                <w:szCs w:val="15"/>
              </w:rPr>
            </w:pPr>
            <w:r>
              <w:rPr>
                <w:spacing w:val="-2"/>
                <w:sz w:val="15"/>
                <w:szCs w:val="15"/>
              </w:rPr>
              <w:t>0.2-0.3</w:t>
            </w:r>
          </w:p>
        </w:tc>
      </w:tr>
    </w:tbl>
    <w:p>
      <w:pPr>
        <w:spacing w:line="88" w:lineRule="exact"/>
        <w:rPr>
          <w:rFonts w:ascii="Arial"/>
          <w:sz w:val="7"/>
        </w:rPr>
      </w:pPr>
    </w:p>
    <w:p>
      <w:pPr>
        <w:spacing w:line="88" w:lineRule="exact"/>
        <w:rPr>
          <w:rFonts w:ascii="Arial" w:eastAsia="Arial" w:hAnsi="Arial" w:cs="Arial"/>
          <w:sz w:val="7"/>
          <w:szCs w:val="7"/>
        </w:rPr>
        <w:sectPr>
          <w:headerReference w:type="default" r:id="rId19"/>
          <w:footerReference w:type="default" r:id="rId20"/>
          <w:type w:val="nextPage"/>
          <w:pgSz w:w="7200" w:h="10460"/>
          <w:pgMar w:top="708" w:right="565" w:bottom="567" w:left="450" w:header="610" w:footer="458" w:gutter="0"/>
          <w:pgNumType w:start="6"/>
          <w:cols w:space="708"/>
          <w:titlePg w:val="0"/>
        </w:sectPr>
      </w:pPr>
    </w:p>
    <w:p>
      <w:pPr>
        <w:spacing w:line="243" w:lineRule="auto"/>
        <w:rPr>
          <w:rFonts w:ascii="Arial"/>
          <w:sz w:val="21"/>
        </w:rPr>
      </w:pPr>
    </w:p>
    <w:p>
      <w:pPr>
        <w:spacing w:line="243" w:lineRule="auto"/>
        <w:rPr>
          <w:rFonts w:ascii="Arial"/>
          <w:sz w:val="21"/>
        </w:rPr>
      </w:pPr>
    </w:p>
    <w:p>
      <w:pPr>
        <w:spacing w:line="1680" w:lineRule="exact"/>
        <w:ind w:firstLine="540"/>
      </w:pPr>
      <w:r>
        <w:rPr>
          <w:position w:val="-33"/>
        </w:rPr>
        <w:drawing>
          <wp:inline distT="0" distB="0" distL="0" distR="0">
            <wp:extent cx="3257550" cy="1066787"/>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3257550" cy="1066787"/>
                    </a:xfrm>
                    <a:prstGeom prst="rect">
                      <a:avLst/>
                    </a:prstGeom>
                  </pic:spPr>
                </pic:pic>
              </a:graphicData>
            </a:graphic>
          </wp:inline>
        </w:drawing>
      </w:r>
    </w:p>
    <w:p>
      <w:pPr>
        <w:spacing w:before="99" w:line="1380" w:lineRule="exact"/>
        <w:ind w:firstLine="1789"/>
      </w:pPr>
      <w:r>
        <w:rPr>
          <w:position w:val="-27"/>
        </w:rPr>
        <w:drawing>
          <wp:inline distT="0" distB="0" distL="0" distR="0">
            <wp:extent cx="2070110" cy="876292"/>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2"/>
                    <a:stretch>
                      <a:fillRect/>
                    </a:stretch>
                  </pic:blipFill>
                  <pic:spPr>
                    <a:xfrm>
                      <a:off x="0" y="0"/>
                      <a:ext cx="2070110" cy="876292"/>
                    </a:xfrm>
                    <a:prstGeom prst="rect">
                      <a:avLst/>
                    </a:prstGeom>
                  </pic:spPr>
                </pic:pic>
              </a:graphicData>
            </a:graphic>
          </wp:inline>
        </w:drawing>
      </w:r>
    </w:p>
    <w:p>
      <w:pPr>
        <w:spacing w:line="337" w:lineRule="auto"/>
        <w:rPr>
          <w:rFonts w:ascii="Arial"/>
          <w:sz w:val="21"/>
        </w:rPr>
      </w:pPr>
    </w:p>
    <w:p>
      <w:pPr>
        <w:pStyle w:val="BodyText"/>
        <w:spacing w:before="45" w:line="219" w:lineRule="auto"/>
        <w:ind w:left="2139"/>
        <w:rPr>
          <w:sz w:val="14"/>
          <w:szCs w:val="14"/>
        </w:rPr>
      </w:pPr>
      <w:r>
        <w:rPr>
          <w:sz w:val="14"/>
          <w:szCs w:val="14"/>
        </w:rPr>
        <w:t>图3  沥青针入度仪压头示意图</w:t>
      </w:r>
    </w:p>
    <w:p>
      <w:pPr>
        <w:pStyle w:val="BodyText"/>
        <w:spacing w:before="256" w:line="219" w:lineRule="auto"/>
      </w:pPr>
      <w:r>
        <w:t>3.2.4</w:t>
      </w:r>
      <w:r>
        <w:rPr>
          <w:spacing w:val="78"/>
        </w:rPr>
        <w:t xml:space="preserve"> </w:t>
      </w:r>
      <w:r>
        <w:t>土壤液塑限测定仪压头</w:t>
      </w:r>
    </w:p>
    <w:p>
      <w:pPr>
        <w:pStyle w:val="BodyText"/>
        <w:spacing w:before="39" w:line="219" w:lineRule="auto"/>
        <w:ind w:left="349"/>
      </w:pPr>
      <w:r>
        <w:rPr>
          <w:spacing w:val="4"/>
        </w:rPr>
        <w:t>土壤液塑限测定仪压头为圆锥形，圆锥的几何形状和几何量要求见图4和表5。</w:t>
      </w:r>
    </w:p>
    <w:p>
      <w:pPr>
        <w:spacing w:before="207" w:line="221" w:lineRule="auto"/>
        <w:ind w:left="1851"/>
        <w:rPr>
          <w:rFonts w:ascii="SimHei" w:eastAsia="SimHei" w:hAnsi="SimHei" w:cs="SimHei"/>
          <w:sz w:val="14"/>
          <w:szCs w:val="14"/>
        </w:rPr>
      </w:pPr>
      <w:r>
        <w:rPr>
          <w:rFonts w:ascii="SimHei" w:eastAsia="SimHei" w:hAnsi="SimHei" w:cs="SimHei"/>
          <w:b/>
          <w:bCs/>
          <w:spacing w:val="-1"/>
          <w:sz w:val="14"/>
          <w:szCs w:val="14"/>
        </w:rPr>
        <w:t>表5</w:t>
      </w:r>
      <w:r>
        <w:rPr>
          <w:rFonts w:ascii="SimHei" w:eastAsia="SimHei" w:hAnsi="SimHei" w:cs="SimHei"/>
          <w:spacing w:val="-1"/>
          <w:sz w:val="14"/>
          <w:szCs w:val="14"/>
        </w:rPr>
        <w:t xml:space="preserve">  </w:t>
      </w:r>
      <w:r>
        <w:rPr>
          <w:rFonts w:ascii="SimHei" w:eastAsia="SimHei" w:hAnsi="SimHei" w:cs="SimHei"/>
          <w:b/>
          <w:bCs/>
          <w:spacing w:val="-1"/>
          <w:sz w:val="14"/>
          <w:szCs w:val="14"/>
        </w:rPr>
        <w:t>土壤液塑限测定仪压头几何量要求</w:t>
      </w:r>
    </w:p>
    <w:p>
      <w:pPr>
        <w:spacing w:line="85" w:lineRule="exact"/>
      </w:pPr>
    </w:p>
    <w:tbl>
      <w:tblPr>
        <w:tblStyle w:val="TableNormal4"/>
        <w:tblW w:w="616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912"/>
        <w:gridCol w:w="1408"/>
        <w:gridCol w:w="1417"/>
        <w:gridCol w:w="1432"/>
      </w:tblGrid>
      <w:tr>
        <w:tblPrEx>
          <w:tblW w:w="616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79"/>
        </w:trPr>
        <w:tc>
          <w:tcPr>
            <w:tcW w:w="1912" w:type="dxa"/>
            <w:tcBorders>
              <w:tl2br w:val="single" w:sz="4" w:space="0" w:color="000000"/>
            </w:tcBorders>
            <w:vAlign w:val="top"/>
          </w:tcPr>
          <w:p>
            <w:pPr>
              <w:pStyle w:val="TableText"/>
              <w:spacing w:before="10" w:line="186" w:lineRule="auto"/>
              <w:ind w:left="985"/>
            </w:pPr>
            <w:r>
              <w:t>几</w:t>
            </w:r>
          </w:p>
          <w:p>
            <w:pPr>
              <w:pStyle w:val="TableText"/>
              <w:spacing w:line="202" w:lineRule="auto"/>
              <w:ind w:left="1294"/>
            </w:pPr>
            <w:r>
              <w:t>何</w:t>
            </w:r>
          </w:p>
          <w:p>
            <w:pPr>
              <w:pStyle w:val="TableText"/>
              <w:spacing w:line="225" w:lineRule="auto"/>
              <w:ind w:left="1604"/>
            </w:pPr>
            <w:r>
              <w:t>量</w:t>
            </w:r>
          </w:p>
          <w:p>
            <w:pPr>
              <w:pStyle w:val="TableText"/>
              <w:spacing w:before="44" w:line="196" w:lineRule="auto"/>
              <w:ind w:left="144"/>
            </w:pPr>
            <w:r>
              <w:rPr>
                <w:spacing w:val="-5"/>
              </w:rPr>
              <w:t>压</w:t>
            </w:r>
            <w:r>
              <w:rPr>
                <w:spacing w:val="9"/>
              </w:rPr>
              <w:t xml:space="preserve"> </w:t>
            </w:r>
            <w:r>
              <w:rPr>
                <w:spacing w:val="-5"/>
              </w:rPr>
              <w:t>头</w:t>
            </w:r>
            <w:r>
              <w:rPr>
                <w:spacing w:val="7"/>
              </w:rPr>
              <w:t xml:space="preserve"> </w:t>
            </w:r>
            <w:r>
              <w:rPr>
                <w:spacing w:val="-5"/>
              </w:rPr>
              <w:t>类</w:t>
            </w:r>
            <w:r>
              <w:rPr>
                <w:spacing w:val="12"/>
              </w:rPr>
              <w:t xml:space="preserve"> </w:t>
            </w:r>
            <w:r>
              <w:rPr>
                <w:spacing w:val="-5"/>
              </w:rPr>
              <w:t>型</w:t>
            </w:r>
          </w:p>
        </w:tc>
        <w:tc>
          <w:tcPr>
            <w:tcW w:w="1408" w:type="dxa"/>
            <w:vAlign w:val="top"/>
          </w:tcPr>
          <w:p>
            <w:pPr>
              <w:pStyle w:val="TableText"/>
              <w:spacing w:before="269" w:line="219" w:lineRule="auto"/>
              <w:ind w:left="312"/>
            </w:pPr>
            <w:r>
              <w:rPr>
                <w:spacing w:val="4"/>
              </w:rPr>
              <w:t>圆锥角/(°)</w:t>
            </w:r>
          </w:p>
        </w:tc>
        <w:tc>
          <w:tcPr>
            <w:tcW w:w="1417" w:type="dxa"/>
            <w:vAlign w:val="top"/>
          </w:tcPr>
          <w:p>
            <w:pPr>
              <w:pStyle w:val="TableText"/>
              <w:spacing w:before="270" w:line="219" w:lineRule="auto"/>
              <w:ind w:left="174"/>
            </w:pPr>
            <w:r>
              <w:rPr>
                <w:spacing w:val="-1"/>
              </w:rPr>
              <w:t>锥尖磨损高度/mm</w:t>
            </w:r>
          </w:p>
        </w:tc>
        <w:tc>
          <w:tcPr>
            <w:tcW w:w="1432" w:type="dxa"/>
            <w:vAlign w:val="top"/>
          </w:tcPr>
          <w:p>
            <w:pPr>
              <w:pStyle w:val="TableText"/>
              <w:spacing w:before="170" w:line="234" w:lineRule="exact"/>
              <w:ind w:left="357"/>
            </w:pPr>
            <w:r>
              <w:rPr>
                <w:spacing w:val="-1"/>
                <w:position w:val="7"/>
              </w:rPr>
              <w:t>表面粗糙度</w:t>
            </w:r>
          </w:p>
          <w:p>
            <w:pPr>
              <w:pStyle w:val="TableText"/>
              <w:spacing w:line="224" w:lineRule="auto"/>
              <w:ind w:left="537"/>
            </w:pPr>
            <w:r>
              <w:rPr>
                <w:spacing w:val="-1"/>
              </w:rPr>
              <w:t>R/μm</w:t>
            </w:r>
          </w:p>
        </w:tc>
      </w:tr>
      <w:tr>
        <w:tblPrEx>
          <w:tblW w:w="6169" w:type="dxa"/>
          <w:tblInd w:w="10" w:type="dxa"/>
          <w:tblLayout w:type="fixed"/>
        </w:tblPrEx>
        <w:trPr>
          <w:trHeight w:val="480"/>
        </w:trPr>
        <w:tc>
          <w:tcPr>
            <w:tcW w:w="1912" w:type="dxa"/>
            <w:vAlign w:val="top"/>
          </w:tcPr>
          <w:p>
            <w:pPr>
              <w:pStyle w:val="TableText"/>
              <w:spacing w:before="172" w:line="220" w:lineRule="auto"/>
              <w:ind w:left="654"/>
            </w:pPr>
            <w:r>
              <w:rPr>
                <w:spacing w:val="-2"/>
              </w:rPr>
              <w:t>标准圆锥</w:t>
            </w:r>
          </w:p>
        </w:tc>
        <w:tc>
          <w:tcPr>
            <w:tcW w:w="1408" w:type="dxa"/>
            <w:vAlign w:val="top"/>
          </w:tcPr>
          <w:p>
            <w:pPr>
              <w:pStyle w:val="TableText"/>
              <w:spacing w:before="183" w:line="235" w:lineRule="auto"/>
              <w:ind w:left="452"/>
            </w:pPr>
            <w:r>
              <w:rPr>
                <w:spacing w:val="-2"/>
              </w:rPr>
              <w:t>30±0.2</w:t>
            </w:r>
          </w:p>
        </w:tc>
        <w:tc>
          <w:tcPr>
            <w:tcW w:w="1417" w:type="dxa"/>
            <w:vAlign w:val="top"/>
          </w:tcPr>
          <w:p>
            <w:pPr>
              <w:pStyle w:val="TableText"/>
              <w:spacing w:before="184" w:line="236" w:lineRule="auto"/>
              <w:ind w:left="524"/>
            </w:pPr>
            <w:r>
              <w:rPr>
                <w:spacing w:val="-4"/>
              </w:rPr>
              <w:t>≤0.3</w:t>
            </w:r>
          </w:p>
        </w:tc>
        <w:tc>
          <w:tcPr>
            <w:tcW w:w="1432" w:type="dxa"/>
            <w:vAlign w:val="top"/>
          </w:tcPr>
          <w:p>
            <w:pPr>
              <w:pStyle w:val="TableText"/>
              <w:spacing w:before="207" w:line="184" w:lineRule="auto"/>
              <w:ind w:left="607"/>
            </w:pPr>
            <w:r>
              <w:rPr>
                <w:spacing w:val="-4"/>
              </w:rPr>
              <w:t>1.6</w:t>
            </w:r>
          </w:p>
        </w:tc>
      </w:tr>
    </w:tbl>
    <w:p>
      <w:pPr>
        <w:spacing w:line="278" w:lineRule="auto"/>
        <w:rPr>
          <w:rFonts w:ascii="Arial"/>
          <w:sz w:val="21"/>
        </w:rPr>
      </w:pPr>
    </w:p>
    <w:p>
      <w:pPr>
        <w:pStyle w:val="BodyText"/>
        <w:spacing w:before="52" w:line="219" w:lineRule="auto"/>
        <w:sectPr>
          <w:headerReference w:type="default" r:id="rId23"/>
          <w:footerReference w:type="default" r:id="rId24"/>
          <w:pgSz w:w="7200" w:h="10460"/>
          <w:pgMar w:top="640" w:right="460" w:bottom="690" w:left="550" w:header="444" w:footer="590" w:gutter="0"/>
          <w:pgNumType w:start="7"/>
          <w:cols w:space="708"/>
        </w:sectPr>
      </w:pPr>
      <w:r>
        <w:t>3.3</w:t>
      </w:r>
      <w:r>
        <w:rPr>
          <w:spacing w:val="84"/>
        </w:rPr>
        <w:t xml:space="preserve"> </w:t>
      </w:r>
      <w:r>
        <w:t>塑限测定仪指示装置</w:t>
      </w:r>
    </w:p>
    <w:p>
      <w:pPr>
        <w:pStyle w:val="BodyText"/>
        <w:spacing w:before="50" w:line="219" w:lineRule="auto"/>
        <w:ind w:left="2"/>
      </w:pPr>
      <w:r>
        <w:rPr>
          <w:b/>
          <w:bCs/>
          <w:spacing w:val="1"/>
        </w:rPr>
        <w:t>3.3.1</w:t>
      </w:r>
      <w:r>
        <w:rPr>
          <w:spacing w:val="1"/>
        </w:rPr>
        <w:t xml:space="preserve">  水泥净浆标准稠度与凝结时间测定仪指示装置</w:t>
      </w:r>
    </w:p>
    <w:p>
      <w:pPr>
        <w:pStyle w:val="BodyText"/>
        <w:spacing w:before="30" w:line="270" w:lineRule="auto"/>
        <w:ind w:right="53" w:firstLine="349"/>
        <w:jc w:val="both"/>
      </w:pPr>
      <w:r>
        <w:rPr>
          <w:spacing w:val="6"/>
        </w:rPr>
        <w:t>水泥净浆标准稠度与凝结时间测定仪指示装置显示范围：用</w:t>
      </w:r>
      <w:r>
        <w:rPr>
          <w:rFonts w:ascii="Times New Roman" w:eastAsia="Times New Roman" w:hAnsi="Times New Roman" w:cs="Times New Roman"/>
          <w:spacing w:val="6"/>
        </w:rPr>
        <w:t xml:space="preserve">S </w:t>
      </w:r>
      <w:r>
        <w:rPr>
          <w:spacing w:val="6"/>
        </w:rPr>
        <w:t>标尺为(0~70)</w:t>
      </w:r>
      <w:r>
        <w:rPr>
          <w:rFonts w:ascii="Times New Roman" w:eastAsia="Times New Roman" w:hAnsi="Times New Roman" w:cs="Times New Roman"/>
        </w:rPr>
        <w:t>mm</w:t>
      </w:r>
      <w:r>
        <w:rPr>
          <w:rFonts w:ascii="Times New Roman" w:eastAsia="Times New Roman" w:hAnsi="Times New Roman" w:cs="Times New Roman"/>
          <w:spacing w:val="6"/>
        </w:rPr>
        <w:t>,</w:t>
      </w:r>
      <w:r>
        <w:rPr>
          <w:rFonts w:ascii="Times New Roman" w:eastAsia="Times New Roman" w:hAnsi="Times New Roman" w:cs="Times New Roman"/>
          <w:spacing w:val="10"/>
          <w:w w:val="101"/>
        </w:rPr>
        <w:t xml:space="preserve"> </w:t>
      </w:r>
      <w:r>
        <w:rPr>
          <w:spacing w:val="7"/>
        </w:rPr>
        <w:t>最小分度值不超过1</w:t>
      </w:r>
      <w:r>
        <w:rPr>
          <w:rFonts w:ascii="Times New Roman" w:eastAsia="Times New Roman" w:hAnsi="Times New Roman" w:cs="Times New Roman"/>
        </w:rPr>
        <w:t>mm</w:t>
      </w:r>
      <w:r>
        <w:rPr>
          <w:rFonts w:ascii="Times New Roman" w:eastAsia="Times New Roman" w:hAnsi="Times New Roman" w:cs="Times New Roman"/>
          <w:spacing w:val="7"/>
        </w:rPr>
        <w:t>,</w:t>
      </w:r>
      <w:r>
        <w:rPr>
          <w:rFonts w:ascii="Times New Roman" w:eastAsia="Times New Roman" w:hAnsi="Times New Roman" w:cs="Times New Roman"/>
          <w:spacing w:val="4"/>
        </w:rPr>
        <w:t xml:space="preserve">   </w:t>
      </w:r>
      <w:r>
        <w:rPr>
          <w:spacing w:val="7"/>
        </w:rPr>
        <w:t>示值误差不超过±0.5</w:t>
      </w:r>
      <w:r>
        <w:rPr>
          <w:spacing w:val="-38"/>
        </w:rPr>
        <w:t xml:space="preserve"> </w:t>
      </w:r>
      <w:r>
        <w:rPr>
          <w:rFonts w:ascii="Times New Roman" w:eastAsia="Times New Roman" w:hAnsi="Times New Roman" w:cs="Times New Roman"/>
        </w:rPr>
        <w:t>mm</w:t>
      </w:r>
      <w:r>
        <w:rPr>
          <w:rFonts w:ascii="Times New Roman" w:eastAsia="Times New Roman" w:hAnsi="Times New Roman" w:cs="Times New Roman"/>
          <w:spacing w:val="7"/>
        </w:rPr>
        <w:t>,</w:t>
      </w:r>
      <w:r>
        <w:rPr>
          <w:rFonts w:ascii="Times New Roman" w:eastAsia="Times New Roman" w:hAnsi="Times New Roman" w:cs="Times New Roman"/>
        </w:rPr>
        <w:t xml:space="preserve">   </w:t>
      </w:r>
      <w:r>
        <w:rPr>
          <w:spacing w:val="7"/>
        </w:rPr>
        <w:t>示值重复性不超过0.5</w:t>
      </w:r>
      <w:r>
        <w:rPr>
          <w:spacing w:val="-38"/>
        </w:rPr>
        <w:t xml:space="preserve"> </w:t>
      </w:r>
      <w:r>
        <w:rPr>
          <w:rFonts w:ascii="Times New Roman" w:eastAsia="Times New Roman" w:hAnsi="Times New Roman" w:cs="Times New Roman"/>
        </w:rPr>
        <w:t>mm</w:t>
      </w:r>
      <w:r>
        <w:rPr>
          <w:rFonts w:ascii="Times New Roman" w:eastAsia="Times New Roman" w:hAnsi="Times New Roman" w:cs="Times New Roman"/>
          <w:spacing w:val="7"/>
        </w:rPr>
        <w:t>;</w:t>
      </w:r>
      <w:r>
        <w:rPr>
          <w:rFonts w:ascii="Times New Roman" w:eastAsia="Times New Roman" w:hAnsi="Times New Roman" w:cs="Times New Roman"/>
          <w:spacing w:val="19"/>
          <w:w w:val="101"/>
        </w:rPr>
        <w:t xml:space="preserve">  </w:t>
      </w:r>
      <w:r>
        <w:rPr>
          <w:spacing w:val="7"/>
        </w:rPr>
        <w:t>用</w:t>
      </w:r>
      <w:r>
        <w:t xml:space="preserve"> </w:t>
      </w:r>
      <w:r>
        <w:rPr>
          <w:rFonts w:ascii="Times New Roman" w:eastAsia="Times New Roman" w:hAnsi="Times New Roman" w:cs="Times New Roman"/>
          <w:spacing w:val="13"/>
        </w:rPr>
        <w:t>P</w:t>
      </w:r>
      <w:r>
        <w:rPr>
          <w:rFonts w:ascii="Times New Roman" w:eastAsia="Times New Roman" w:hAnsi="Times New Roman" w:cs="Times New Roman"/>
          <w:spacing w:val="-6"/>
        </w:rPr>
        <w:t xml:space="preserve"> </w:t>
      </w:r>
      <w:r>
        <w:rPr>
          <w:spacing w:val="13"/>
        </w:rPr>
        <w:t>标尺为21%～33.5%,最小分度值不超过0.25%。</w:t>
      </w:r>
      <w:r>
        <w:rPr>
          <w:rFonts w:ascii="Times New Roman" w:eastAsia="Times New Roman" w:hAnsi="Times New Roman" w:cs="Times New Roman"/>
          <w:spacing w:val="13"/>
        </w:rPr>
        <w:t>S</w:t>
      </w:r>
      <w:r>
        <w:rPr>
          <w:rFonts w:ascii="Times New Roman" w:eastAsia="Times New Roman" w:hAnsi="Times New Roman" w:cs="Times New Roman"/>
          <w:spacing w:val="21"/>
          <w:w w:val="101"/>
        </w:rPr>
        <w:t xml:space="preserve"> </w:t>
      </w:r>
      <w:r>
        <w:rPr>
          <w:spacing w:val="13"/>
        </w:rPr>
        <w:t>和</w:t>
      </w:r>
      <w:r>
        <w:rPr>
          <w:spacing w:val="-24"/>
        </w:rPr>
        <w:t xml:space="preserve"> </w:t>
      </w:r>
      <w:r>
        <w:rPr>
          <w:rFonts w:ascii="Times New Roman" w:eastAsia="Times New Roman" w:hAnsi="Times New Roman" w:cs="Times New Roman"/>
          <w:spacing w:val="13"/>
        </w:rPr>
        <w:t xml:space="preserve">P </w:t>
      </w:r>
      <w:r>
        <w:rPr>
          <w:spacing w:val="13"/>
        </w:rPr>
        <w:t>标尺的读数换算关</w:t>
      </w:r>
      <w:r>
        <w:rPr>
          <w:spacing w:val="12"/>
        </w:rPr>
        <w:t>系应符</w:t>
      </w:r>
      <w:r>
        <w:t xml:space="preserve"> </w:t>
      </w:r>
      <w:r>
        <w:t>合</w:t>
      </w:r>
      <w:r>
        <w:rPr>
          <w:rFonts w:ascii="Times New Roman" w:eastAsia="Times New Roman" w:hAnsi="Times New Roman" w:cs="Times New Roman"/>
        </w:rPr>
        <w:t>P(%)=33.4-0.185               S</w:t>
      </w:r>
      <w:r>
        <w:t>。</w:t>
      </w:r>
    </w:p>
    <w:p>
      <w:pPr>
        <w:pStyle w:val="BodyText"/>
        <w:spacing w:before="85" w:line="219" w:lineRule="auto"/>
        <w:ind w:left="2"/>
      </w:pPr>
      <w:r>
        <w:rPr>
          <w:b/>
          <w:bCs/>
        </w:rPr>
        <w:t>3.3.2</w:t>
      </w:r>
      <w:r>
        <w:t xml:space="preserve">  砂浆稠度仪指示装置</w:t>
      </w:r>
    </w:p>
    <w:p>
      <w:pPr>
        <w:pStyle w:val="BodyText"/>
        <w:spacing w:before="28" w:line="268" w:lineRule="auto"/>
        <w:ind w:right="68" w:firstLine="309"/>
      </w:pPr>
      <w:r>
        <w:rPr>
          <w:spacing w:val="9"/>
        </w:rPr>
        <w:t>砂浆稠度仪指示装置的示值范围为(0～145)</w:t>
      </w:r>
      <w:r>
        <w:rPr>
          <w:spacing w:val="-39"/>
        </w:rPr>
        <w:t xml:space="preserve"> </w:t>
      </w:r>
      <w:r>
        <w:rPr>
          <w:rFonts w:ascii="Times New Roman" w:eastAsia="Times New Roman" w:hAnsi="Times New Roman" w:cs="Times New Roman"/>
        </w:rPr>
        <w:t>mm</w:t>
      </w:r>
      <w:r>
        <w:rPr>
          <w:rFonts w:ascii="Times New Roman" w:eastAsia="Times New Roman" w:hAnsi="Times New Roman" w:cs="Times New Roman"/>
          <w:spacing w:val="23"/>
          <w:w w:val="101"/>
        </w:rPr>
        <w:t xml:space="preserve"> </w:t>
      </w:r>
      <w:r>
        <w:rPr>
          <w:spacing w:val="9"/>
        </w:rPr>
        <w:t>或(0～229.3)</w:t>
      </w:r>
      <w:r>
        <w:rPr>
          <w:spacing w:val="-35"/>
        </w:rPr>
        <w:t xml:space="preserve"> </w:t>
      </w:r>
      <w:r>
        <w:rPr>
          <w:rFonts w:ascii="Times New Roman" w:eastAsia="Times New Roman" w:hAnsi="Times New Roman" w:cs="Times New Roman"/>
        </w:rPr>
        <w:t>cm</w:t>
      </w:r>
      <w:r>
        <w:rPr>
          <w:rFonts w:ascii="Times New Roman" w:eastAsia="Times New Roman" w:hAnsi="Times New Roman" w:cs="Times New Roman"/>
          <w:spacing w:val="9"/>
        </w:rPr>
        <w:t xml:space="preserve">³,   </w:t>
      </w:r>
      <w:r>
        <w:rPr>
          <w:spacing w:val="9"/>
        </w:rPr>
        <w:t>最小分度</w:t>
      </w:r>
      <w:r>
        <w:t xml:space="preserve"> </w:t>
      </w:r>
      <w:r>
        <w:rPr>
          <w:spacing w:val="6"/>
        </w:rPr>
        <w:t>值不超过1</w:t>
      </w:r>
      <w:r>
        <w:rPr>
          <w:spacing w:val="-25"/>
        </w:rPr>
        <w:t xml:space="preserve"> </w:t>
      </w:r>
      <w:r>
        <w:rPr>
          <w:rFonts w:ascii="Times New Roman" w:eastAsia="Times New Roman" w:hAnsi="Times New Roman" w:cs="Times New Roman"/>
        </w:rPr>
        <w:t>mm</w:t>
      </w:r>
      <w:r>
        <w:rPr>
          <w:rFonts w:ascii="Times New Roman" w:eastAsia="Times New Roman" w:hAnsi="Times New Roman" w:cs="Times New Roman"/>
          <w:spacing w:val="6"/>
        </w:rPr>
        <w:t xml:space="preserve"> </w:t>
      </w:r>
      <w:r>
        <w:rPr>
          <w:spacing w:val="6"/>
        </w:rPr>
        <w:t>或0</w:t>
      </w:r>
      <w:r>
        <w:rPr>
          <w:spacing w:val="-44"/>
        </w:rPr>
        <w:t xml:space="preserve"> </w:t>
      </w:r>
      <w:r>
        <w:rPr>
          <w:spacing w:val="6"/>
        </w:rPr>
        <w:t>.</w:t>
      </w:r>
      <w:r>
        <w:rPr>
          <w:spacing w:val="-37"/>
        </w:rPr>
        <w:t xml:space="preserve"> </w:t>
      </w:r>
      <w:r>
        <w:rPr>
          <w:spacing w:val="6"/>
        </w:rPr>
        <w:t>1</w:t>
      </w:r>
      <w:r>
        <w:rPr>
          <w:rFonts w:ascii="Times New Roman" w:eastAsia="Times New Roman" w:hAnsi="Times New Roman" w:cs="Times New Roman"/>
        </w:rPr>
        <w:t>cm</w:t>
      </w:r>
      <w:r>
        <w:rPr>
          <w:rFonts w:ascii="Times New Roman" w:eastAsia="Times New Roman" w:hAnsi="Times New Roman" w:cs="Times New Roman"/>
          <w:spacing w:val="6"/>
        </w:rPr>
        <w:t xml:space="preserve">³,   </w:t>
      </w:r>
      <w:r>
        <w:rPr>
          <w:spacing w:val="6"/>
        </w:rPr>
        <w:t>示值误差不超过±0.5</w:t>
      </w:r>
      <w:r>
        <w:rPr>
          <w:rFonts w:ascii="Times New Roman" w:eastAsia="Times New Roman" w:hAnsi="Times New Roman" w:cs="Times New Roman"/>
        </w:rPr>
        <w:t>mm</w:t>
      </w:r>
      <w:r>
        <w:rPr>
          <w:rFonts w:ascii="Times New Roman" w:eastAsia="Times New Roman" w:hAnsi="Times New Roman" w:cs="Times New Roman"/>
          <w:spacing w:val="6"/>
        </w:rPr>
        <w:t xml:space="preserve">,   </w:t>
      </w:r>
      <w:r>
        <w:rPr>
          <w:spacing w:val="6"/>
        </w:rPr>
        <w:t>示值重复性不超过0.5</w:t>
      </w:r>
      <w:r>
        <w:rPr>
          <w:rFonts w:ascii="Times New Roman" w:eastAsia="Times New Roman" w:hAnsi="Times New Roman" w:cs="Times New Roman"/>
        </w:rPr>
        <w:t>mm</w:t>
      </w:r>
      <w:r>
        <w:rPr>
          <w:spacing w:val="6"/>
        </w:rPr>
        <w:t>。</w:t>
      </w:r>
    </w:p>
    <w:p>
      <w:pPr>
        <w:spacing w:line="268" w:lineRule="auto"/>
        <w:sectPr>
          <w:headerReference w:type="default" r:id="rId25"/>
          <w:footerReference w:type="default" r:id="rId26"/>
          <w:type w:val="nextPage"/>
          <w:pgSz w:w="7200" w:h="10460"/>
          <w:pgMar w:top="640" w:right="460" w:bottom="690" w:left="550" w:header="444" w:footer="590" w:gutter="0"/>
          <w:pgNumType w:start="8"/>
          <w:cols w:space="708"/>
          <w:titlePg w:val="0"/>
        </w:sectPr>
      </w:pPr>
    </w:p>
    <w:p>
      <w:pPr>
        <w:spacing w:line="367" w:lineRule="auto"/>
        <w:rPr>
          <w:rFonts w:ascii="Arial"/>
          <w:sz w:val="21"/>
        </w:rPr>
      </w:pPr>
    </w:p>
    <w:p>
      <w:pPr>
        <w:spacing w:line="3290" w:lineRule="exact"/>
        <w:ind w:firstLine="2070"/>
      </w:pPr>
      <w:r>
        <w:rPr>
          <w:position w:val="-65"/>
        </w:rPr>
        <w:drawing>
          <wp:inline distT="0" distB="0" distL="0" distR="0">
            <wp:extent cx="1377955" cy="2089139"/>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7"/>
                    <a:stretch>
                      <a:fillRect/>
                    </a:stretch>
                  </pic:blipFill>
                  <pic:spPr>
                    <a:xfrm>
                      <a:off x="0" y="0"/>
                      <a:ext cx="1377955" cy="2089139"/>
                    </a:xfrm>
                    <a:prstGeom prst="rect">
                      <a:avLst/>
                    </a:prstGeom>
                  </pic:spPr>
                </pic:pic>
              </a:graphicData>
            </a:graphic>
          </wp:inline>
        </w:drawing>
      </w:r>
    </w:p>
    <w:p>
      <w:pPr>
        <w:pStyle w:val="BodyText"/>
        <w:spacing w:before="216" w:line="220" w:lineRule="auto"/>
        <w:ind w:left="3049"/>
        <w:rPr>
          <w:sz w:val="15"/>
          <w:szCs w:val="15"/>
        </w:rPr>
      </w:pPr>
      <w:r>
        <w:rPr>
          <w:spacing w:val="-15"/>
          <w:w w:val="98"/>
          <w:sz w:val="15"/>
          <w:szCs w:val="15"/>
        </w:rPr>
        <w:t>标准圆锥</w:t>
      </w:r>
    </w:p>
    <w:p>
      <w:pPr>
        <w:spacing w:line="300" w:lineRule="auto"/>
        <w:rPr>
          <w:rFonts w:ascii="Arial"/>
          <w:sz w:val="21"/>
        </w:rPr>
      </w:pPr>
    </w:p>
    <w:p>
      <w:pPr>
        <w:pStyle w:val="BodyText"/>
        <w:spacing w:before="49" w:line="219" w:lineRule="auto"/>
        <w:ind w:left="2039"/>
        <w:rPr>
          <w:sz w:val="15"/>
          <w:szCs w:val="15"/>
        </w:rPr>
      </w:pPr>
      <w:r>
        <w:rPr>
          <w:spacing w:val="-7"/>
          <w:sz w:val="15"/>
          <w:szCs w:val="15"/>
        </w:rPr>
        <w:t>图4</w:t>
      </w:r>
      <w:r>
        <w:rPr>
          <w:spacing w:val="64"/>
          <w:sz w:val="15"/>
          <w:szCs w:val="15"/>
        </w:rPr>
        <w:t xml:space="preserve"> </w:t>
      </w:r>
      <w:r>
        <w:rPr>
          <w:spacing w:val="-7"/>
          <w:sz w:val="15"/>
          <w:szCs w:val="15"/>
        </w:rPr>
        <w:t>土壤液塑限测定仪压头示意图</w:t>
      </w:r>
    </w:p>
    <w:p>
      <w:pPr>
        <w:pStyle w:val="BodyText"/>
        <w:spacing w:before="221" w:line="219" w:lineRule="auto"/>
        <w:ind w:left="22"/>
        <w:rPr>
          <w:sz w:val="15"/>
          <w:szCs w:val="15"/>
        </w:rPr>
      </w:pPr>
      <w:r>
        <w:rPr>
          <w:b/>
          <w:bCs/>
          <w:spacing w:val="6"/>
          <w:sz w:val="15"/>
          <w:szCs w:val="15"/>
        </w:rPr>
        <w:t>3.3.3</w:t>
      </w:r>
      <w:r>
        <w:rPr>
          <w:spacing w:val="19"/>
          <w:sz w:val="15"/>
          <w:szCs w:val="15"/>
        </w:rPr>
        <w:t xml:space="preserve">  </w:t>
      </w:r>
      <w:r>
        <w:rPr>
          <w:spacing w:val="6"/>
          <w:sz w:val="15"/>
          <w:szCs w:val="15"/>
        </w:rPr>
        <w:t>沥青针入度仪指示装置</w:t>
      </w:r>
    </w:p>
    <w:p>
      <w:pPr>
        <w:pStyle w:val="BodyText"/>
        <w:spacing w:before="60" w:line="216" w:lineRule="auto"/>
        <w:ind w:left="370"/>
        <w:rPr>
          <w:sz w:val="15"/>
          <w:szCs w:val="15"/>
        </w:rPr>
      </w:pPr>
      <w:r>
        <w:rPr>
          <w:spacing w:val="13"/>
          <w:sz w:val="15"/>
          <w:szCs w:val="15"/>
        </w:rPr>
        <w:t>沥青针入度仪指示装置的示值范围不小于55</w:t>
      </w:r>
      <w:r>
        <w:rPr>
          <w:spacing w:val="-34"/>
          <w:sz w:val="15"/>
          <w:szCs w:val="15"/>
        </w:rPr>
        <w:t xml:space="preserve"> </w:t>
      </w:r>
      <w:r>
        <w:rPr>
          <w:sz w:val="15"/>
          <w:szCs w:val="15"/>
        </w:rPr>
        <w:t>mm</w:t>
      </w:r>
      <w:r>
        <w:rPr>
          <w:spacing w:val="13"/>
          <w:sz w:val="15"/>
          <w:szCs w:val="15"/>
        </w:rPr>
        <w:t>,  最小分度值不超过0.</w:t>
      </w:r>
      <w:r>
        <w:rPr>
          <w:spacing w:val="-39"/>
          <w:sz w:val="15"/>
          <w:szCs w:val="15"/>
        </w:rPr>
        <w:t xml:space="preserve"> </w:t>
      </w:r>
      <w:r>
        <w:rPr>
          <w:spacing w:val="12"/>
          <w:sz w:val="15"/>
          <w:szCs w:val="15"/>
        </w:rPr>
        <w:t>1</w:t>
      </w:r>
      <w:r>
        <w:rPr>
          <w:spacing w:val="-40"/>
          <w:sz w:val="15"/>
          <w:szCs w:val="15"/>
        </w:rPr>
        <w:t xml:space="preserve"> </w:t>
      </w:r>
      <w:r>
        <w:rPr>
          <w:sz w:val="15"/>
          <w:szCs w:val="15"/>
        </w:rPr>
        <w:t>mm</w:t>
      </w:r>
      <w:r>
        <w:rPr>
          <w:spacing w:val="12"/>
          <w:sz w:val="15"/>
          <w:szCs w:val="15"/>
        </w:rPr>
        <w:t>,</w:t>
      </w:r>
      <w:r>
        <w:rPr>
          <w:spacing w:val="18"/>
          <w:sz w:val="15"/>
          <w:szCs w:val="15"/>
        </w:rPr>
        <w:t xml:space="preserve">  </w:t>
      </w:r>
      <w:r>
        <w:rPr>
          <w:spacing w:val="12"/>
          <w:sz w:val="15"/>
          <w:szCs w:val="15"/>
        </w:rPr>
        <w:t>示</w:t>
      </w:r>
    </w:p>
    <w:p>
      <w:pPr>
        <w:pStyle w:val="BodyText"/>
        <w:spacing w:before="36" w:line="212" w:lineRule="auto"/>
        <w:ind w:left="20"/>
        <w:rPr>
          <w:sz w:val="17"/>
          <w:szCs w:val="17"/>
        </w:rPr>
      </w:pPr>
      <w:r>
        <w:rPr>
          <w:sz w:val="17"/>
          <w:szCs w:val="17"/>
        </w:rPr>
        <w:t>值误差不超过±0.1</w:t>
      </w:r>
      <w:r>
        <w:rPr>
          <w:rFonts w:ascii="Times New Roman" w:eastAsia="Times New Roman" w:hAnsi="Times New Roman" w:cs="Times New Roman"/>
          <w:sz w:val="17"/>
          <w:szCs w:val="17"/>
        </w:rPr>
        <w:t xml:space="preserve">mm,  </w:t>
      </w:r>
      <w:r>
        <w:rPr>
          <w:sz w:val="17"/>
          <w:szCs w:val="17"/>
        </w:rPr>
        <w:t>示值重复性不超过0.1</w:t>
      </w:r>
      <w:r>
        <w:rPr>
          <w:rFonts w:ascii="Times New Roman" w:eastAsia="Times New Roman" w:hAnsi="Times New Roman" w:cs="Times New Roman"/>
          <w:sz w:val="17"/>
          <w:szCs w:val="17"/>
        </w:rPr>
        <w:t>mm</w:t>
      </w:r>
      <w:r>
        <w:rPr>
          <w:sz w:val="17"/>
          <w:szCs w:val="17"/>
        </w:rPr>
        <w:t>。</w:t>
      </w:r>
    </w:p>
    <w:p>
      <w:pPr>
        <w:pStyle w:val="BodyText"/>
        <w:spacing w:before="56" w:line="219" w:lineRule="auto"/>
        <w:ind w:left="22"/>
        <w:rPr>
          <w:sz w:val="17"/>
          <w:szCs w:val="17"/>
        </w:rPr>
      </w:pPr>
      <w:r>
        <w:rPr>
          <w:b/>
          <w:bCs/>
          <w:spacing w:val="-8"/>
          <w:sz w:val="17"/>
          <w:szCs w:val="17"/>
        </w:rPr>
        <w:t>3.3.4</w:t>
      </w:r>
      <w:r>
        <w:rPr>
          <w:spacing w:val="-8"/>
          <w:sz w:val="17"/>
          <w:szCs w:val="17"/>
        </w:rPr>
        <w:t xml:space="preserve">  土壤液塑限测定仪指示装置</w:t>
      </w:r>
    </w:p>
    <w:p>
      <w:pPr>
        <w:pStyle w:val="BodyText"/>
        <w:spacing w:before="65" w:line="216" w:lineRule="auto"/>
        <w:ind w:left="370"/>
        <w:rPr>
          <w:sz w:val="15"/>
          <w:szCs w:val="15"/>
        </w:rPr>
      </w:pPr>
      <w:r>
        <w:rPr>
          <w:spacing w:val="12"/>
          <w:sz w:val="15"/>
          <w:szCs w:val="15"/>
        </w:rPr>
        <w:t>土壤液塑限测定仪指示装置的示值范围不小于22</w:t>
      </w:r>
      <w:r>
        <w:rPr>
          <w:spacing w:val="-36"/>
          <w:sz w:val="15"/>
          <w:szCs w:val="15"/>
        </w:rPr>
        <w:t xml:space="preserve"> </w:t>
      </w:r>
      <w:r>
        <w:rPr>
          <w:sz w:val="15"/>
          <w:szCs w:val="15"/>
        </w:rPr>
        <w:t>mm</w:t>
      </w:r>
      <w:r>
        <w:rPr>
          <w:spacing w:val="12"/>
          <w:sz w:val="15"/>
          <w:szCs w:val="15"/>
        </w:rPr>
        <w:t>,  最小分度值不超过0.1</w:t>
      </w:r>
      <w:r>
        <w:rPr>
          <w:spacing w:val="-41"/>
          <w:sz w:val="15"/>
          <w:szCs w:val="15"/>
        </w:rPr>
        <w:t xml:space="preserve"> </w:t>
      </w:r>
      <w:r>
        <w:rPr>
          <w:sz w:val="15"/>
          <w:szCs w:val="15"/>
        </w:rPr>
        <w:t>mm</w:t>
      </w:r>
      <w:r>
        <w:rPr>
          <w:spacing w:val="12"/>
          <w:sz w:val="15"/>
          <w:szCs w:val="15"/>
        </w:rPr>
        <w:t>,</w:t>
      </w:r>
    </w:p>
    <w:p>
      <w:pPr>
        <w:pStyle w:val="BodyText"/>
        <w:spacing w:before="36" w:line="216" w:lineRule="auto"/>
        <w:ind w:left="20"/>
        <w:rPr>
          <w:sz w:val="17"/>
          <w:szCs w:val="17"/>
        </w:rPr>
      </w:pPr>
      <w:r>
        <w:rPr>
          <w:spacing w:val="-6"/>
          <w:sz w:val="17"/>
          <w:szCs w:val="17"/>
        </w:rPr>
        <w:t>示值误差不超过±0.1 mm,</w:t>
      </w:r>
      <w:r>
        <w:rPr>
          <w:spacing w:val="75"/>
          <w:sz w:val="17"/>
          <w:szCs w:val="17"/>
        </w:rPr>
        <w:t xml:space="preserve"> </w:t>
      </w:r>
      <w:r>
        <w:rPr>
          <w:spacing w:val="-6"/>
          <w:sz w:val="17"/>
          <w:szCs w:val="17"/>
        </w:rPr>
        <w:t>示值重复性不超过0.1 mm。</w:t>
      </w:r>
    </w:p>
    <w:p>
      <w:pPr>
        <w:pStyle w:val="BodyText"/>
        <w:spacing w:before="52" w:line="219" w:lineRule="auto"/>
        <w:ind w:left="22"/>
        <w:rPr>
          <w:sz w:val="17"/>
          <w:szCs w:val="17"/>
        </w:rPr>
      </w:pPr>
      <w:r>
        <w:rPr>
          <w:b/>
          <w:bCs/>
          <w:spacing w:val="-7"/>
          <w:sz w:val="17"/>
          <w:szCs w:val="17"/>
        </w:rPr>
        <w:t>3.4</w:t>
      </w:r>
      <w:r>
        <w:rPr>
          <w:spacing w:val="75"/>
          <w:sz w:val="17"/>
          <w:szCs w:val="17"/>
        </w:rPr>
        <w:t xml:space="preserve"> </w:t>
      </w:r>
      <w:r>
        <w:rPr>
          <w:spacing w:val="-7"/>
          <w:sz w:val="17"/>
          <w:szCs w:val="17"/>
        </w:rPr>
        <w:t>塑限测定仪附件</w:t>
      </w:r>
    </w:p>
    <w:p>
      <w:pPr>
        <w:pStyle w:val="BodyText"/>
        <w:spacing w:before="28" w:line="219" w:lineRule="auto"/>
        <w:ind w:left="22"/>
        <w:rPr>
          <w:sz w:val="17"/>
          <w:szCs w:val="17"/>
        </w:rPr>
      </w:pPr>
      <w:r>
        <w:rPr>
          <w:b/>
          <w:bCs/>
          <w:spacing w:val="-8"/>
          <w:sz w:val="17"/>
          <w:szCs w:val="17"/>
        </w:rPr>
        <w:t>3.4.1</w:t>
      </w:r>
      <w:r>
        <w:rPr>
          <w:spacing w:val="-8"/>
          <w:sz w:val="17"/>
          <w:szCs w:val="17"/>
        </w:rPr>
        <w:t xml:space="preserve">  水泥净浆标准稠度与凝结时间测定仪附件</w:t>
      </w:r>
    </w:p>
    <w:p>
      <w:pPr>
        <w:pStyle w:val="BodyText"/>
        <w:spacing w:before="57" w:line="216" w:lineRule="auto"/>
        <w:ind w:left="370"/>
        <w:rPr>
          <w:sz w:val="15"/>
          <w:szCs w:val="15"/>
        </w:rPr>
      </w:pPr>
      <w:r>
        <w:rPr>
          <w:spacing w:val="13"/>
          <w:sz w:val="15"/>
          <w:szCs w:val="15"/>
        </w:rPr>
        <w:t xml:space="preserve">盛装水泥的试模为截体圆锥体，深度为40 </w:t>
      </w:r>
      <w:r>
        <w:rPr>
          <w:sz w:val="15"/>
          <w:szCs w:val="15"/>
        </w:rPr>
        <w:t>mm</w:t>
      </w:r>
      <w:r>
        <w:rPr>
          <w:spacing w:val="13"/>
          <w:sz w:val="15"/>
          <w:szCs w:val="15"/>
        </w:rPr>
        <w:t>±0.2</w:t>
      </w:r>
      <w:r>
        <w:rPr>
          <w:spacing w:val="6"/>
          <w:sz w:val="15"/>
          <w:szCs w:val="15"/>
        </w:rPr>
        <w:t xml:space="preserve">     </w:t>
      </w:r>
      <w:r>
        <w:rPr>
          <w:sz w:val="15"/>
          <w:szCs w:val="15"/>
        </w:rPr>
        <w:t>mm</w:t>
      </w:r>
      <w:r>
        <w:rPr>
          <w:spacing w:val="13"/>
          <w:sz w:val="15"/>
          <w:szCs w:val="15"/>
        </w:rPr>
        <w:t>,上口内径为965</w:t>
      </w:r>
      <w:r>
        <w:rPr>
          <w:spacing w:val="-34"/>
          <w:sz w:val="15"/>
          <w:szCs w:val="15"/>
        </w:rPr>
        <w:t xml:space="preserve"> </w:t>
      </w:r>
      <w:r>
        <w:rPr>
          <w:sz w:val="15"/>
          <w:szCs w:val="15"/>
        </w:rPr>
        <w:t>mm</w:t>
      </w:r>
      <w:r>
        <w:rPr>
          <w:spacing w:val="13"/>
          <w:sz w:val="15"/>
          <w:szCs w:val="15"/>
        </w:rPr>
        <w:t>±</w:t>
      </w:r>
    </w:p>
    <w:p>
      <w:pPr>
        <w:pStyle w:val="BodyText"/>
        <w:spacing w:before="57" w:line="212" w:lineRule="auto"/>
        <w:ind w:left="20"/>
        <w:rPr>
          <w:sz w:val="15"/>
          <w:szCs w:val="15"/>
        </w:rPr>
      </w:pPr>
      <w:r>
        <w:rPr>
          <w:spacing w:val="8"/>
          <w:sz w:val="15"/>
          <w:szCs w:val="15"/>
        </w:rPr>
        <w:t>0.5</w:t>
      </w:r>
      <w:r>
        <w:rPr>
          <w:sz w:val="15"/>
          <w:szCs w:val="15"/>
        </w:rPr>
        <w:t>mm</w:t>
      </w:r>
      <w:r>
        <w:rPr>
          <w:spacing w:val="8"/>
          <w:sz w:val="15"/>
          <w:szCs w:val="15"/>
        </w:rPr>
        <w:t>,   下口内径为φ75</w:t>
      </w:r>
      <w:r>
        <w:rPr>
          <w:spacing w:val="-28"/>
          <w:sz w:val="15"/>
          <w:szCs w:val="15"/>
        </w:rPr>
        <w:t xml:space="preserve"> </w:t>
      </w:r>
      <w:r>
        <w:rPr>
          <w:rFonts w:ascii="Times New Roman" w:eastAsia="Times New Roman" w:hAnsi="Times New Roman" w:cs="Times New Roman"/>
          <w:sz w:val="15"/>
          <w:szCs w:val="15"/>
        </w:rPr>
        <w:t>mm</w:t>
      </w:r>
      <w:r>
        <w:rPr>
          <w:rFonts w:ascii="Times New Roman" w:eastAsia="Times New Roman" w:hAnsi="Times New Roman" w:cs="Times New Roman"/>
          <w:spacing w:val="8"/>
          <w:sz w:val="15"/>
          <w:szCs w:val="15"/>
        </w:rPr>
        <w:t>±0.5</w:t>
      </w:r>
      <w:r>
        <w:rPr>
          <w:rFonts w:ascii="Times New Roman" w:eastAsia="Times New Roman" w:hAnsi="Times New Roman" w:cs="Times New Roman"/>
          <w:sz w:val="15"/>
          <w:szCs w:val="15"/>
        </w:rPr>
        <w:t>mm</w:t>
      </w:r>
      <w:r>
        <w:rPr>
          <w:rFonts w:ascii="Times New Roman" w:eastAsia="Times New Roman" w:hAnsi="Times New Roman" w:cs="Times New Roman"/>
          <w:spacing w:val="8"/>
          <w:sz w:val="15"/>
          <w:szCs w:val="15"/>
        </w:rPr>
        <w:t xml:space="preserve">,         </w:t>
      </w:r>
      <w:r>
        <w:rPr>
          <w:spacing w:val="8"/>
          <w:sz w:val="15"/>
          <w:szCs w:val="15"/>
        </w:rPr>
        <w:t>用代用法测定标准稠度用的圆锥体试模角度</w:t>
      </w:r>
      <w:r>
        <w:rPr>
          <w:sz w:val="15"/>
          <w:szCs w:val="15"/>
        </w:rPr>
        <w:br/>
      </w:r>
      <w:r>
        <w:rPr>
          <w:sz w:val="15"/>
          <w:szCs w:val="15"/>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8" w:history="1">
        <w:r>
          <w:rPr>
            <w:rFonts w:ascii="SimSun" w:eastAsia="SimSun" w:hAnsi="SimSun" w:cs="SimSun"/>
            <w:b/>
            <w:bCs/>
            <w:noProof w:val="0"/>
            <w:snapToGrid/>
            <w:color w:val="0000EE"/>
            <w:kern w:val="0"/>
            <w:sz w:val="30"/>
            <w:szCs w:val="30"/>
            <w:u w:val="single" w:color="0000EE"/>
          </w:rPr>
          <w:t>https://d.book118.com/098102030060006024</w:t>
        </w:r>
      </w:hyperlink>
    </w:p>
    <w:p>
      <w:pPr>
        <w:pStyle w:val="BodyText"/>
        <w:spacing w:before="57" w:line="212" w:lineRule="auto"/>
        <w:ind w:left="20"/>
        <w:rPr>
          <w:sz w:val="15"/>
          <w:szCs w:val="15"/>
        </w:rPr>
      </w:pPr>
    </w:p>
    <w:sectPr>
      <w:headerReference w:type="default" r:id="rId29"/>
      <w:footerReference w:type="default" r:id="rId30"/>
      <w:pgSz w:w="7200" w:h="10460"/>
      <w:pgMar w:top="660" w:right="529" w:bottom="724" w:left="439" w:header="435" w:footer="576" w:gutter="0"/>
      <w:pgNumType w:start="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30"/>
      <w:rPr>
        <w:sz w:val="11"/>
        <w:szCs w:val="11"/>
      </w:rPr>
    </w:pPr>
    <w:r>
      <w:rPr>
        <w:sz w:val="11"/>
        <w:szCs w:val="11"/>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30"/>
      <w:rPr>
        <w:sz w:val="11"/>
        <w:szCs w:val="11"/>
      </w:rPr>
    </w:pPr>
    <w:r>
      <w:rPr>
        <w:sz w:val="11"/>
        <w:szCs w:val="11"/>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55"/>
      <w:rPr>
        <w:sz w:val="13"/>
        <w:szCs w:val="13"/>
      </w:rPr>
    </w:pPr>
    <w:r>
      <w:rPr>
        <w:sz w:val="13"/>
        <w:szCs w:val="13"/>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55"/>
      <w:rPr>
        <w:sz w:val="13"/>
        <w:szCs w:val="13"/>
      </w:rPr>
    </w:pPr>
    <w:r>
      <w:rPr>
        <w:sz w:val="13"/>
        <w:szCs w:val="13"/>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19"/>
      <w:rPr>
        <w:sz w:val="11"/>
        <w:szCs w:val="11"/>
      </w:rPr>
    </w:pPr>
    <w:r>
      <w:rPr>
        <w:sz w:val="11"/>
        <w:szCs w:val="11"/>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19"/>
      <w:rPr>
        <w:sz w:val="11"/>
        <w:szCs w:val="11"/>
      </w:rPr>
    </w:pPr>
    <w:r>
      <w:rPr>
        <w:sz w:val="11"/>
        <w:szCs w:val="11"/>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4" w:lineRule="auto"/>
      <w:ind w:left="149"/>
      <w:rPr>
        <w:sz w:val="10"/>
        <w:szCs w:val="10"/>
      </w:rPr>
    </w:pPr>
    <w:r>
      <w:rPr>
        <w:sz w:val="10"/>
        <w:szCs w:val="10"/>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4" w:lineRule="auto"/>
      <w:ind w:left="149"/>
      <w:rPr>
        <w:sz w:val="10"/>
        <w:szCs w:val="10"/>
      </w:rPr>
    </w:pPr>
    <w:r>
      <w:rPr>
        <w:sz w:val="10"/>
        <w:szCs w:val="10"/>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5909"/>
      <w:rPr>
        <w:sz w:val="15"/>
        <w:szCs w:val="15"/>
      </w:rPr>
    </w:pPr>
    <w:r>
      <w:rPr>
        <w:sz w:val="15"/>
        <w:szCs w:val="15"/>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41"/>
    </w:pPr>
    <w:r>
      <w:drawing>
        <wp:anchor distT="0" distB="0" distL="0" distR="0" simplePos="0" relativeHeight="251658240" behindDoc="0" locked="0" layoutInCell="0" allowOverlap="1">
          <wp:simplePos x="0" y="0"/>
          <wp:positionH relativeFrom="page">
            <wp:posOffset>266684</wp:posOffset>
          </wp:positionH>
          <wp:positionV relativeFrom="page">
            <wp:posOffset>317492</wp:posOffset>
          </wp:positionV>
          <wp:extent cx="3930685" cy="637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3930685" cy="6376"/>
                  </a:xfrm>
                  <a:prstGeom prst="rect">
                    <a:avLst/>
                  </a:prstGeom>
                </pic:spPr>
              </pic:pic>
            </a:graphicData>
          </a:graphic>
        </wp:anchor>
      </w:drawing>
    </w:r>
    <w:r>
      <w:rPr>
        <w:b/>
        <w:bCs/>
        <w:spacing w:val="-15"/>
      </w:rPr>
      <w:t>JJF</w:t>
    </w:r>
    <w:r>
      <w:rPr>
        <w:spacing w:val="4"/>
      </w:rPr>
      <w:t xml:space="preserve"> </w:t>
    </w:r>
    <w:r>
      <w:rPr>
        <w:b/>
        <w:bCs/>
        <w:spacing w:val="-15"/>
      </w:rPr>
      <w:t>1090—2002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41"/>
    </w:pPr>
    <w:r>
      <w:drawing>
        <wp:anchor distT="0" distB="0" distL="0" distR="0" simplePos="0" relativeHeight="251659264" behindDoc="0" locked="0" layoutInCell="0" allowOverlap="1">
          <wp:simplePos x="0" y="0"/>
          <wp:positionH relativeFrom="page">
            <wp:posOffset>266684</wp:posOffset>
          </wp:positionH>
          <wp:positionV relativeFrom="page">
            <wp:posOffset>317492</wp:posOffset>
          </wp:positionV>
          <wp:extent cx="3930685" cy="6376"/>
          <wp:effectExtent l="0" t="0" r="0" b="0"/>
          <wp:wrapNone/>
          <wp:docPr id="72277433" name="IM 2"/>
          <wp:cNvGraphicFramePr/>
          <a:graphic xmlns:a="http://schemas.openxmlformats.org/drawingml/2006/main">
            <a:graphicData uri="http://schemas.openxmlformats.org/drawingml/2006/picture">
              <pic:pic xmlns:pic="http://schemas.openxmlformats.org/drawingml/2006/picture">
                <pic:nvPicPr>
                  <pic:cNvPr id="72277433" name="IM 2"/>
                  <pic:cNvPicPr/>
                </pic:nvPicPr>
                <pic:blipFill>
                  <a:blip xmlns:r="http://schemas.openxmlformats.org/officeDocument/2006/relationships" r:embed="rId1"/>
                  <a:stretch>
                    <a:fillRect/>
                  </a:stretch>
                </pic:blipFill>
                <pic:spPr>
                  <a:xfrm>
                    <a:off x="0" y="0"/>
                    <a:ext cx="3930685" cy="6376"/>
                  </a:xfrm>
                  <a:prstGeom prst="rect">
                    <a:avLst/>
                  </a:prstGeom>
                </pic:spPr>
              </pic:pic>
            </a:graphicData>
          </a:graphic>
        </wp:anchor>
      </w:drawing>
    </w:r>
    <w:r>
      <w:rPr>
        <w:b/>
        <w:bCs/>
        <w:spacing w:val="-15"/>
      </w:rPr>
      <w:t>JJF</w:t>
    </w:r>
    <w:r>
      <w:rPr>
        <w:spacing w:val="4"/>
      </w:rPr>
      <w:t xml:space="preserve"> </w:t>
    </w:r>
    <w:r>
      <w:rPr>
        <w:b/>
        <w:bCs/>
        <w:spacing w:val="-15"/>
      </w:rPr>
      <w:t>1090—2002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56"/>
      <w:rPr>
        <w:sz w:val="13"/>
        <w:szCs w:val="13"/>
      </w:rPr>
    </w:pPr>
    <w:r>
      <w:drawing>
        <wp:anchor distT="0" distB="0" distL="0" distR="0" simplePos="0" relativeHeight="251660288" behindDoc="0" locked="0" layoutInCell="0" allowOverlap="1">
          <wp:simplePos x="0" y="0"/>
          <wp:positionH relativeFrom="page">
            <wp:posOffset>406393</wp:posOffset>
          </wp:positionH>
          <wp:positionV relativeFrom="page">
            <wp:posOffset>488953</wp:posOffset>
          </wp:positionV>
          <wp:extent cx="3930672"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3930672" cy="6350"/>
                  </a:xfrm>
                  <a:prstGeom prst="rect">
                    <a:avLst/>
                  </a:prstGeom>
                </pic:spPr>
              </pic:pic>
            </a:graphicData>
          </a:graphic>
        </wp:anchor>
      </w:drawing>
    </w:r>
    <w:r>
      <w:rPr>
        <w:b/>
        <w:bCs/>
        <w:spacing w:val="-3"/>
        <w:sz w:val="13"/>
        <w:szCs w:val="13"/>
      </w:rPr>
      <w:t>JJF</w:t>
    </w:r>
    <w:r>
      <w:rPr>
        <w:spacing w:val="4"/>
        <w:sz w:val="13"/>
        <w:szCs w:val="13"/>
      </w:rPr>
      <w:t xml:space="preserve">  </w:t>
    </w:r>
    <w:r>
      <w:rPr>
        <w:b/>
        <w:bCs/>
        <w:spacing w:val="-3"/>
        <w:sz w:val="13"/>
        <w:szCs w:val="13"/>
      </w:rPr>
      <w:t>1090—2002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56"/>
      <w:rPr>
        <w:sz w:val="13"/>
        <w:szCs w:val="13"/>
      </w:rPr>
    </w:pPr>
    <w:r>
      <w:drawing>
        <wp:anchor distT="0" distB="0" distL="0" distR="0" simplePos="0" relativeHeight="251661312" behindDoc="0" locked="0" layoutInCell="0" allowOverlap="1">
          <wp:simplePos x="0" y="0"/>
          <wp:positionH relativeFrom="page">
            <wp:posOffset>406393</wp:posOffset>
          </wp:positionH>
          <wp:positionV relativeFrom="page">
            <wp:posOffset>488953</wp:posOffset>
          </wp:positionV>
          <wp:extent cx="3930672" cy="6350"/>
          <wp:effectExtent l="0" t="0" r="0" b="0"/>
          <wp:wrapNone/>
          <wp:docPr id="987084466" name="IM 4"/>
          <wp:cNvGraphicFramePr/>
          <a:graphic xmlns:a="http://schemas.openxmlformats.org/drawingml/2006/main">
            <a:graphicData uri="http://schemas.openxmlformats.org/drawingml/2006/picture">
              <pic:pic xmlns:pic="http://schemas.openxmlformats.org/drawingml/2006/picture">
                <pic:nvPicPr>
                  <pic:cNvPr id="987084466" name="IM 4"/>
                  <pic:cNvPicPr/>
                </pic:nvPicPr>
                <pic:blipFill>
                  <a:blip xmlns:r="http://schemas.openxmlformats.org/officeDocument/2006/relationships" r:embed="rId1"/>
                  <a:stretch>
                    <a:fillRect/>
                  </a:stretch>
                </pic:blipFill>
                <pic:spPr>
                  <a:xfrm>
                    <a:off x="0" y="0"/>
                    <a:ext cx="3930672" cy="6350"/>
                  </a:xfrm>
                  <a:prstGeom prst="rect">
                    <a:avLst/>
                  </a:prstGeom>
                </pic:spPr>
              </pic:pic>
            </a:graphicData>
          </a:graphic>
        </wp:anchor>
      </w:drawing>
    </w:r>
    <w:r>
      <w:rPr>
        <w:b/>
        <w:bCs/>
        <w:spacing w:val="-3"/>
        <w:sz w:val="13"/>
        <w:szCs w:val="13"/>
      </w:rPr>
      <w:t>JJF</w:t>
    </w:r>
    <w:r>
      <w:rPr>
        <w:spacing w:val="4"/>
        <w:sz w:val="13"/>
        <w:szCs w:val="13"/>
      </w:rPr>
      <w:t xml:space="preserve">  </w:t>
    </w:r>
    <w:r>
      <w:rPr>
        <w:b/>
        <w:bCs/>
        <w:spacing w:val="-3"/>
        <w:sz w:val="13"/>
        <w:szCs w:val="13"/>
      </w:rPr>
      <w:t>1090—2002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633"/>
      </w:tabs>
      <w:spacing w:line="134" w:lineRule="auto"/>
      <w:rPr>
        <w:sz w:val="12"/>
        <w:szCs w:val="12"/>
      </w:rPr>
    </w:pPr>
    <w:r>
      <w:rPr>
        <w:sz w:val="12"/>
        <w:szCs w:val="12"/>
        <w:u w:val="single" w:color="auto"/>
      </w:rPr>
      <w:tab/>
    </w:r>
    <w:r>
      <w:rPr>
        <w:b/>
        <w:bCs/>
        <w:spacing w:val="-2"/>
        <w:sz w:val="12"/>
        <w:szCs w:val="12"/>
        <w:u w:val="single" w:color="auto"/>
      </w:rPr>
      <w:t>LJF</w:t>
    </w:r>
    <w:r>
      <w:rPr>
        <w:spacing w:val="21"/>
        <w:w w:val="101"/>
        <w:sz w:val="12"/>
        <w:szCs w:val="12"/>
        <w:u w:val="single" w:color="auto"/>
      </w:rPr>
      <w:t xml:space="preserve">  </w:t>
    </w:r>
    <w:r>
      <w:rPr>
        <w:b/>
        <w:bCs/>
        <w:spacing w:val="-2"/>
        <w:sz w:val="12"/>
        <w:szCs w:val="12"/>
        <w:u w:val="single" w:color="auto"/>
      </w:rPr>
      <w:t>1090—2002</w:t>
    </w:r>
    <w:r>
      <w:rPr>
        <w:spacing w:val="-2"/>
        <w:sz w:val="12"/>
        <w:szCs w:val="12"/>
        <w:u w:val="single" w:color="auto"/>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633"/>
      </w:tabs>
      <w:spacing w:line="134" w:lineRule="auto"/>
      <w:rPr>
        <w:sz w:val="12"/>
        <w:szCs w:val="12"/>
      </w:rPr>
    </w:pPr>
    <w:r>
      <w:rPr>
        <w:sz w:val="12"/>
        <w:szCs w:val="12"/>
        <w:u w:val="single" w:color="auto"/>
      </w:rPr>
      <w:tab/>
    </w:r>
    <w:r>
      <w:rPr>
        <w:b/>
        <w:bCs/>
        <w:spacing w:val="-2"/>
        <w:sz w:val="12"/>
        <w:szCs w:val="12"/>
        <w:u w:val="single" w:color="auto"/>
      </w:rPr>
      <w:t>LJF</w:t>
    </w:r>
    <w:r>
      <w:rPr>
        <w:spacing w:val="21"/>
        <w:w w:val="101"/>
        <w:sz w:val="12"/>
        <w:szCs w:val="12"/>
        <w:u w:val="single" w:color="auto"/>
      </w:rPr>
      <w:t xml:space="preserve">  </w:t>
    </w:r>
    <w:r>
      <w:rPr>
        <w:b/>
        <w:bCs/>
        <w:spacing w:val="-2"/>
        <w:sz w:val="12"/>
        <w:szCs w:val="12"/>
        <w:u w:val="single" w:color="auto"/>
      </w:rPr>
      <w:t>1090—2002</w:t>
    </w:r>
    <w:r>
      <w:rPr>
        <w:spacing w:val="-2"/>
        <w:sz w:val="12"/>
        <w:szCs w:val="12"/>
        <w:u w:val="single" w:color="auto"/>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22"/>
      <w:rPr>
        <w:sz w:val="14"/>
        <w:szCs w:val="14"/>
      </w:rPr>
    </w:pPr>
    <w:r>
      <w:drawing>
        <wp:anchor distT="0" distB="0" distL="0" distR="0" simplePos="0" relativeHeight="251662336" behindDoc="0" locked="0" layoutInCell="0" allowOverlap="1">
          <wp:simplePos x="0" y="0"/>
          <wp:positionH relativeFrom="page">
            <wp:posOffset>355610</wp:posOffset>
          </wp:positionH>
          <wp:positionV relativeFrom="page">
            <wp:posOffset>400053</wp:posOffset>
          </wp:positionV>
          <wp:extent cx="3924284" cy="6376"/>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3924284" cy="6376"/>
                  </a:xfrm>
                  <a:prstGeom prst="rect">
                    <a:avLst/>
                  </a:prstGeom>
                </pic:spPr>
              </pic:pic>
            </a:graphicData>
          </a:graphic>
        </wp:anchor>
      </w:drawing>
    </w:r>
    <w:r>
      <w:rPr>
        <w:b/>
        <w:bCs/>
        <w:spacing w:val="-4"/>
        <w:sz w:val="14"/>
        <w:szCs w:val="14"/>
      </w:rPr>
      <w:t>JJF</w:t>
    </w:r>
    <w:r>
      <w:rPr>
        <w:spacing w:val="24"/>
        <w:sz w:val="14"/>
        <w:szCs w:val="14"/>
      </w:rPr>
      <w:t xml:space="preserve"> </w:t>
    </w:r>
    <w:r>
      <w:rPr>
        <w:b/>
        <w:bCs/>
        <w:spacing w:val="-4"/>
        <w:sz w:val="14"/>
        <w:szCs w:val="14"/>
      </w:rPr>
      <w:t>1090—2002</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22"/>
      <w:rPr>
        <w:sz w:val="14"/>
        <w:szCs w:val="14"/>
      </w:rPr>
    </w:pPr>
    <w:r>
      <w:drawing>
        <wp:anchor distT="0" distB="0" distL="0" distR="0" simplePos="0" relativeHeight="251663360" behindDoc="0" locked="0" layoutInCell="0" allowOverlap="1">
          <wp:simplePos x="0" y="0"/>
          <wp:positionH relativeFrom="page">
            <wp:posOffset>355610</wp:posOffset>
          </wp:positionH>
          <wp:positionV relativeFrom="page">
            <wp:posOffset>400053</wp:posOffset>
          </wp:positionV>
          <wp:extent cx="3924284" cy="6376"/>
          <wp:effectExtent l="0" t="0" r="0" b="0"/>
          <wp:wrapNone/>
          <wp:docPr id="805193372" name="IM 14"/>
          <wp:cNvGraphicFramePr/>
          <a:graphic xmlns:a="http://schemas.openxmlformats.org/drawingml/2006/main">
            <a:graphicData uri="http://schemas.openxmlformats.org/drawingml/2006/picture">
              <pic:pic xmlns:pic="http://schemas.openxmlformats.org/drawingml/2006/picture">
                <pic:nvPicPr>
                  <pic:cNvPr id="805193372" name="IM 14"/>
                  <pic:cNvPicPr/>
                </pic:nvPicPr>
                <pic:blipFill>
                  <a:blip xmlns:r="http://schemas.openxmlformats.org/officeDocument/2006/relationships" r:embed="rId1"/>
                  <a:stretch>
                    <a:fillRect/>
                  </a:stretch>
                </pic:blipFill>
                <pic:spPr>
                  <a:xfrm>
                    <a:off x="0" y="0"/>
                    <a:ext cx="3924284" cy="6376"/>
                  </a:xfrm>
                  <a:prstGeom prst="rect">
                    <a:avLst/>
                  </a:prstGeom>
                </pic:spPr>
              </pic:pic>
            </a:graphicData>
          </a:graphic>
        </wp:anchor>
      </w:drawing>
    </w:r>
    <w:r>
      <w:rPr>
        <w:b/>
        <w:bCs/>
        <w:spacing w:val="-4"/>
        <w:sz w:val="14"/>
        <w:szCs w:val="14"/>
      </w:rPr>
      <w:t>JJF</w:t>
    </w:r>
    <w:r>
      <w:rPr>
        <w:spacing w:val="24"/>
        <w:sz w:val="14"/>
        <w:szCs w:val="14"/>
      </w:rPr>
      <w:t xml:space="preserve"> </w:t>
    </w:r>
    <w:r>
      <w:rPr>
        <w:b/>
        <w:bCs/>
        <w:spacing w:val="-4"/>
        <w:sz w:val="14"/>
        <w:szCs w:val="14"/>
      </w:rPr>
      <w:t>1090—2002</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62"/>
      <w:rPr>
        <w:sz w:val="15"/>
        <w:szCs w:val="15"/>
      </w:rPr>
    </w:pPr>
    <w:r>
      <w:drawing>
        <wp:anchor distT="0" distB="0" distL="0" distR="0" simplePos="0" relativeHeight="251664384" behindDoc="0" locked="0" layoutInCell="0" allowOverlap="1">
          <wp:simplePos x="0" y="0"/>
          <wp:positionH relativeFrom="page">
            <wp:posOffset>304815</wp:posOffset>
          </wp:positionH>
          <wp:positionV relativeFrom="page">
            <wp:posOffset>412739</wp:posOffset>
          </wp:positionV>
          <wp:extent cx="3930639" cy="6376"/>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3930639" cy="6376"/>
                  </a:xfrm>
                  <a:prstGeom prst="rect">
                    <a:avLst/>
                  </a:prstGeom>
                </pic:spPr>
              </pic:pic>
            </a:graphicData>
          </a:graphic>
        </wp:anchor>
      </w:drawing>
    </w:r>
    <w:r>
      <w:rPr>
        <w:b/>
        <w:bCs/>
        <w:spacing w:val="-4"/>
        <w:sz w:val="15"/>
        <w:szCs w:val="15"/>
      </w:rPr>
      <w:t>JJF</w:t>
    </w:r>
    <w:r>
      <w:rPr>
        <w:spacing w:val="22"/>
        <w:w w:val="101"/>
        <w:sz w:val="15"/>
        <w:szCs w:val="15"/>
      </w:rPr>
      <w:t xml:space="preserve"> </w:t>
    </w:r>
    <w:r>
      <w:rPr>
        <w:b/>
        <w:bCs/>
        <w:spacing w:val="-4"/>
        <w:sz w:val="15"/>
        <w:szCs w:val="15"/>
      </w:rPr>
      <w:t>1090-2002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16"/>
      <w:szCs w:val="16"/>
      <w:lang w:val="en-US" w:eastAsia="en-US" w:bidi="ar-SA"/>
    </w:rPr>
  </w:style>
  <w:style w:type="paragraph" w:customStyle="1" w:styleId="TableText">
    <w:name w:val="Table Text"/>
    <w:basedOn w:val="Normal"/>
    <w:semiHidden/>
    <w:qFormat/>
    <w:rPr>
      <w:rFonts w:ascii="SimSun" w:eastAsia="SimSun" w:hAnsi="SimSun" w:cs="SimSun"/>
      <w:sz w:val="14"/>
      <w:szCs w:val="1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image" Target="media/image7.jpeg"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8.jpeg" /><Relationship Id="rId22" Type="http://schemas.openxmlformats.org/officeDocument/2006/relationships/image" Target="media/image9.jpe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image" Target="media/image11.jpeg" /><Relationship Id="rId28" Type="http://schemas.openxmlformats.org/officeDocument/2006/relationships/hyperlink" Target="https://d.book118.com/098102030060006024" TargetMode="Externa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2.jpeg" /><Relationship Id="rId9" Type="http://schemas.openxmlformats.org/officeDocument/2006/relationships/image" Target="media/image3.jpe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6.jpeg" /></Relationships>
</file>

<file path=word/_rels/header4.xml.rels><?xml version="1.0" encoding="utf-8" standalone="yes"?><Relationships xmlns="http://schemas.openxmlformats.org/package/2006/relationships"><Relationship Id="rId1" Type="http://schemas.openxmlformats.org/officeDocument/2006/relationships/image" Target="media/image6.jpeg" /></Relationships>
</file>

<file path=word/_rels/header7.xml.rels><?xml version="1.0" encoding="utf-8" standalone="yes"?><Relationships xmlns="http://schemas.openxmlformats.org/package/2006/relationships"><Relationship Id="rId1" Type="http://schemas.openxmlformats.org/officeDocument/2006/relationships/image" Target="media/image10.jpeg" /></Relationships>
</file>

<file path=word/_rels/header8.xml.rels><?xml version="1.0" encoding="utf-8" standalone="yes"?><Relationships xmlns="http://schemas.openxmlformats.org/package/2006/relationships"><Relationship Id="rId1" Type="http://schemas.openxmlformats.org/officeDocument/2006/relationships/image" Target="media/image10.jpeg" /></Relationships>
</file>

<file path=word/_rels/header9.xml.rels><?xml version="1.0" encoding="utf-8" standalone="yes"?><Relationships xmlns="http://schemas.openxmlformats.org/package/2006/relationships"><Relationship Id="rId1" Type="http://schemas.openxmlformats.org/officeDocument/2006/relationships/image" Target="media/image1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2024-01-08T17:22:27Z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2024-01-08T17:22:28Z</vt:filetime>
  </property>
  <property fmtid="{D5CDD505-2E9C-101B-9397-08002B2CF9AE}" pid="3" name="CRO">
    <vt:lpwstr>wqlLaW5nc29mdCBQREYgdG8gV1BTIDkw</vt:lpwstr>
  </property>
  <property fmtid="{D5CDD505-2E9C-101B-9397-08002B2CF9AE}" pid="4" name="UsrData">
    <vt:lpwstr>659bbece98caa6001fdd85bcwl</vt:lpwstr>
  </property>
</Properties>
</file>