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计算器及货币专用设备行业相关公司设立可行性研究报告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2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_Toc5725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_Toc10217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_Toc10730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_Toc23467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_Toc19461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_Toc9041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_Toc14543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_Toc10467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6" w:history="1">
        <w:r>
          <w:rPr>
            <w:rFonts w:ascii="仿宋" w:eastAsia="仿宋" w:hAnsi="仿宋" w:cs="仿宋" w:hint="eastAsia"/>
            <w:lang w:eastAsia="zh-CN"/>
          </w:rPr>
          <w:t>(七)、计算器及货币专用设备项目建设必要性分析</w:t>
        </w:r>
        <w:r>
          <w:tab/>
        </w:r>
        <w:r>
          <w:fldChar w:fldCharType="begin"/>
        </w:r>
        <w:r>
          <w:instrText xml:space="preserve"> PAGEREF _Toc32496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_Toc8734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_Toc16384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_Toc10698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0" w:history="1">
        <w:r>
          <w:rPr>
            <w:rFonts w:ascii="仿宋" w:eastAsia="仿宋" w:hAnsi="仿宋" w:cs="仿宋" w:hint="eastAsia"/>
            <w:lang w:eastAsia="zh-CN"/>
          </w:rPr>
          <w:t>三、计算器及货币专用设备筹建公司基本信息</w:t>
        </w:r>
        <w:r>
          <w:tab/>
        </w:r>
        <w:r>
          <w:fldChar w:fldCharType="begin"/>
        </w:r>
        <w:r>
          <w:instrText xml:space="preserve"> PAGEREF _Toc21770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_Toc16538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_Toc6696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_Toc24405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_Toc16082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_Toc29835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_Toc32043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_Toc9173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4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_Toc7941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(一)、计算器及货币专用设备项目选址原则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_Toc9321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_Toc31371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_Toc8667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2" w:history="1">
        <w:r>
          <w:rPr>
            <w:rFonts w:ascii="仿宋" w:eastAsia="仿宋" w:hAnsi="仿宋" w:cs="仿宋" w:hint="eastAsia"/>
            <w:lang w:eastAsia="zh-CN"/>
          </w:rPr>
          <w:t>(五)、计算器及货币专用设备项目选址综合评价</w:t>
        </w:r>
        <w:r>
          <w:tab/>
        </w:r>
        <w:r>
          <w:fldChar w:fldCharType="begin"/>
        </w:r>
        <w:r>
          <w:instrText xml:space="preserve"> PAGEREF _Toc29172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_Toc9723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_Toc22861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_Toc27786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_Toc5556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1" w:history="1">
        <w:r>
          <w:rPr>
            <w:rFonts w:ascii="仿宋" w:eastAsia="仿宋" w:hAnsi="仿宋" w:cs="仿宋" w:hint="eastAsia"/>
            <w:lang w:eastAsia="zh-CN"/>
          </w:rPr>
          <w:t>(五)、计算器及货币专用设备项目总投资</w:t>
        </w:r>
        <w:r>
          <w:tab/>
        </w:r>
        <w:r>
          <w:fldChar w:fldCharType="begin"/>
        </w:r>
        <w:r>
          <w:instrText xml:space="preserve"> PAGEREF _Toc17731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_Toc31330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7" w:history="1">
        <w:r>
          <w:rPr>
            <w:rFonts w:ascii="仿宋" w:eastAsia="仿宋" w:hAnsi="仿宋" w:cs="仿宋" w:hint="eastAsia"/>
            <w:lang w:eastAsia="zh-CN"/>
          </w:rPr>
          <w:t>(一)、计算器及货币专用设备项目背景分析</w:t>
        </w:r>
        <w:r>
          <w:tab/>
        </w:r>
        <w:r>
          <w:fldChar w:fldCharType="begin"/>
        </w:r>
        <w:r>
          <w:instrText xml:space="preserve"> PAGEREF _Toc26747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4" w:history="1">
        <w:r>
          <w:rPr>
            <w:rFonts w:ascii="仿宋" w:eastAsia="仿宋" w:hAnsi="仿宋" w:cs="仿宋" w:hint="eastAsia"/>
            <w:lang w:eastAsia="zh-CN"/>
          </w:rPr>
          <w:t>(二)、计算器及货币专用设备项目建设必要性分析</w:t>
        </w:r>
        <w:r>
          <w:tab/>
        </w:r>
        <w:r>
          <w:fldChar w:fldCharType="begin"/>
        </w:r>
        <w:r>
          <w:instrText xml:space="preserve"> PAGEREF _Toc15164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1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_Toc32196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0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_Toc3660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_Toc13612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_Toc13782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_Toc28031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0" w:history="1">
        <w:r>
          <w:rPr>
            <w:rFonts w:ascii="仿宋" w:eastAsia="仿宋" w:hAnsi="仿宋" w:cs="仿宋" w:hint="eastAsia"/>
            <w:lang w:eastAsia="zh-CN"/>
          </w:rPr>
          <w:t>九、计算器及货币专用设备项目经济效益</w:t>
        </w:r>
        <w:r>
          <w:tab/>
        </w:r>
        <w:r>
          <w:fldChar w:fldCharType="begin"/>
        </w:r>
        <w:r>
          <w:instrText xml:space="preserve"> PAGEREF _Toc9880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_Toc4350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_Toc12007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7" w:history="1">
        <w:r>
          <w:rPr>
            <w:rFonts w:ascii="仿宋" w:eastAsia="仿宋" w:hAnsi="仿宋" w:cs="仿宋" w:hint="eastAsia"/>
            <w:lang w:eastAsia="zh-CN"/>
          </w:rPr>
          <w:t>(三)、计算器及货币专用设备项目盈利能力分析</w:t>
        </w:r>
        <w:r>
          <w:tab/>
        </w:r>
        <w:r>
          <w:fldChar w:fldCharType="begin"/>
        </w:r>
        <w:r>
          <w:instrText xml:space="preserve"> PAGEREF _Toc9037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_Toc13330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4" w:history="1">
        <w:r>
          <w:rPr>
            <w:rFonts w:ascii="仿宋" w:eastAsia="仿宋" w:hAnsi="仿宋" w:cs="仿宋" w:hint="eastAsia"/>
            <w:lang w:eastAsia="zh-CN"/>
          </w:rPr>
          <w:t>十、计算器及货币专用设备项目风险分析</w:t>
        </w:r>
        <w:r>
          <w:tab/>
        </w:r>
        <w:r>
          <w:fldChar w:fldCharType="begin"/>
        </w:r>
        <w:r>
          <w:instrText xml:space="preserve"> PAGEREF _Toc11664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3" w:history="1">
        <w:r>
          <w:rPr>
            <w:rFonts w:ascii="仿宋" w:eastAsia="仿宋" w:hAnsi="仿宋" w:cs="仿宋" w:hint="eastAsia"/>
            <w:lang w:eastAsia="zh-CN"/>
          </w:rPr>
          <w:t>(一)、计算器及货币专用设备项目风险分析</w:t>
        </w:r>
        <w:r>
          <w:tab/>
        </w:r>
        <w:r>
          <w:fldChar w:fldCharType="begin"/>
        </w:r>
        <w:r>
          <w:instrText xml:space="preserve"> PAGEREF _Toc23203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8" w:history="1">
        <w:r>
          <w:rPr>
            <w:rFonts w:ascii="仿宋" w:eastAsia="仿宋" w:hAnsi="仿宋" w:cs="仿宋" w:hint="eastAsia"/>
            <w:lang w:eastAsia="zh-CN"/>
          </w:rPr>
          <w:t>(二)、计算器及货币专用设备项目风险对策</w:t>
        </w:r>
        <w:r>
          <w:tab/>
        </w:r>
        <w:r>
          <w:fldChar w:fldCharType="begin"/>
        </w:r>
        <w:r>
          <w:instrText xml:space="preserve"> PAGEREF _Toc13478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_Toc12055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eastAsia="zh-CN"/>
          </w:rPr>
          <w:t>(一)、社会责任计算器及货币专用设备项目</w:t>
        </w:r>
        <w:r>
          <w:tab/>
        </w:r>
        <w:r>
          <w:fldChar w:fldCharType="begin"/>
        </w:r>
        <w:r>
          <w:instrText xml:space="preserve"> PAGEREF _Toc25034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_Toc29003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_Toc25325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_Toc21865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_Toc10665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_Toc24674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_Toc7165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_Toc6985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_Toc21176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_Toc26980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_Toc6055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5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_Toc31355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_Toc31705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_Toc25123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" w:history="1">
        <w:r>
          <w:rPr>
            <w:rFonts w:ascii="仿宋" w:eastAsia="仿宋" w:hAnsi="仿宋" w:cs="仿宋" w:hint="eastAsia"/>
            <w:lang w:eastAsia="zh-CN"/>
          </w:rPr>
          <w:t>十五、计算器及货币专用设备项目总结分析</w:t>
        </w:r>
        <w:r>
          <w:tab/>
        </w:r>
        <w:r>
          <w:fldChar w:fldCharType="begin"/>
        </w:r>
        <w:r>
          <w:instrText xml:space="preserve"> PAGEREF _Toc581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2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21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73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46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https://d.book118.com/098132000107006032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计算器及货币专用设备行业相关公司设立可行性研究报告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计算器及货币专用设备行业相关公司设立可行性研究报告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计算器及货币专用设备行业相关公司设立可行性研究报告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计算器及货币专用设备行业相关公司设立可行性研究报告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计算器及货币专用设备行业相关公司设立可行性研究报告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8132000107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2024-01-22T14:22:00Z</dcterms:created>
  <dcterms:modified xsi:type="dcterms:W3CDTF">2024-01-22T14:23:08Z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78B03E6B093645C186DBD5500860FC40_11</vt:lpwstr>
  </property>
  <property fmtid="{D5CDD505-2E9C-101B-9397-08002B2CF9AE}" pid="3" name="KSOProductBuildVer">
    <vt:lpwstr>2052-12.1.0.16120</vt:lpwstr>
  </property>
</Properties>
</file>