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  <w:bookmarkStart w:id="0" w:name="_GoBack"/>
      <w:bookmarkEnd w:id="0"/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  <w:r>
        <w:rPr>
          <w:rFonts w:ascii="微软雅黑" w:eastAsia="微软雅黑" w:hAnsi="微软雅黑" w:cs="微软雅黑"/>
          <w:b/>
          <w:bCs/>
          <w:color w:val="2D54A0"/>
          <w:spacing w:val="9"/>
          <w:sz w:val="59"/>
          <w:szCs w:val="59"/>
        </w:rPr>
        <w:t>2024年模具钢行业趋势报告</w:t>
      </w: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 w:hint="default"/>
          <w:b/>
          <w:bCs/>
          <w:color w:val="2D54A0"/>
          <w:spacing w:val="8"/>
          <w:sz w:val="44"/>
          <w:szCs w:val="44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color w:val="2D54A0"/>
          <w:spacing w:val="8"/>
          <w:sz w:val="44"/>
          <w:szCs w:val="44"/>
          <w:lang w:val="en-US" w:eastAsia="zh-CN"/>
        </w:rPr>
        <w:t>《2024年最新评估分析》</w:t>
      </w:r>
    </w:p>
    <w:p>
      <w:pPr>
        <w:spacing w:line="360" w:lineRule="auto"/>
        <w:jc w:val="center"/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</w:rPr>
      </w:pPr>
      <w:r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50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_Toc11503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7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一、制度运行与优化</w:t>
        </w:r>
        <w:r>
          <w:tab/>
        </w:r>
        <w:r>
          <w:fldChar w:fldCharType="begin"/>
        </w:r>
        <w:r>
          <w:instrText xml:space="preserve"> PAGEREF _Toc3257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4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_Toc12646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_Toc5357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1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二、项目背景与概况</w:t>
        </w:r>
        <w:r>
          <w:tab/>
        </w:r>
        <w:r>
          <w:fldChar w:fldCharType="begin"/>
        </w:r>
        <w:r>
          <w:instrText xml:space="preserve"> PAGEREF _Toc23713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1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(一)、项目背景介绍</w:t>
        </w:r>
        <w:r>
          <w:tab/>
        </w:r>
        <w:r>
          <w:fldChar w:fldCharType="begin"/>
        </w:r>
        <w:r>
          <w:instrText xml:space="preserve"> PAGEREF _Toc14810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2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(二)、项目概况与目标</w:t>
        </w:r>
        <w:r>
          <w:tab/>
        </w:r>
        <w:r>
          <w:fldChar w:fldCharType="begin"/>
        </w:r>
        <w:r>
          <w:instrText xml:space="preserve"> PAGEREF _Toc9121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(三)、模具钢行业及市场分析</w:t>
        </w:r>
        <w:r>
          <w:tab/>
        </w:r>
        <w:r>
          <w:fldChar w:fldCharType="begin"/>
        </w:r>
        <w:r>
          <w:instrText xml:space="preserve"> PAGEREF _Toc18089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77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三、模具钢行业运营管理及商业模式分析</w:t>
        </w:r>
        <w:r>
          <w:tab/>
        </w:r>
        <w:r>
          <w:fldChar w:fldCharType="begin"/>
        </w:r>
        <w:r>
          <w:instrText xml:space="preserve"> PAGEREF _Toc20077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(一)、模具钢行业数字化发展方案</w:t>
        </w:r>
        <w:r>
          <w:tab/>
        </w:r>
        <w:r>
          <w:fldChar w:fldCharType="begin"/>
        </w:r>
        <w:r>
          <w:instrText xml:space="preserve"> PAGEREF _Toc28345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(二)、模具钢行业新型运营方式</w:t>
        </w:r>
        <w:r>
          <w:tab/>
        </w:r>
        <w:r>
          <w:fldChar w:fldCharType="begin"/>
        </w:r>
        <w:r>
          <w:instrText xml:space="preserve"> PAGEREF _Toc2168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(三)、模具钢行业风险管理</w:t>
        </w:r>
        <w:r>
          <w:tab/>
        </w:r>
        <w:r>
          <w:fldChar w:fldCharType="begin"/>
        </w:r>
        <w:r>
          <w:instrText xml:space="preserve"> PAGEREF _Toc9986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69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四、领导力发展与企业文化</w:t>
        </w:r>
        <w:r>
          <w:tab/>
        </w:r>
        <w:r>
          <w:fldChar w:fldCharType="begin"/>
        </w:r>
        <w:r>
          <w:instrText xml:space="preserve"> PAGEREF _Toc13569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_Toc1886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_Toc12201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_Toc23381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(四)、领导力在变革中的作用</w:t>
        </w:r>
        <w:r>
          <w:tab/>
        </w:r>
        <w:r>
          <w:fldChar w:fldCharType="begin"/>
        </w:r>
        <w:r>
          <w:instrText xml:space="preserve"> PAGEREF _Toc8856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五、制度建设与管理</w:t>
        </w:r>
        <w:r>
          <w:tab/>
        </w:r>
        <w:r>
          <w:fldChar w:fldCharType="begin"/>
        </w:r>
        <w:r>
          <w:instrText xml:space="preserve"> PAGEREF _Toc1575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_Toc9958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8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(二)、内部控制与审计</w:t>
        </w:r>
        <w:r>
          <w:tab/>
        </w:r>
        <w:r>
          <w:fldChar w:fldCharType="begin"/>
        </w:r>
        <w:r>
          <w:instrText xml:space="preserve"> PAGEREF _Toc15385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(三)、法律法规合规体系</w:t>
        </w:r>
        <w:r>
          <w:tab/>
        </w:r>
        <w:r>
          <w:fldChar w:fldCharType="begin"/>
        </w:r>
        <w:r>
          <w:instrText xml:space="preserve"> PAGEREF _Toc18718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39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六、模具钢行业项目管理与实施</w:t>
        </w:r>
        <w:r>
          <w:tab/>
        </w:r>
        <w:r>
          <w:fldChar w:fldCharType="begin"/>
        </w:r>
        <w:r>
          <w:instrText xml:space="preserve"> PAGEREF _Toc25439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_Toc6941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5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_Toc16659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_Toc1429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0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七、项目管理与团队协作</w:t>
        </w:r>
        <w:r>
          <w:tab/>
        </w:r>
        <w:r>
          <w:fldChar w:fldCharType="begin"/>
        </w:r>
        <w:r>
          <w:instrText xml:space="preserve"> PAGEREF _Toc31506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(一)、项目管理方法论</w:t>
        </w:r>
        <w:r>
          <w:tab/>
        </w:r>
        <w:r>
          <w:fldChar w:fldCharType="begin"/>
        </w:r>
        <w:r>
          <w:instrText xml:space="preserve"> PAGEREF _Toc24316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0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(二)、团队组建与角色分工</w:t>
        </w:r>
        <w:r>
          <w:tab/>
        </w:r>
        <w:r>
          <w:fldChar w:fldCharType="begin"/>
        </w:r>
        <w:r>
          <w:instrText xml:space="preserve"> PAGEREF _Toc32200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(三)、团队沟通与协作机制</w:t>
        </w:r>
        <w:r>
          <w:tab/>
        </w:r>
        <w:r>
          <w:fldChar w:fldCharType="begin"/>
        </w:r>
        <w:r>
          <w:instrText xml:space="preserve"> PAGEREF _Toc15031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6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(四)、项目风险管理与应对</w:t>
        </w:r>
        <w:r>
          <w:tab/>
        </w:r>
        <w:r>
          <w:fldChar w:fldCharType="begin"/>
        </w:r>
        <w:r>
          <w:instrText xml:space="preserve"> PAGEREF _Toc3360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29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八、安全与劳动保护</w:t>
        </w:r>
        <w:r>
          <w:tab/>
        </w:r>
        <w:r>
          <w:fldChar w:fldCharType="begin"/>
        </w:r>
        <w:r>
          <w:instrText xml:space="preserve"> PAGEREF _Toc15029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95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_Toc16952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9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_Toc16093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(三)、主要防范措施</w:t>
        </w:r>
        <w:r>
          <w:tab/>
        </w:r>
        <w:r>
          <w:fldChar w:fldCharType="begin"/>
        </w:r>
        <w:r>
          <w:instrText xml:space="preserve"> PAGEREF _Toc913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7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九、模具钢行业背景及市场分析</w:t>
        </w:r>
        <w:r>
          <w:tab/>
        </w:r>
        <w:r>
          <w:fldChar w:fldCharType="begin"/>
        </w:r>
        <w:r>
          <w:instrText xml:space="preserve"> PAGEREF _Toc26878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5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(一)、模具钢行业创新驱动</w:t>
        </w:r>
        <w:r>
          <w:tab/>
        </w:r>
        <w:r>
          <w:fldChar w:fldCharType="begin"/>
        </w:r>
        <w:r>
          <w:instrText xml:space="preserve"> PAGEREF _Toc13257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6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(二)、模具钢行业发展现状</w:t>
        </w:r>
        <w:r>
          <w:tab/>
        </w:r>
        <w:r>
          <w:fldChar w:fldCharType="begin"/>
        </w:r>
        <w:r>
          <w:instrText xml:space="preserve"> PAGEREF _Toc24863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8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(三)、模具钢行业高质量发展</w:t>
        </w:r>
        <w:r>
          <w:tab/>
        </w:r>
        <w:r>
          <w:fldChar w:fldCharType="begin"/>
        </w:r>
        <w:r>
          <w:instrText xml:space="preserve"> PAGEREF _Toc29480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(四)、模具钢行业产业链分析</w:t>
        </w:r>
        <w:r>
          <w:tab/>
        </w:r>
        <w:r>
          <w:fldChar w:fldCharType="begin"/>
        </w:r>
        <w:r>
          <w:instrText xml:space="preserve"> PAGEREF _Toc25948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1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(五)、模具钢行业发展方向</w:t>
        </w:r>
        <w:r>
          <w:tab/>
        </w:r>
        <w:r>
          <w:fldChar w:fldCharType="begin"/>
        </w:r>
        <w:r>
          <w:instrText xml:space="preserve"> PAGEREF _Toc29314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7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(六)、模具钢行业前景</w:t>
        </w:r>
        <w:r>
          <w:tab/>
        </w:r>
        <w:r>
          <w:fldChar w:fldCharType="begin"/>
        </w:r>
        <w:r>
          <w:instrText xml:space="preserve"> PAGEREF _Toc18877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(七)、模具钢行业发展趋势</w:t>
        </w:r>
        <w:r>
          <w:tab/>
        </w:r>
        <w:r>
          <w:fldChar w:fldCharType="begin"/>
        </w:r>
        <w:r>
          <w:instrText xml:space="preserve"> PAGEREF _Toc2619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7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十、模具钢行业公司治理与社会责任</w:t>
        </w:r>
        <w:r>
          <w:tab/>
        </w:r>
        <w:r>
          <w:fldChar w:fldCharType="begin"/>
        </w:r>
        <w:r>
          <w:instrText xml:space="preserve"> PAGEREF _Toc28578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_Toc7801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8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_Toc14782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_Toc25026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0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_Toc26804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7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_Toc20879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1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十一、项目实施与进度安排</w:t>
        </w:r>
        <w:r>
          <w:tab/>
        </w:r>
        <w:r>
          <w:fldChar w:fldCharType="begin"/>
        </w:r>
        <w:r>
          <w:instrText xml:space="preserve"> PAGEREF _Toc28118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7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(一)、项目计划与时间节点</w:t>
        </w:r>
        <w:r>
          <w:tab/>
        </w:r>
        <w:r>
          <w:fldChar w:fldCharType="begin"/>
        </w:r>
        <w:r>
          <w:instrText xml:space="preserve"> PAGEREF _Toc25773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(二)、项目进度安排</w:t>
        </w:r>
        <w:r>
          <w:tab/>
        </w:r>
        <w:r>
          <w:fldChar w:fldCharType="begin"/>
        </w:r>
        <w:r>
          <w:instrText xml:space="preserve"> PAGEREF _Toc27793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(三)、风险管理与对策</w:t>
        </w:r>
        <w:r>
          <w:tab/>
        </w:r>
        <w:r>
          <w:fldChar w:fldCharType="begin"/>
        </w:r>
        <w:r>
          <w:instrText xml:space="preserve"> PAGEREF _Toc24922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8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十二、项目运营与管理</w:t>
        </w:r>
        <w:r>
          <w:tab/>
        </w:r>
        <w:r>
          <w:fldChar w:fldCharType="begin"/>
        </w:r>
        <w:r>
          <w:instrText xml:space="preserve"> PAGEREF _Toc10381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6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(一)、运营模式选择</w:t>
        </w:r>
        <w:r>
          <w:tab/>
        </w:r>
        <w:r>
          <w:fldChar w:fldCharType="begin"/>
        </w:r>
        <w:r>
          <w:instrText xml:space="preserve"> PAGEREF _Toc16763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5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(二)、人力资源规划</w:t>
        </w:r>
        <w:r>
          <w:tab/>
        </w:r>
        <w:r>
          <w:fldChar w:fldCharType="begin"/>
        </w:r>
        <w:r>
          <w:instrText xml:space="preserve"> PAGEREF _Toc19857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9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(三)、财务管理计划</w:t>
        </w:r>
        <w:r>
          <w:tab/>
        </w:r>
        <w:r>
          <w:fldChar w:fldCharType="begin"/>
        </w:r>
        <w:r>
          <w:instrText xml:space="preserve"> PAGEREF _Toc32099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(四)、供应链管理</w:t>
        </w:r>
        <w:r>
          <w:tab/>
        </w:r>
        <w:r>
          <w:fldChar w:fldCharType="begin"/>
        </w:r>
        <w:r>
          <w:instrText xml:space="preserve"> PAGEREF _Toc10142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</w:p>
    <w:p>
      <w:pPr>
        <w:pStyle w:val="Heading1"/>
        <w:jc w:val="center"/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</w:pPr>
      <w:bookmarkStart w:id="1" w:name="_Toc11503"/>
      <w:r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  <w:t>前言</w:t>
      </w:r>
      <w:bookmarkEnd w:id="1"/>
    </w:p>
    <w:p>
      <w:pPr>
        <w:spacing w:line="480" w:lineRule="auto"/>
        <w:ind w:firstLine="480" w:firstLineChars="200"/>
        <w:rPr>
          <w:rFonts w:ascii="宋体" w:eastAsia="宋体" w:hAnsi="宋体" w:cs="宋体" w:hint="eastAsia"/>
          <w:sz w:val="24"/>
          <w:szCs w:val="22"/>
        </w:rPr>
      </w:pPr>
      <w:r>
        <w:rPr>
          <w:rFonts w:ascii="宋体" w:eastAsia="宋体" w:hAnsi="宋体" w:cs="宋体" w:hint="eastAsia"/>
          <w:sz w:val="24"/>
          <w:szCs w:val="22"/>
          <w:lang w:eastAsia="zh-CN"/>
        </w:rPr>
        <w:t>模具钢行业研究报告致力于对模具钢行业进行详尽研究和分析，旨在为模具钢行业相关从业人员提供参考和借鉴。报告所包含的内容仅供学术研究和学习交流，不可用作商业用途。通过对行业发展历程、市场趋势和竞争态势的深入考察，本报告力求准确呈现行业现状和未来发展方向，为读者提供全面而有价值的行业洞察和决策支持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2" w:name="_Toc3257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一、制度运行与优化</w:t>
      </w:r>
      <w:bookmarkEnd w:id="2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3" w:name="_Toc12646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(一)、制度执行与监督</w:t>
      </w:r>
      <w:bookmarkEnd w:id="3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公司治理的框架下,制度执行与监督是确保公司规章制度得到切实贯彻的重要环节。我们特别重视这一过程，通过成立专业的制度执行团队，致力于监察和评估公司各级制度的执行情况。该团队定期进行内部审核，深入各个部门开展审查，全面了解执行效果，并向高层管理层提供详尽的报告,以确保公司的各项规章制度得以有效执行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为了进一步强化监督机制，我们鼓励员工积极参与。通过设立匿名举报机制，我们提供了一个安全、隐蔽的渠道，使员工能够自由反映制度执行中的问题。这种开放的沟通渠道有助于公司及时发现并解决潜在问题，同时也增强了员工对公司治理的信任度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公司领导层也积极参与制度执行情况的检查,通过定期的审查与交流,高层管理层能够深入了解制度执行的实际情况，并迅速制定必要的改进方案。这种多层次的监督机制不仅有助于维护公司内部秩序，也为公司整体治理水平的不断提升翼定坚实基础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4" w:name="_Toc5357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(二)、制度优化与更新</w:t>
      </w:r>
      <w:bookmarkEnd w:id="4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制度的优化与更新是公司持续发展的重要环节。我们将其视作一项策略任务，通过建立制度管理委员会来推动这一过程。委员会由各个部门的专业人员组成，负责定期审查公司的各项制度。这一审查不仅仅限于内部，还积极吸纳员工的建议和意见，融入外部专业观点，确保审查的全面性和公正性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为了更好地适应外部环境的变化和公司内部的发展需求,我们密切关注法规和模具钢行业标准的变动。这种灵活性使得我们能够及时调整公司制度，确保其与时俱进。通过持续的制度优化与更新，我们致力于构建一个符合公司实际情况、富有弹性和活力的治理体系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制度更新的过程中，我们注重与员工的沟通与合作。通过定期的培训和沟通会议，我们向员工解释新制度的背景和目的，提供详尽的操作指南，以确保员工能够理解和遵守新的规定。这种共同努力有助于强化员工对制度变化的接受度，为公司长期发展提供更为健康和稳定的制度支持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5" w:name="_Toc23713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二、项目背景与概况</w:t>
      </w:r>
      <w:bookmarkEnd w:id="5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6" w:name="_Toc14810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(一)、项目背景介绍</w:t>
      </w:r>
      <w:bookmarkEnd w:id="6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当前商业环境的动荡与竞争激烈中,模具钢行业项目的崭新起步源于对市场需求的深刻洞察。我们深刻认识到，通过创新和卓越的执行，我们有机会在模具钢行业中取得成功。项目的背景迎合了市场对高质量、创新性产品或服务的迫切需求，并旨在通过卓越表现在模具钢行业中确立公司的领导地位。</w:t>
      </w: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https://d.book118.com/105113133020011100</w:t>
        </w:r>
      </w:hyperlink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2775B3"/>
    <w:rsid w:val="02623C3C"/>
    <w:rsid w:val="03734037"/>
    <w:rsid w:val="13614867"/>
    <w:rsid w:val="3DAC44EE"/>
    <w:rsid w:val="453746B4"/>
    <w:rsid w:val="482775B3"/>
    <w:rsid w:val="49C53810"/>
    <w:rsid w:val="4E155AC7"/>
    <w:rsid w:val="50930768"/>
    <w:rsid w:val="54845ECC"/>
    <w:rsid w:val="62A91464"/>
    <w:rsid w:val="692E1C42"/>
  </w:rsids>
  <w:docVars>
    <w:docVar w:name="commondata" w:val="eyJoZGlkIjoiYjEzZTI3MzIxYzUxM2E3Y2YyMDVhZDRkMWU5YjExZ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 w:qFormat="1"/>
    <w:lsdException w:name="toc 2" w:semiHidden="0" w:uiPriority="0" w:unhideWhenUsed="0" w:qFormat="1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autoRedefine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  <w:autoRedefine/>
    <w:qFormat/>
  </w:style>
  <w:style w:type="paragraph" w:styleId="TOC2">
    <w:name w:val="toc 2"/>
    <w:basedOn w:val="Normal"/>
    <w:next w:val="Normal"/>
    <w:autoRedefine/>
    <w:qFormat/>
    <w:pPr>
      <w:ind w:left="420" w:leftChars="200"/>
    </w:pPr>
  </w:style>
  <w:style w:type="character" w:styleId="PageNumber">
    <w:name w:val="page number"/>
    <w:basedOn w:val="DefaultParagraphFont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05113133020011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小海豹</cp:lastModifiedBy>
  <cp:revision>1</cp:revision>
  <dcterms:created xsi:type="dcterms:W3CDTF">2023-12-10T12:06:00Z</dcterms:created>
  <dcterms:modified xsi:type="dcterms:W3CDTF">2024-01-17T06:29:41Z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1E39AA5D4B7F4B19B7D16FD992F8235D_13</vt:lpwstr>
  </property>
  <property fmtid="{D5CDD505-2E9C-101B-9397-08002B2CF9AE}" pid="3" name="KSOProductBuildVer">
    <vt:lpwstr>2052-12.1.0.16120</vt:lpwstr>
  </property>
</Properties>
</file>