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2018-2023年乌兰察布医学高等专科学校高职单招（数学／语文／英语）历年常考试题库含答案解析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李密的《陈情表》是一篇（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《关山月》是以什么为线索来抒情的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A.笛声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B.月夜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C.歌舞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D.泪痕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下列细节描写中，描写南霁云的是（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A.怒则须髯张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B.拔刀断指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C.抽矢射贺兰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D.记忆超人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提出“文章合为时而著，歌诗合为事而作”创作主张的诗人是（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《答司马谏议书》的写作背景是（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A.王叔文变法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D.诗文革新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李清照《声声慢（寻寻觅觅）》最突出的语言技巧是（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C.叠字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D.一切不事事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冰心擅长写散文，其文体自成一家，被读者誉为（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A.“白话文西化”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B.“新文艺腔”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C.“冰心体”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D.“工笔美文”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《种树郭橐驼传》的创作意图主要是（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B.揭露统治者的政令扰民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D.借“养树”之道，喻“养民”之道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奠定郭沫若在中国现代文学史上的地位的是他于1921年出版的诗集（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A.《尝试集》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在《张中丞传后叙》中，当南霁云抽刀断指时，“一座大惊，皆感激为云泣下”，对刻画南霁云的形象来说，这里所运用的表现方法是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A.正面描写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B.侧面描写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D.行为描写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《日出》中没有下面哪一个人物（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A.翠翠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B.陈白露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C.翠喜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D.小东西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“多行不义必自毙”“贻笑大方”“夙兴夜寐”三个成语依次出自（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A.《寡人之于国也》、《庄子·秋水》、《季氏将伐颛臾》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B.《郑伯克段于鄢》、《庄子·秋水》、《诗经·氓》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C.《陈情表》、《诗经·氓》、《郑伯克段于鄢》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https://d.book118.com/105200304330011112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05200304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