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烧结空心砖(粘土砖、页岩砖、煤矸石砖、粉煤灰砖)相关行业公司员工职业生涯规划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04" w:history="1">
        <w:r>
          <w:rPr>
            <w:rFonts w:ascii="仿宋" w:eastAsia="仿宋" w:hAnsi="仿宋" w:cs="仿宋" w:hint="eastAsia"/>
            <w:lang w:eastAsia="zh-CN"/>
          </w:rPr>
          <w:t>前言</w:t>
        </w:r>
        <w:r>
          <w:tab/>
        </w:r>
        <w:r>
          <w:fldChar w:fldCharType="begin"/>
        </w:r>
        <w:r>
          <w:instrText xml:space="preserve"> PAGEREF _Toc9904 \h </w:instrText>
        </w:r>
        <w:r>
          <w:fldChar w:fldCharType="separate"/>
        </w:r>
        <w:r>
          <w:t>3</w:t>
        </w:r>
        <w:r>
          <w:fldChar w:fldCharType="end"/>
        </w:r>
      </w:hyperlink>
    </w:p>
    <w:p>
      <w:pPr>
        <w:pStyle w:val="TOC1"/>
        <w:tabs>
          <w:tab w:val="right" w:leader="dot" w:pos="8306"/>
        </w:tabs>
      </w:pPr>
      <w:hyperlink w:anchor="_Toc11816" w:history="1">
        <w:r>
          <w:rPr>
            <w:rFonts w:ascii="仿宋" w:eastAsia="仿宋" w:hAnsi="仿宋" w:cs="仿宋" w:hint="eastAsia"/>
            <w:lang w:eastAsia="zh-CN"/>
          </w:rPr>
          <w:t>一、员工沟通技巧培训与人际关系管理</w:t>
        </w:r>
        <w:r>
          <w:tab/>
        </w:r>
        <w:r>
          <w:fldChar w:fldCharType="begin"/>
        </w:r>
        <w:r>
          <w:instrText xml:space="preserve"> PAGEREF _Toc11816 \h </w:instrText>
        </w:r>
        <w:r>
          <w:fldChar w:fldCharType="separate"/>
        </w:r>
        <w:r>
          <w:t>3</w:t>
        </w:r>
        <w:r>
          <w:fldChar w:fldCharType="end"/>
        </w:r>
      </w:hyperlink>
    </w:p>
    <w:p>
      <w:pPr>
        <w:pStyle w:val="TOC2"/>
        <w:tabs>
          <w:tab w:val="right" w:leader="dot" w:pos="8306"/>
        </w:tabs>
      </w:pPr>
      <w:hyperlink w:anchor="_Toc32217" w:history="1">
        <w:r>
          <w:rPr>
            <w:rFonts w:ascii="仿宋" w:eastAsia="仿宋" w:hAnsi="仿宋" w:cs="仿宋" w:hint="eastAsia"/>
            <w:lang w:eastAsia="zh-CN"/>
          </w:rPr>
          <w:t>(一)、沟通技巧的重要性及培训计划</w:t>
        </w:r>
        <w:r>
          <w:tab/>
        </w:r>
        <w:r>
          <w:fldChar w:fldCharType="begin"/>
        </w:r>
        <w:r>
          <w:instrText xml:space="preserve"> PAGEREF _Toc32217 \h </w:instrText>
        </w:r>
        <w:r>
          <w:fldChar w:fldCharType="separate"/>
        </w:r>
        <w:r>
          <w:t>3</w:t>
        </w:r>
        <w:r>
          <w:fldChar w:fldCharType="end"/>
        </w:r>
      </w:hyperlink>
    </w:p>
    <w:p>
      <w:pPr>
        <w:pStyle w:val="TOC2"/>
        <w:tabs>
          <w:tab w:val="right" w:leader="dot" w:pos="8306"/>
        </w:tabs>
      </w:pPr>
      <w:hyperlink w:anchor="_Toc18158" w:history="1">
        <w:r>
          <w:rPr>
            <w:rFonts w:ascii="仿宋" w:eastAsia="仿宋" w:hAnsi="仿宋" w:cs="仿宋" w:hint="eastAsia"/>
            <w:lang w:eastAsia="zh-CN"/>
          </w:rPr>
          <w:t>(二)、人际关系管理的原则与方法</w:t>
        </w:r>
        <w:r>
          <w:tab/>
        </w:r>
        <w:r>
          <w:fldChar w:fldCharType="begin"/>
        </w:r>
        <w:r>
          <w:instrText xml:space="preserve"> PAGEREF _Toc18158 \h </w:instrText>
        </w:r>
        <w:r>
          <w:fldChar w:fldCharType="separate"/>
        </w:r>
        <w:r>
          <w:t>4</w:t>
        </w:r>
        <w:r>
          <w:fldChar w:fldCharType="end"/>
        </w:r>
      </w:hyperlink>
    </w:p>
    <w:p>
      <w:pPr>
        <w:pStyle w:val="TOC2"/>
        <w:tabs>
          <w:tab w:val="right" w:leader="dot" w:pos="8306"/>
        </w:tabs>
      </w:pPr>
      <w:hyperlink w:anchor="_Toc17382" w:history="1">
        <w:r>
          <w:rPr>
            <w:rFonts w:ascii="仿宋" w:eastAsia="仿宋" w:hAnsi="仿宋" w:cs="仿宋" w:hint="eastAsia"/>
            <w:lang w:eastAsia="zh-CN"/>
          </w:rPr>
          <w:t>(三)、良好人际关系的建立与维护</w:t>
        </w:r>
        <w:r>
          <w:tab/>
        </w:r>
        <w:r>
          <w:fldChar w:fldCharType="begin"/>
        </w:r>
        <w:r>
          <w:instrText xml:space="preserve"> PAGEREF _Toc17382 \h </w:instrText>
        </w:r>
        <w:r>
          <w:fldChar w:fldCharType="separate"/>
        </w:r>
        <w:r>
          <w:t>4</w:t>
        </w:r>
        <w:r>
          <w:fldChar w:fldCharType="end"/>
        </w:r>
      </w:hyperlink>
    </w:p>
    <w:p>
      <w:pPr>
        <w:pStyle w:val="TOC1"/>
        <w:tabs>
          <w:tab w:val="right" w:leader="dot" w:pos="8306"/>
        </w:tabs>
      </w:pPr>
      <w:hyperlink w:anchor="_Toc585" w:history="1">
        <w:r>
          <w:rPr>
            <w:rFonts w:ascii="仿宋" w:eastAsia="仿宋" w:hAnsi="仿宋" w:cs="仿宋" w:hint="eastAsia"/>
            <w:lang w:eastAsia="zh-CN"/>
          </w:rPr>
          <w:t>二、薪酬制度管理</w:t>
        </w:r>
        <w:r>
          <w:tab/>
        </w:r>
        <w:r>
          <w:fldChar w:fldCharType="begin"/>
        </w:r>
        <w:r>
          <w:instrText xml:space="preserve"> PAGEREF _Toc585 \h </w:instrText>
        </w:r>
        <w:r>
          <w:fldChar w:fldCharType="separate"/>
        </w:r>
        <w:r>
          <w:t>5</w:t>
        </w:r>
        <w:r>
          <w:fldChar w:fldCharType="end"/>
        </w:r>
      </w:hyperlink>
    </w:p>
    <w:p>
      <w:pPr>
        <w:pStyle w:val="TOC2"/>
        <w:tabs>
          <w:tab w:val="right" w:leader="dot" w:pos="8306"/>
        </w:tabs>
      </w:pPr>
      <w:hyperlink w:anchor="_Toc11629" w:history="1">
        <w:r>
          <w:rPr>
            <w:rFonts w:ascii="仿宋" w:eastAsia="仿宋" w:hAnsi="仿宋" w:cs="仿宋" w:hint="eastAsia"/>
            <w:lang w:eastAsia="zh-CN"/>
          </w:rPr>
          <w:t>(一)、薪酬管理制度</w:t>
        </w:r>
        <w:r>
          <w:tab/>
        </w:r>
        <w:r>
          <w:fldChar w:fldCharType="begin"/>
        </w:r>
        <w:r>
          <w:instrText xml:space="preserve"> PAGEREF _Toc11629 \h </w:instrText>
        </w:r>
        <w:r>
          <w:fldChar w:fldCharType="separate"/>
        </w:r>
        <w:r>
          <w:t>5</w:t>
        </w:r>
        <w:r>
          <w:fldChar w:fldCharType="end"/>
        </w:r>
      </w:hyperlink>
    </w:p>
    <w:p>
      <w:pPr>
        <w:pStyle w:val="TOC2"/>
        <w:tabs>
          <w:tab w:val="right" w:leader="dot" w:pos="8306"/>
        </w:tabs>
      </w:pPr>
      <w:hyperlink w:anchor="_Toc9865" w:history="1">
        <w:r>
          <w:rPr>
            <w:rFonts w:ascii="仿宋" w:eastAsia="仿宋" w:hAnsi="仿宋" w:cs="仿宋" w:hint="eastAsia"/>
            <w:lang w:eastAsia="zh-CN"/>
          </w:rPr>
          <w:t>(二)、奖金制度的制定</w:t>
        </w:r>
        <w:r>
          <w:tab/>
        </w:r>
        <w:r>
          <w:fldChar w:fldCharType="begin"/>
        </w:r>
        <w:r>
          <w:instrText xml:space="preserve"> PAGEREF _Toc9865 \h </w:instrText>
        </w:r>
        <w:r>
          <w:fldChar w:fldCharType="separate"/>
        </w:r>
        <w:r>
          <w:t>8</w:t>
        </w:r>
        <w:r>
          <w:fldChar w:fldCharType="end"/>
        </w:r>
      </w:hyperlink>
    </w:p>
    <w:p>
      <w:pPr>
        <w:pStyle w:val="TOC2"/>
        <w:tabs>
          <w:tab w:val="right" w:leader="dot" w:pos="8306"/>
        </w:tabs>
      </w:pPr>
      <w:hyperlink w:anchor="_Toc840" w:history="1">
        <w:r>
          <w:rPr>
            <w:rFonts w:ascii="仿宋" w:eastAsia="仿宋" w:hAnsi="仿宋" w:cs="仿宋" w:hint="eastAsia"/>
            <w:lang w:eastAsia="zh-CN"/>
          </w:rPr>
          <w:t>(三)、岗位薪酬体系设计</w:t>
        </w:r>
        <w:r>
          <w:tab/>
        </w:r>
        <w:r>
          <w:fldChar w:fldCharType="begin"/>
        </w:r>
        <w:r>
          <w:instrText xml:space="preserve"> PAGEREF _Toc840 \h </w:instrText>
        </w:r>
        <w:r>
          <w:fldChar w:fldCharType="separate"/>
        </w:r>
        <w:r>
          <w:t>12</w:t>
        </w:r>
        <w:r>
          <w:fldChar w:fldCharType="end"/>
        </w:r>
      </w:hyperlink>
    </w:p>
    <w:p>
      <w:pPr>
        <w:pStyle w:val="TOC2"/>
        <w:tabs>
          <w:tab w:val="right" w:leader="dot" w:pos="8306"/>
        </w:tabs>
      </w:pPr>
      <w:hyperlink w:anchor="_Toc11719" w:history="1">
        <w:r>
          <w:rPr>
            <w:rFonts w:ascii="仿宋" w:eastAsia="仿宋" w:hAnsi="仿宋" w:cs="仿宋" w:hint="eastAsia"/>
            <w:lang w:eastAsia="zh-CN"/>
          </w:rPr>
          <w:t>(四)、绩效薪酬体系设计</w:t>
        </w:r>
        <w:r>
          <w:tab/>
        </w:r>
        <w:r>
          <w:fldChar w:fldCharType="begin"/>
        </w:r>
        <w:r>
          <w:instrText xml:space="preserve"> PAGEREF _Toc11719 \h </w:instrText>
        </w:r>
        <w:r>
          <w:fldChar w:fldCharType="separate"/>
        </w:r>
        <w:r>
          <w:t>13</w:t>
        </w:r>
        <w:r>
          <w:fldChar w:fldCharType="end"/>
        </w:r>
      </w:hyperlink>
    </w:p>
    <w:p>
      <w:pPr>
        <w:pStyle w:val="TOC1"/>
        <w:tabs>
          <w:tab w:val="right" w:leader="dot" w:pos="8306"/>
        </w:tabs>
      </w:pPr>
      <w:hyperlink w:anchor="_Toc24904" w:history="1">
        <w:r>
          <w:rPr>
            <w:rFonts w:ascii="仿宋" w:eastAsia="仿宋" w:hAnsi="仿宋" w:cs="仿宋" w:hint="eastAsia"/>
            <w:lang w:eastAsia="zh-CN"/>
          </w:rPr>
          <w:t>三、公司简介</w:t>
        </w:r>
        <w:r>
          <w:tab/>
        </w:r>
        <w:r>
          <w:fldChar w:fldCharType="begin"/>
        </w:r>
        <w:r>
          <w:instrText xml:space="preserve"> PAGEREF _Toc24904 \h </w:instrText>
        </w:r>
        <w:r>
          <w:fldChar w:fldCharType="separate"/>
        </w:r>
        <w:r>
          <w:t>15</w:t>
        </w:r>
        <w:r>
          <w:fldChar w:fldCharType="end"/>
        </w:r>
      </w:hyperlink>
    </w:p>
    <w:p>
      <w:pPr>
        <w:pStyle w:val="TOC2"/>
        <w:tabs>
          <w:tab w:val="right" w:leader="dot" w:pos="8306"/>
        </w:tabs>
      </w:pPr>
      <w:hyperlink w:anchor="_Toc3643" w:history="1">
        <w:r>
          <w:rPr>
            <w:rFonts w:ascii="仿宋" w:eastAsia="仿宋" w:hAnsi="仿宋" w:cs="仿宋" w:hint="eastAsia"/>
            <w:lang w:eastAsia="zh-CN"/>
          </w:rPr>
          <w:t>(一)、公司基本信息</w:t>
        </w:r>
        <w:r>
          <w:tab/>
        </w:r>
        <w:r>
          <w:fldChar w:fldCharType="begin"/>
        </w:r>
        <w:r>
          <w:instrText xml:space="preserve"> PAGEREF _Toc3643 \h </w:instrText>
        </w:r>
        <w:r>
          <w:fldChar w:fldCharType="separate"/>
        </w:r>
        <w:r>
          <w:t>15</w:t>
        </w:r>
        <w:r>
          <w:fldChar w:fldCharType="end"/>
        </w:r>
      </w:hyperlink>
    </w:p>
    <w:p>
      <w:pPr>
        <w:pStyle w:val="TOC2"/>
        <w:tabs>
          <w:tab w:val="right" w:leader="dot" w:pos="8306"/>
        </w:tabs>
      </w:pPr>
      <w:hyperlink w:anchor="_Toc20395" w:history="1">
        <w:r>
          <w:rPr>
            <w:rFonts w:ascii="仿宋" w:eastAsia="仿宋" w:hAnsi="仿宋" w:cs="仿宋" w:hint="eastAsia"/>
            <w:lang w:eastAsia="zh-CN"/>
          </w:rPr>
          <w:t>(二)、公司简介</w:t>
        </w:r>
        <w:r>
          <w:tab/>
        </w:r>
        <w:r>
          <w:fldChar w:fldCharType="begin"/>
        </w:r>
        <w:r>
          <w:instrText xml:space="preserve"> PAGEREF _Toc20395 \h </w:instrText>
        </w:r>
        <w:r>
          <w:fldChar w:fldCharType="separate"/>
        </w:r>
        <w:r>
          <w:t>15</w:t>
        </w:r>
        <w:r>
          <w:fldChar w:fldCharType="end"/>
        </w:r>
      </w:hyperlink>
    </w:p>
    <w:p>
      <w:pPr>
        <w:pStyle w:val="TOC2"/>
        <w:tabs>
          <w:tab w:val="right" w:leader="dot" w:pos="8306"/>
        </w:tabs>
      </w:pPr>
      <w:hyperlink w:anchor="_Toc5745" w:history="1">
        <w:r>
          <w:rPr>
            <w:rFonts w:ascii="仿宋" w:eastAsia="仿宋" w:hAnsi="仿宋" w:cs="仿宋" w:hint="eastAsia"/>
            <w:lang w:eastAsia="zh-CN"/>
          </w:rPr>
          <w:t>(三)、核心人员介绍</w:t>
        </w:r>
        <w:r>
          <w:tab/>
        </w:r>
        <w:r>
          <w:fldChar w:fldCharType="begin"/>
        </w:r>
        <w:r>
          <w:instrText xml:space="preserve"> PAGEREF _Toc5745 \h </w:instrText>
        </w:r>
        <w:r>
          <w:fldChar w:fldCharType="separate"/>
        </w:r>
        <w:r>
          <w:t>17</w:t>
        </w:r>
        <w:r>
          <w:fldChar w:fldCharType="end"/>
        </w:r>
      </w:hyperlink>
    </w:p>
    <w:p>
      <w:pPr>
        <w:pStyle w:val="TOC1"/>
        <w:tabs>
          <w:tab w:val="right" w:leader="dot" w:pos="8306"/>
        </w:tabs>
      </w:pPr>
      <w:hyperlink w:anchor="_Toc13577" w:history="1">
        <w:r>
          <w:rPr>
            <w:rFonts w:ascii="仿宋" w:eastAsia="仿宋" w:hAnsi="仿宋" w:cs="仿宋" w:hint="eastAsia"/>
            <w:lang w:eastAsia="zh-CN"/>
          </w:rPr>
          <w:t>四、第七章员工培训与发展</w:t>
        </w:r>
        <w:r>
          <w:tab/>
        </w:r>
        <w:r>
          <w:fldChar w:fldCharType="begin"/>
        </w:r>
        <w:r>
          <w:instrText xml:space="preserve"> PAGEREF _Toc13577 \h </w:instrText>
        </w:r>
        <w:r>
          <w:fldChar w:fldCharType="separate"/>
        </w:r>
        <w:r>
          <w:t>20</w:t>
        </w:r>
        <w:r>
          <w:fldChar w:fldCharType="end"/>
        </w:r>
      </w:hyperlink>
    </w:p>
    <w:p>
      <w:pPr>
        <w:pStyle w:val="TOC2"/>
        <w:tabs>
          <w:tab w:val="right" w:leader="dot" w:pos="8306"/>
        </w:tabs>
      </w:pPr>
      <w:hyperlink w:anchor="_Toc1012" w:history="1">
        <w:r>
          <w:rPr>
            <w:rFonts w:ascii="仿宋" w:eastAsia="仿宋" w:hAnsi="仿宋" w:cs="仿宋" w:hint="eastAsia"/>
            <w:lang w:eastAsia="zh-CN"/>
          </w:rPr>
          <w:t>(一)、培训需求分析</w:t>
        </w:r>
        <w:r>
          <w:tab/>
        </w:r>
        <w:r>
          <w:fldChar w:fldCharType="begin"/>
        </w:r>
        <w:r>
          <w:instrText xml:space="preserve"> PAGEREF _Toc1012 \h </w:instrText>
        </w:r>
        <w:r>
          <w:fldChar w:fldCharType="separate"/>
        </w:r>
        <w:r>
          <w:t>20</w:t>
        </w:r>
        <w:r>
          <w:fldChar w:fldCharType="end"/>
        </w:r>
      </w:hyperlink>
    </w:p>
    <w:p>
      <w:pPr>
        <w:pStyle w:val="TOC2"/>
        <w:tabs>
          <w:tab w:val="right" w:leader="dot" w:pos="8306"/>
        </w:tabs>
      </w:pPr>
      <w:hyperlink w:anchor="_Toc19664" w:history="1">
        <w:r>
          <w:rPr>
            <w:rFonts w:ascii="仿宋" w:eastAsia="仿宋" w:hAnsi="仿宋" w:cs="仿宋" w:hint="eastAsia"/>
            <w:lang w:eastAsia="zh-CN"/>
          </w:rPr>
          <w:t>(二)、培训计划制定</w:t>
        </w:r>
        <w:r>
          <w:tab/>
        </w:r>
        <w:r>
          <w:fldChar w:fldCharType="begin"/>
        </w:r>
        <w:r>
          <w:instrText xml:space="preserve"> PAGEREF _Toc19664 \h </w:instrText>
        </w:r>
        <w:r>
          <w:fldChar w:fldCharType="separate"/>
        </w:r>
        <w:r>
          <w:t>21</w:t>
        </w:r>
        <w:r>
          <w:fldChar w:fldCharType="end"/>
        </w:r>
      </w:hyperlink>
    </w:p>
    <w:p>
      <w:pPr>
        <w:pStyle w:val="TOC2"/>
        <w:tabs>
          <w:tab w:val="right" w:leader="dot" w:pos="8306"/>
        </w:tabs>
      </w:pPr>
      <w:hyperlink w:anchor="_Toc28763" w:history="1">
        <w:r>
          <w:rPr>
            <w:rFonts w:ascii="仿宋" w:eastAsia="仿宋" w:hAnsi="仿宋" w:cs="仿宋" w:hint="eastAsia"/>
            <w:lang w:eastAsia="zh-CN"/>
          </w:rPr>
          <w:t>(三)、培训实施与评估</w:t>
        </w:r>
        <w:r>
          <w:tab/>
        </w:r>
        <w:r>
          <w:fldChar w:fldCharType="begin"/>
        </w:r>
        <w:r>
          <w:instrText xml:space="preserve"> PAGEREF _Toc28763 \h </w:instrText>
        </w:r>
        <w:r>
          <w:fldChar w:fldCharType="separate"/>
        </w:r>
        <w:r>
          <w:t>21</w:t>
        </w:r>
        <w:r>
          <w:fldChar w:fldCharType="end"/>
        </w:r>
      </w:hyperlink>
    </w:p>
    <w:p>
      <w:pPr>
        <w:pStyle w:val="TOC2"/>
        <w:tabs>
          <w:tab w:val="right" w:leader="dot" w:pos="8306"/>
        </w:tabs>
      </w:pPr>
      <w:hyperlink w:anchor="_Toc28300" w:history="1">
        <w:r>
          <w:rPr>
            <w:rFonts w:ascii="仿宋" w:eastAsia="仿宋" w:hAnsi="仿宋" w:cs="仿宋" w:hint="eastAsia"/>
            <w:lang w:eastAsia="zh-CN"/>
          </w:rPr>
          <w:t>(四)、持续学习与专业发展支持</w:t>
        </w:r>
        <w:r>
          <w:tab/>
        </w:r>
        <w:r>
          <w:fldChar w:fldCharType="begin"/>
        </w:r>
        <w:r>
          <w:instrText xml:space="preserve"> PAGEREF _Toc28300 \h </w:instrText>
        </w:r>
        <w:r>
          <w:fldChar w:fldCharType="separate"/>
        </w:r>
        <w:r>
          <w:t>23</w:t>
        </w:r>
        <w:r>
          <w:fldChar w:fldCharType="end"/>
        </w:r>
      </w:hyperlink>
    </w:p>
    <w:p>
      <w:pPr>
        <w:pStyle w:val="TOC1"/>
        <w:tabs>
          <w:tab w:val="right" w:leader="dot" w:pos="8306"/>
        </w:tabs>
      </w:pPr>
      <w:hyperlink w:anchor="_Toc20462" w:history="1">
        <w:r>
          <w:rPr>
            <w:rFonts w:ascii="仿宋" w:eastAsia="仿宋" w:hAnsi="仿宋" w:cs="仿宋" w:hint="eastAsia"/>
            <w:lang w:eastAsia="zh-CN"/>
          </w:rPr>
          <w:t>五、烧结空心砖(粘土砖、页岩砖、煤矸石砖、粉煤灰砖)行业背景分析</w:t>
        </w:r>
        <w:r>
          <w:tab/>
        </w:r>
        <w:r>
          <w:fldChar w:fldCharType="begin"/>
        </w:r>
        <w:r>
          <w:instrText xml:space="preserve"> PAGEREF _Toc20462 \h </w:instrText>
        </w:r>
        <w:r>
          <w:fldChar w:fldCharType="separate"/>
        </w:r>
        <w:r>
          <w:t>24</w:t>
        </w:r>
        <w:r>
          <w:fldChar w:fldCharType="end"/>
        </w:r>
      </w:hyperlink>
    </w:p>
    <w:p>
      <w:pPr>
        <w:pStyle w:val="TOC2"/>
        <w:tabs>
          <w:tab w:val="right" w:leader="dot" w:pos="8306"/>
        </w:tabs>
      </w:pPr>
      <w:hyperlink w:anchor="_Toc5267" w:history="1">
        <w:r>
          <w:rPr>
            <w:rFonts w:ascii="仿宋" w:eastAsia="仿宋" w:hAnsi="仿宋" w:cs="仿宋" w:hint="eastAsia"/>
            <w:lang w:eastAsia="zh-CN"/>
          </w:rPr>
          <w:t>(一)、烧结空心砖(粘土砖、页岩砖、煤矸石砖、粉煤灰砖)行业背景分析</w:t>
        </w:r>
        <w:r>
          <w:tab/>
        </w:r>
        <w:r>
          <w:fldChar w:fldCharType="begin"/>
        </w:r>
        <w:r>
          <w:instrText xml:space="preserve"> PAGEREF _Toc5267 \h </w:instrText>
        </w:r>
        <w:r>
          <w:fldChar w:fldCharType="separate"/>
        </w:r>
        <w:r>
          <w:t>24</w:t>
        </w:r>
        <w:r>
          <w:fldChar w:fldCharType="end"/>
        </w:r>
      </w:hyperlink>
    </w:p>
    <w:p>
      <w:pPr>
        <w:pStyle w:val="TOC1"/>
        <w:tabs>
          <w:tab w:val="right" w:leader="dot" w:pos="8306"/>
        </w:tabs>
      </w:pPr>
      <w:hyperlink w:anchor="_Toc22072" w:history="1">
        <w:r>
          <w:rPr>
            <w:rFonts w:ascii="仿宋" w:eastAsia="仿宋" w:hAnsi="仿宋" w:cs="仿宋" w:hint="eastAsia"/>
            <w:lang w:eastAsia="zh-CN"/>
          </w:rPr>
          <w:t>六、第三十八章员工社交媒体管理</w:t>
        </w:r>
        <w:r>
          <w:tab/>
        </w:r>
        <w:r>
          <w:fldChar w:fldCharType="begin"/>
        </w:r>
        <w:r>
          <w:instrText xml:space="preserve"> PAGEREF _Toc22072 \h </w:instrText>
        </w:r>
        <w:r>
          <w:fldChar w:fldCharType="separate"/>
        </w:r>
        <w:r>
          <w:t>27</w:t>
        </w:r>
        <w:r>
          <w:fldChar w:fldCharType="end"/>
        </w:r>
      </w:hyperlink>
    </w:p>
    <w:p>
      <w:pPr>
        <w:pStyle w:val="TOC2"/>
        <w:tabs>
          <w:tab w:val="right" w:leader="dot" w:pos="8306"/>
        </w:tabs>
      </w:pPr>
      <w:hyperlink w:anchor="_Toc17598" w:history="1">
        <w:r>
          <w:rPr>
            <w:rFonts w:ascii="仿宋" w:eastAsia="仿宋" w:hAnsi="仿宋" w:cs="仿宋" w:hint="eastAsia"/>
            <w:lang w:eastAsia="zh-CN"/>
          </w:rPr>
          <w:t>(一)、员工社交媒体政策</w:t>
        </w:r>
        <w:r>
          <w:tab/>
        </w:r>
        <w:r>
          <w:fldChar w:fldCharType="begin"/>
        </w:r>
        <w:r>
          <w:instrText xml:space="preserve"> PAGEREF _Toc17598 \h </w:instrText>
        </w:r>
        <w:r>
          <w:fldChar w:fldCharType="separate"/>
        </w:r>
        <w:r>
          <w:t>27</w:t>
        </w:r>
        <w:r>
          <w:fldChar w:fldCharType="end"/>
        </w:r>
      </w:hyperlink>
    </w:p>
    <w:p>
      <w:pPr>
        <w:pStyle w:val="TOC2"/>
        <w:tabs>
          <w:tab w:val="right" w:leader="dot" w:pos="8306"/>
        </w:tabs>
      </w:pPr>
      <w:hyperlink w:anchor="_Toc30774" w:history="1">
        <w:r>
          <w:rPr>
            <w:rFonts w:ascii="仿宋" w:eastAsia="仿宋" w:hAnsi="仿宋" w:cs="仿宋" w:hint="eastAsia"/>
            <w:lang w:eastAsia="zh-CN"/>
          </w:rPr>
          <w:t>(二)、个人品牌与公司形象的关联</w:t>
        </w:r>
        <w:r>
          <w:tab/>
        </w:r>
        <w:r>
          <w:fldChar w:fldCharType="begin"/>
        </w:r>
        <w:r>
          <w:instrText xml:space="preserve"> PAGEREF _Toc30774 \h </w:instrText>
        </w:r>
        <w:r>
          <w:fldChar w:fldCharType="separate"/>
        </w:r>
        <w:r>
          <w:t>28</w:t>
        </w:r>
        <w:r>
          <w:fldChar w:fldCharType="end"/>
        </w:r>
      </w:hyperlink>
    </w:p>
    <w:p>
      <w:pPr>
        <w:pStyle w:val="TOC2"/>
        <w:tabs>
          <w:tab w:val="right" w:leader="dot" w:pos="8306"/>
        </w:tabs>
      </w:pPr>
      <w:hyperlink w:anchor="_Toc21604" w:history="1">
        <w:r>
          <w:rPr>
            <w:rFonts w:ascii="仿宋" w:eastAsia="仿宋" w:hAnsi="仿宋" w:cs="仿宋" w:hint="eastAsia"/>
            <w:lang w:eastAsia="zh-CN"/>
          </w:rPr>
          <w:t>(三)、社交媒体使用准则</w:t>
        </w:r>
        <w:r>
          <w:tab/>
        </w:r>
        <w:r>
          <w:fldChar w:fldCharType="begin"/>
        </w:r>
        <w:r>
          <w:instrText xml:space="preserve"> PAGEREF _Toc21604 \h </w:instrText>
        </w:r>
        <w:r>
          <w:fldChar w:fldCharType="separate"/>
        </w:r>
        <w:r>
          <w:t>29</w:t>
        </w:r>
        <w:r>
          <w:fldChar w:fldCharType="end"/>
        </w:r>
      </w:hyperlink>
    </w:p>
    <w:p>
      <w:pPr>
        <w:pStyle w:val="TOC2"/>
        <w:tabs>
          <w:tab w:val="right" w:leader="dot" w:pos="8306"/>
        </w:tabs>
      </w:pPr>
      <w:hyperlink w:anchor="_Toc16651" w:history="1">
        <w:r>
          <w:rPr>
            <w:rFonts w:ascii="仿宋" w:eastAsia="仿宋" w:hAnsi="仿宋" w:cs="仿宋" w:hint="eastAsia"/>
            <w:lang w:eastAsia="zh-CN"/>
          </w:rPr>
          <w:t>(四)、公司与员工互动</w:t>
        </w:r>
        <w:r>
          <w:tab/>
        </w:r>
        <w:r>
          <w:fldChar w:fldCharType="begin"/>
        </w:r>
        <w:r>
          <w:instrText xml:space="preserve"> PAGEREF _Toc16651 \h </w:instrText>
        </w:r>
        <w:r>
          <w:fldChar w:fldCharType="separate"/>
        </w:r>
        <w:r>
          <w:t>31</w:t>
        </w:r>
        <w:r>
          <w:fldChar w:fldCharType="end"/>
        </w:r>
      </w:hyperlink>
    </w:p>
    <w:p>
      <w:pPr>
        <w:pStyle w:val="TOC2"/>
        <w:tabs>
          <w:tab w:val="right" w:leader="dot" w:pos="8306"/>
        </w:tabs>
      </w:pPr>
      <w:hyperlink w:anchor="_Toc2224" w:history="1">
        <w:r>
          <w:rPr>
            <w:rFonts w:ascii="仿宋" w:eastAsia="仿宋" w:hAnsi="仿宋" w:cs="仿宋" w:hint="eastAsia"/>
            <w:lang w:eastAsia="zh-CN"/>
          </w:rPr>
          <w:t>(五)、公司社交媒体账号管理</w:t>
        </w:r>
        <w:r>
          <w:tab/>
        </w:r>
        <w:r>
          <w:fldChar w:fldCharType="begin"/>
        </w:r>
        <w:r>
          <w:instrText xml:space="preserve"> PAGEREF _Toc2224 \h </w:instrText>
        </w:r>
        <w:r>
          <w:fldChar w:fldCharType="separate"/>
        </w:r>
        <w:r>
          <w:t>33</w:t>
        </w:r>
        <w:r>
          <w:fldChar w:fldCharType="end"/>
        </w:r>
      </w:hyperlink>
    </w:p>
    <w:p>
      <w:pPr>
        <w:pStyle w:val="TOC2"/>
        <w:tabs>
          <w:tab w:val="right" w:leader="dot" w:pos="8306"/>
        </w:tabs>
      </w:pPr>
      <w:hyperlink w:anchor="_Toc5480" w:history="1">
        <w:r>
          <w:rPr>
            <w:rFonts w:ascii="仿宋" w:eastAsia="仿宋" w:hAnsi="仿宋" w:cs="仿宋" w:hint="eastAsia"/>
            <w:lang w:eastAsia="zh-CN"/>
          </w:rPr>
          <w:t>(六)、职业发展机会的分享与推广</w:t>
        </w:r>
        <w:r>
          <w:tab/>
        </w:r>
        <w:r>
          <w:fldChar w:fldCharType="begin"/>
        </w:r>
        <w:r>
          <w:instrText xml:space="preserve"> PAGEREF _Toc5480 \h </w:instrText>
        </w:r>
        <w:r>
          <w:fldChar w:fldCharType="separate"/>
        </w:r>
        <w:r>
          <w:t>34</w:t>
        </w:r>
        <w:r>
          <w:fldChar w:fldCharType="end"/>
        </w:r>
      </w:hyperlink>
    </w:p>
    <w:p>
      <w:pPr>
        <w:pStyle w:val="TOC1"/>
        <w:tabs>
          <w:tab w:val="right" w:leader="dot" w:pos="8306"/>
        </w:tabs>
      </w:pPr>
      <w:hyperlink w:anchor="_Toc24315" w:history="1">
        <w:r>
          <w:rPr>
            <w:rFonts w:ascii="仿宋" w:eastAsia="仿宋" w:hAnsi="仿宋" w:cs="仿宋" w:hint="eastAsia"/>
            <w:lang w:eastAsia="zh-CN"/>
          </w:rPr>
          <w:t>七、第三十二章未来发展愿景</w:t>
        </w:r>
        <w:r>
          <w:tab/>
        </w:r>
        <w:r>
          <w:fldChar w:fldCharType="begin"/>
        </w:r>
        <w:r>
          <w:instrText xml:space="preserve"> PAGEREF _Toc24315 \h </w:instrText>
        </w:r>
        <w:r>
          <w:fldChar w:fldCharType="separate"/>
        </w:r>
        <w:r>
          <w:t>35</w:t>
        </w:r>
        <w:r>
          <w:fldChar w:fldCharType="end"/>
        </w:r>
      </w:hyperlink>
    </w:p>
    <w:p>
      <w:pPr>
        <w:pStyle w:val="TOC2"/>
        <w:tabs>
          <w:tab w:val="right" w:leader="dot" w:pos="8306"/>
        </w:tabs>
      </w:pPr>
      <w:hyperlink w:anchor="_Toc8959" w:history="1">
        <w:r>
          <w:rPr>
            <w:rFonts w:ascii="仿宋" w:eastAsia="仿宋" w:hAnsi="仿宋" w:cs="仿宋" w:hint="eastAsia"/>
            <w:lang w:eastAsia="zh-CN"/>
          </w:rPr>
          <w:t>(一)、员工职业生涯管理的未来趋势</w:t>
        </w:r>
        <w:r>
          <w:tab/>
        </w:r>
        <w:r>
          <w:fldChar w:fldCharType="begin"/>
        </w:r>
        <w:r>
          <w:instrText xml:space="preserve"> PAGEREF _Toc8959 \h </w:instrText>
        </w:r>
        <w:r>
          <w:fldChar w:fldCharType="separate"/>
        </w:r>
        <w:r>
          <w:t>35</w:t>
        </w:r>
        <w:r>
          <w:fldChar w:fldCharType="end"/>
        </w:r>
      </w:hyperlink>
    </w:p>
    <w:p>
      <w:pPr>
        <w:pStyle w:val="TOC2"/>
        <w:tabs>
          <w:tab w:val="right" w:leader="dot" w:pos="8306"/>
        </w:tabs>
      </w:pPr>
      <w:hyperlink w:anchor="_Toc25834" w:history="1">
        <w:r>
          <w:rPr>
            <w:rFonts w:ascii="仿宋" w:eastAsia="仿宋" w:hAnsi="仿宋" w:cs="仿宋" w:hint="eastAsia"/>
            <w:lang w:eastAsia="zh-CN"/>
          </w:rPr>
          <w:t>(二)、公司在员工发展中的未来愿景</w:t>
        </w:r>
        <w:r>
          <w:tab/>
        </w:r>
        <w:r>
          <w:fldChar w:fldCharType="begin"/>
        </w:r>
        <w:r>
          <w:instrText xml:space="preserve"> PAGEREF _Toc25834 \h </w:instrText>
        </w:r>
        <w:r>
          <w:fldChar w:fldCharType="separate"/>
        </w:r>
        <w:r>
          <w:t>36</w:t>
        </w:r>
        <w:r>
          <w:fldChar w:fldCharType="end"/>
        </w:r>
      </w:hyperlink>
    </w:p>
    <w:p>
      <w:pPr>
        <w:pStyle w:val="TOC1"/>
        <w:tabs>
          <w:tab w:val="right" w:leader="dot" w:pos="8306"/>
        </w:tabs>
      </w:pPr>
      <w:hyperlink w:anchor="_Toc25785" w:history="1">
        <w:r>
          <w:rPr>
            <w:rFonts w:ascii="仿宋" w:eastAsia="仿宋" w:hAnsi="仿宋" w:cs="仿宋" w:hint="eastAsia"/>
            <w:lang w:eastAsia="zh-CN"/>
          </w:rPr>
          <w:t>八、第十二章职业伦理与社会责任</w:t>
        </w:r>
        <w:r>
          <w:tab/>
        </w:r>
        <w:r>
          <w:fldChar w:fldCharType="begin"/>
        </w:r>
        <w:r>
          <w:instrText xml:space="preserve"> PAGEREF _Toc25785 \h </w:instrText>
        </w:r>
        <w:r>
          <w:fldChar w:fldCharType="separate"/>
        </w:r>
        <w:r>
          <w:t>36</w:t>
        </w:r>
        <w:r>
          <w:fldChar w:fldCharType="end"/>
        </w:r>
      </w:hyperlink>
    </w:p>
    <w:p>
      <w:pPr>
        <w:pStyle w:val="TOC2"/>
        <w:tabs>
          <w:tab w:val="right" w:leader="dot" w:pos="8306"/>
        </w:tabs>
      </w:pPr>
      <w:hyperlink w:anchor="_Toc1608" w:history="1">
        <w:r>
          <w:rPr>
            <w:rFonts w:ascii="仿宋" w:eastAsia="仿宋" w:hAnsi="仿宋" w:cs="仿宋" w:hint="eastAsia"/>
            <w:lang w:eastAsia="zh-CN"/>
          </w:rPr>
          <w:t>(一)、职业道德规范</w:t>
        </w:r>
        <w:r>
          <w:tab/>
        </w:r>
        <w:r>
          <w:fldChar w:fldCharType="begin"/>
        </w:r>
        <w:r>
          <w:instrText xml:space="preserve"> PAGEREF _Toc1608 \h </w:instrText>
        </w:r>
        <w:r>
          <w:fldChar w:fldCharType="separate"/>
        </w:r>
        <w:r>
          <w:t>36</w:t>
        </w:r>
        <w:r>
          <w:fldChar w:fldCharType="end"/>
        </w:r>
      </w:hyperlink>
    </w:p>
    <w:p>
      <w:pPr>
        <w:pStyle w:val="TOC2"/>
        <w:tabs>
          <w:tab w:val="right" w:leader="dot" w:pos="8306"/>
        </w:tabs>
      </w:pPr>
      <w:hyperlink w:anchor="_Toc10642" w:history="1">
        <w:r>
          <w:rPr>
            <w:rFonts w:ascii="仿宋" w:eastAsia="仿宋" w:hAnsi="仿宋" w:cs="仿宋" w:hint="eastAsia"/>
            <w:lang w:eastAsia="zh-CN"/>
          </w:rPr>
          <w:t>(二)、社会责任履行</w:t>
        </w:r>
        <w:r>
          <w:tab/>
        </w:r>
        <w:r>
          <w:fldChar w:fldCharType="begin"/>
        </w:r>
        <w:r>
          <w:instrText xml:space="preserve"> PAGEREF _Toc10642 \h </w:instrText>
        </w:r>
        <w:r>
          <w:fldChar w:fldCharType="separate"/>
        </w:r>
        <w:r>
          <w:t>37</w:t>
        </w:r>
        <w:r>
          <w:fldChar w:fldCharType="end"/>
        </w:r>
      </w:hyperlink>
    </w:p>
    <w:p>
      <w:pPr>
        <w:pStyle w:val="TOC1"/>
        <w:tabs>
          <w:tab w:val="right" w:leader="dot" w:pos="8306"/>
        </w:tabs>
      </w:pPr>
      <w:hyperlink w:anchor="_Toc9985" w:history="1">
        <w:r>
          <w:rPr>
            <w:rFonts w:ascii="仿宋" w:eastAsia="仿宋" w:hAnsi="仿宋" w:cs="仿宋" w:hint="eastAsia"/>
            <w:lang w:eastAsia="zh-CN"/>
          </w:rPr>
          <w:t>九、第二十六章人才留存与流失管理</w:t>
        </w:r>
        <w:r>
          <w:tab/>
        </w:r>
        <w:r>
          <w:fldChar w:fldCharType="begin"/>
        </w:r>
        <w:r>
          <w:instrText xml:space="preserve"> PAGEREF _Toc9985 \h </w:instrText>
        </w:r>
        <w:r>
          <w:fldChar w:fldCharType="separate"/>
        </w:r>
        <w:r>
          <w:t>38</w:t>
        </w:r>
        <w:r>
          <w:fldChar w:fldCharType="end"/>
        </w:r>
      </w:hyperlink>
    </w:p>
    <w:p>
      <w:pPr>
        <w:pStyle w:val="TOC2"/>
        <w:tabs>
          <w:tab w:val="right" w:leader="dot" w:pos="8306"/>
        </w:tabs>
      </w:pPr>
      <w:hyperlink w:anchor="_Toc15163" w:history="1">
        <w:r>
          <w:rPr>
            <w:rFonts w:ascii="仿宋" w:eastAsia="仿宋" w:hAnsi="仿宋" w:cs="仿宋" w:hint="eastAsia"/>
            <w:lang w:eastAsia="zh-CN"/>
          </w:rPr>
          <w:t>(一)、人才留存策略</w:t>
        </w:r>
        <w:r>
          <w:tab/>
        </w:r>
        <w:r>
          <w:fldChar w:fldCharType="begin"/>
        </w:r>
        <w:r>
          <w:instrText xml:space="preserve"> PAGEREF _Toc15163 \h </w:instrText>
        </w:r>
        <w:r>
          <w:fldChar w:fldCharType="separate"/>
        </w:r>
        <w:r>
          <w:t>38</w:t>
        </w:r>
        <w:r>
          <w:fldChar w:fldCharType="end"/>
        </w:r>
      </w:hyperlink>
    </w:p>
    <w:p>
      <w:pPr>
        <w:pStyle w:val="TOC2"/>
        <w:tabs>
          <w:tab w:val="right" w:leader="dot" w:pos="8306"/>
        </w:tabs>
      </w:pPr>
      <w:hyperlink w:anchor="_Toc20905" w:history="1">
        <w:r>
          <w:rPr>
            <w:rFonts w:ascii="仿宋" w:eastAsia="仿宋" w:hAnsi="仿宋" w:cs="仿宋" w:hint="eastAsia"/>
            <w:lang w:eastAsia="zh-CN"/>
          </w:rPr>
          <w:t>(二)、人才流失分析与改进</w:t>
        </w:r>
        <w:r>
          <w:tab/>
        </w:r>
        <w:r>
          <w:fldChar w:fldCharType="begin"/>
        </w:r>
        <w:r>
          <w:instrText xml:space="preserve"> PAGEREF _Toc20905 \h </w:instrText>
        </w:r>
        <w:r>
          <w:fldChar w:fldCharType="separate"/>
        </w:r>
        <w:r>
          <w:t>39</w:t>
        </w:r>
        <w:r>
          <w:fldChar w:fldCharType="end"/>
        </w:r>
      </w:hyperlink>
    </w:p>
    <w:p>
      <w:pPr>
        <w:pStyle w:val="TOC2"/>
        <w:tabs>
          <w:tab w:val="right" w:leader="dot" w:pos="8306"/>
        </w:tabs>
      </w:pPr>
      <w:hyperlink w:anchor="_Toc27385" w:history="1">
        <w:r>
          <w:rPr>
            <w:rFonts w:ascii="仿宋" w:eastAsia="仿宋" w:hAnsi="仿宋" w:cs="仿宋" w:hint="eastAsia"/>
            <w:lang w:eastAsia="zh-CN"/>
          </w:rPr>
          <w:t>(三)、持续改进与未来展望</w:t>
        </w:r>
        <w:r>
          <w:tab/>
        </w:r>
        <w:r>
          <w:fldChar w:fldCharType="begin"/>
        </w:r>
        <w:r>
          <w:instrText xml:space="preserve"> PAGEREF _Toc27385 \h </w:instrText>
        </w:r>
        <w:r>
          <w:fldChar w:fldCharType="separate"/>
        </w:r>
        <w:r>
          <w:t>39</w:t>
        </w:r>
        <w:r>
          <w:fldChar w:fldCharType="end"/>
        </w:r>
      </w:hyperlink>
    </w:p>
    <w:p>
      <w:pPr>
        <w:pStyle w:val="TOC1"/>
        <w:tabs>
          <w:tab w:val="right" w:leader="dot" w:pos="8306"/>
        </w:tabs>
      </w:pPr>
      <w:hyperlink w:anchor="_Toc18284" w:history="1">
        <w:r>
          <w:rPr>
            <w:rFonts w:ascii="仿宋" w:eastAsia="仿宋" w:hAnsi="仿宋" w:cs="仿宋" w:hint="eastAsia"/>
            <w:lang w:eastAsia="zh-CN"/>
          </w:rPr>
          <w:t>十、第十三章技术与创新支持</w:t>
        </w:r>
        <w:r>
          <w:tab/>
        </w:r>
        <w:r>
          <w:fldChar w:fldCharType="begin"/>
        </w:r>
        <w:r>
          <w:instrText xml:space="preserve"> PAGEREF _Toc18284 \h </w:instrText>
        </w:r>
        <w:r>
          <w:fldChar w:fldCharType="separate"/>
        </w:r>
        <w:r>
          <w:t>39</w:t>
        </w:r>
        <w:r>
          <w:fldChar w:fldCharType="end"/>
        </w:r>
      </w:hyperlink>
    </w:p>
    <w:p>
      <w:pPr>
        <w:pStyle w:val="TOC2"/>
        <w:tabs>
          <w:tab w:val="right" w:leader="dot" w:pos="8306"/>
        </w:tabs>
      </w:pPr>
      <w:hyperlink w:anchor="_Toc15965" w:history="1">
        <w:r>
          <w:rPr>
            <w:rFonts w:ascii="仿宋" w:eastAsia="仿宋" w:hAnsi="仿宋" w:cs="仿宋" w:hint="eastAsia"/>
            <w:lang w:eastAsia="zh-CN"/>
          </w:rPr>
          <w:t>(一)、技术培训与更新</w:t>
        </w:r>
        <w:r>
          <w:tab/>
        </w:r>
        <w:r>
          <w:fldChar w:fldCharType="begin"/>
        </w:r>
        <w:r>
          <w:instrText xml:space="preserve"> PAGEREF _Toc15965 \h </w:instrText>
        </w:r>
        <w:r>
          <w:fldChar w:fldCharType="separate"/>
        </w:r>
        <w:r>
          <w:t>39</w:t>
        </w:r>
        <w:r>
          <w:fldChar w:fldCharType="end"/>
        </w:r>
      </w:hyperlink>
    </w:p>
    <w:p>
      <w:pPr>
        <w:pStyle w:val="TOC2"/>
        <w:tabs>
          <w:tab w:val="right" w:leader="dot" w:pos="8306"/>
        </w:tabs>
      </w:pPr>
      <w:hyperlink w:anchor="_Toc25696" w:history="1">
        <w:r>
          <w:rPr>
            <w:rFonts w:ascii="仿宋" w:eastAsia="仿宋" w:hAnsi="仿宋" w:cs="仿宋" w:hint="eastAsia"/>
            <w:lang w:eastAsia="zh-CN"/>
          </w:rPr>
          <w:t>(二)、创新文化与项目支持</w:t>
        </w:r>
        <w:r>
          <w:tab/>
        </w:r>
        <w:r>
          <w:fldChar w:fldCharType="begin"/>
        </w:r>
        <w:r>
          <w:instrText xml:space="preserve"> PAGEREF _Toc25696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4" w:history="1">
        <w:r>
          <w:rPr>
            <w:rFonts w:ascii="仿宋" w:eastAsia="仿宋" w:hAnsi="仿宋" w:cs="仿宋" w:hint="eastAsia"/>
            <w:lang w:eastAsia="zh-CN"/>
          </w:rPr>
          <w:t>十一、员工晋升与职业发展通道</w:t>
        </w:r>
        <w:r>
          <w:tab/>
        </w:r>
        <w:r>
          <w:fldChar w:fldCharType="begin"/>
        </w:r>
        <w:r>
          <w:instrText xml:space="preserve"> PAGEREF _Toc704 \h </w:instrText>
        </w:r>
        <w:r>
          <w:fldChar w:fldCharType="separate"/>
        </w:r>
        <w:r>
          <w:t>41</w:t>
        </w:r>
        <w:r>
          <w:fldChar w:fldCharType="end"/>
        </w:r>
      </w:hyperlink>
    </w:p>
    <w:p>
      <w:pPr>
        <w:pStyle w:val="TOC2"/>
        <w:tabs>
          <w:tab w:val="right" w:leader="dot" w:pos="8306"/>
        </w:tabs>
      </w:pPr>
      <w:hyperlink w:anchor="_Toc9107" w:history="1">
        <w:r>
          <w:rPr>
            <w:rFonts w:ascii="仿宋" w:eastAsia="仿宋" w:hAnsi="仿宋" w:cs="仿宋" w:hint="eastAsia"/>
            <w:lang w:eastAsia="zh-CN"/>
          </w:rPr>
          <w:t>(一)、晋升制度的设计与实施</w:t>
        </w:r>
        <w:r>
          <w:tab/>
        </w:r>
        <w:r>
          <w:fldChar w:fldCharType="begin"/>
        </w:r>
        <w:r>
          <w:instrText xml:space="preserve"> PAGEREF _Toc9107 \h </w:instrText>
        </w:r>
        <w:r>
          <w:fldChar w:fldCharType="separate"/>
        </w:r>
        <w:r>
          <w:t>41</w:t>
        </w:r>
        <w:r>
          <w:fldChar w:fldCharType="end"/>
        </w:r>
      </w:hyperlink>
    </w:p>
    <w:p>
      <w:pPr>
        <w:pStyle w:val="TOC2"/>
        <w:tabs>
          <w:tab w:val="right" w:leader="dot" w:pos="8306"/>
        </w:tabs>
      </w:pPr>
      <w:hyperlink w:anchor="_Toc1457" w:history="1">
        <w:r>
          <w:rPr>
            <w:rFonts w:ascii="仿宋" w:eastAsia="仿宋" w:hAnsi="仿宋" w:cs="仿宋" w:hint="eastAsia"/>
            <w:lang w:eastAsia="zh-CN"/>
          </w:rPr>
          <w:t>(二)、职业发展通道的建立与拓展</w:t>
        </w:r>
        <w:r>
          <w:tab/>
        </w:r>
        <w:r>
          <w:fldChar w:fldCharType="begin"/>
        </w:r>
        <w:r>
          <w:instrText xml:space="preserve"> PAGEREF _Toc1457 \h </w:instrText>
        </w:r>
        <w:r>
          <w:fldChar w:fldCharType="separate"/>
        </w:r>
        <w:r>
          <w:t>43</w:t>
        </w:r>
        <w:r>
          <w:fldChar w:fldCharType="end"/>
        </w:r>
      </w:hyperlink>
    </w:p>
    <w:p>
      <w:pPr>
        <w:pStyle w:val="TOC2"/>
        <w:tabs>
          <w:tab w:val="right" w:leader="dot" w:pos="8306"/>
        </w:tabs>
      </w:pPr>
      <w:hyperlink w:anchor="_Toc10308" w:history="1">
        <w:r>
          <w:rPr>
            <w:rFonts w:ascii="仿宋" w:eastAsia="仿宋" w:hAnsi="仿宋" w:cs="仿宋" w:hint="eastAsia"/>
            <w:lang w:eastAsia="zh-CN"/>
          </w:rPr>
          <w:t>(三)、晋升机会的公平与透明保障</w:t>
        </w:r>
        <w:r>
          <w:tab/>
        </w:r>
        <w:r>
          <w:fldChar w:fldCharType="begin"/>
        </w:r>
        <w:r>
          <w:instrText xml:space="preserve"> PAGEREF _Toc10308 \h </w:instrText>
        </w:r>
        <w:r>
          <w:fldChar w:fldCharType="separate"/>
        </w:r>
        <w:r>
          <w:t>45</w:t>
        </w:r>
        <w:r>
          <w:fldChar w:fldCharType="end"/>
        </w:r>
      </w:hyperlink>
    </w:p>
    <w:p>
      <w:pPr>
        <w:pStyle w:val="TOC1"/>
        <w:tabs>
          <w:tab w:val="right" w:leader="dot" w:pos="8306"/>
        </w:tabs>
      </w:pPr>
      <w:hyperlink w:anchor="_Toc25010" w:history="1">
        <w:r>
          <w:rPr>
            <w:rFonts w:ascii="仿宋" w:eastAsia="仿宋" w:hAnsi="仿宋" w:cs="仿宋" w:hint="eastAsia"/>
            <w:lang w:eastAsia="zh-CN"/>
          </w:rPr>
          <w:t>十二、员工关系管理与危机处理</w:t>
        </w:r>
        <w:r>
          <w:tab/>
        </w:r>
        <w:r>
          <w:fldChar w:fldCharType="begin"/>
        </w:r>
        <w:r>
          <w:instrText xml:space="preserve"> PAGEREF _Toc25010 \h </w:instrText>
        </w:r>
        <w:r>
          <w:fldChar w:fldCharType="separate"/>
        </w:r>
        <w:r>
          <w:t>46</w:t>
        </w:r>
        <w:r>
          <w:fldChar w:fldCharType="end"/>
        </w:r>
      </w:hyperlink>
    </w:p>
    <w:p>
      <w:pPr>
        <w:pStyle w:val="TOC2"/>
        <w:tabs>
          <w:tab w:val="right" w:leader="dot" w:pos="8306"/>
        </w:tabs>
      </w:pPr>
      <w:hyperlink w:anchor="_Toc7721" w:history="1">
        <w:r>
          <w:rPr>
            <w:rFonts w:ascii="仿宋" w:eastAsia="仿宋" w:hAnsi="仿宋" w:cs="仿宋" w:hint="eastAsia"/>
            <w:lang w:eastAsia="zh-CN"/>
          </w:rPr>
          <w:t>(一)、员工关系管理原则与方法</w:t>
        </w:r>
        <w:r>
          <w:tab/>
        </w:r>
        <w:r>
          <w:fldChar w:fldCharType="begin"/>
        </w:r>
        <w:r>
          <w:instrText xml:space="preserve"> PAGEREF _Toc7721 \h </w:instrText>
        </w:r>
        <w:r>
          <w:fldChar w:fldCharType="separate"/>
        </w:r>
        <w:r>
          <w:t>46</w:t>
        </w:r>
        <w:r>
          <w:fldChar w:fldCharType="end"/>
        </w:r>
      </w:hyperlink>
    </w:p>
    <w:p>
      <w:pPr>
        <w:pStyle w:val="TOC2"/>
        <w:tabs>
          <w:tab w:val="right" w:leader="dot" w:pos="8306"/>
        </w:tabs>
      </w:pPr>
      <w:hyperlink w:anchor="_Toc2547" w:history="1">
        <w:r>
          <w:rPr>
            <w:rFonts w:ascii="仿宋" w:eastAsia="仿宋" w:hAnsi="仿宋" w:cs="仿宋" w:hint="eastAsia"/>
            <w:lang w:eastAsia="zh-CN"/>
          </w:rPr>
          <w:t>(二)、危机处理机制的建立与实施</w:t>
        </w:r>
        <w:r>
          <w:tab/>
        </w:r>
        <w:r>
          <w:fldChar w:fldCharType="begin"/>
        </w:r>
        <w:r>
          <w:instrText xml:space="preserve"> PAGEREF _Toc2547 \h </w:instrText>
        </w:r>
        <w:r>
          <w:fldChar w:fldCharType="separate"/>
        </w:r>
        <w:r>
          <w:t>47</w:t>
        </w:r>
        <w:r>
          <w:fldChar w:fldCharType="end"/>
        </w:r>
      </w:hyperlink>
    </w:p>
    <w:p>
      <w:pPr>
        <w:pStyle w:val="TOC2"/>
        <w:tabs>
          <w:tab w:val="right" w:leader="dot" w:pos="8306"/>
        </w:tabs>
      </w:pPr>
      <w:hyperlink w:anchor="_Toc4278" w:history="1">
        <w:r>
          <w:rPr>
            <w:rFonts w:ascii="仿宋" w:eastAsia="仿宋" w:hAnsi="仿宋" w:cs="仿宋" w:hint="eastAsia"/>
            <w:lang w:eastAsia="zh-CN"/>
          </w:rPr>
          <w:t>(三)、劳动争议解决与法律风险防范</w:t>
        </w:r>
        <w:r>
          <w:tab/>
        </w:r>
        <w:r>
          <w:fldChar w:fldCharType="begin"/>
        </w:r>
        <w:r>
          <w:instrText xml:space="preserve"> PAGEREF _Toc4278 \h </w:instrText>
        </w:r>
        <w:r>
          <w:fldChar w:fldCharType="separate"/>
        </w:r>
        <w:r>
          <w:t>47</w:t>
        </w:r>
        <w:r>
          <w:fldChar w:fldCharType="end"/>
        </w:r>
      </w:hyperlink>
    </w:p>
    <w:p>
      <w:pPr>
        <w:pStyle w:val="TOC1"/>
        <w:tabs>
          <w:tab w:val="right" w:leader="dot" w:pos="8306"/>
        </w:tabs>
      </w:pPr>
      <w:hyperlink w:anchor="_Toc21752" w:history="1">
        <w:r>
          <w:rPr>
            <w:rFonts w:ascii="仿宋" w:eastAsia="仿宋" w:hAnsi="仿宋" w:cs="仿宋" w:hint="eastAsia"/>
            <w:lang w:eastAsia="zh-CN"/>
          </w:rPr>
          <w:t>十三、员工职业发展教育与培训</w:t>
        </w:r>
        <w:r>
          <w:tab/>
        </w:r>
        <w:r>
          <w:fldChar w:fldCharType="begin"/>
        </w:r>
        <w:r>
          <w:instrText xml:space="preserve"> PAGEREF _Toc21752 \h </w:instrText>
        </w:r>
        <w:r>
          <w:fldChar w:fldCharType="separate"/>
        </w:r>
        <w:r>
          <w:t>48</w:t>
        </w:r>
        <w:r>
          <w:fldChar w:fldCharType="end"/>
        </w:r>
      </w:hyperlink>
    </w:p>
    <w:p>
      <w:pPr>
        <w:pStyle w:val="TOC2"/>
        <w:tabs>
          <w:tab w:val="right" w:leader="dot" w:pos="8306"/>
        </w:tabs>
      </w:pPr>
      <w:hyperlink w:anchor="_Toc6588" w:history="1">
        <w:r>
          <w:rPr>
            <w:rFonts w:ascii="仿宋" w:eastAsia="仿宋" w:hAnsi="仿宋" w:cs="仿宋" w:hint="eastAsia"/>
            <w:lang w:eastAsia="zh-CN"/>
          </w:rPr>
          <w:t>(一)、职业发展教育的目标与实施策略</w:t>
        </w:r>
        <w:r>
          <w:tab/>
        </w:r>
        <w:r>
          <w:fldChar w:fldCharType="begin"/>
        </w:r>
        <w:r>
          <w:instrText xml:space="preserve"> PAGEREF _Toc6588 \h </w:instrText>
        </w:r>
        <w:r>
          <w:fldChar w:fldCharType="separate"/>
        </w:r>
        <w:r>
          <w:t>48</w:t>
        </w:r>
        <w:r>
          <w:fldChar w:fldCharType="end"/>
        </w:r>
      </w:hyperlink>
    </w:p>
    <w:p>
      <w:pPr>
        <w:pStyle w:val="TOC2"/>
        <w:tabs>
          <w:tab w:val="right" w:leader="dot" w:pos="8306"/>
        </w:tabs>
      </w:pPr>
      <w:hyperlink w:anchor="_Toc1350" w:history="1">
        <w:r>
          <w:rPr>
            <w:rFonts w:ascii="仿宋" w:eastAsia="仿宋" w:hAnsi="仿宋" w:cs="仿宋" w:hint="eastAsia"/>
            <w:lang w:eastAsia="zh-CN"/>
          </w:rPr>
          <w:t>(二)、培训计划的设计与实施步骤</w:t>
        </w:r>
        <w:r>
          <w:tab/>
        </w:r>
        <w:r>
          <w:fldChar w:fldCharType="begin"/>
        </w:r>
        <w:r>
          <w:instrText xml:space="preserve"> PAGEREF _Toc1350 \h </w:instrText>
        </w:r>
        <w:r>
          <w:fldChar w:fldCharType="separate"/>
        </w:r>
        <w:r>
          <w:t>49</w:t>
        </w:r>
        <w:r>
          <w:fldChar w:fldCharType="end"/>
        </w:r>
      </w:hyperlink>
    </w:p>
    <w:p>
      <w:pPr>
        <w:pStyle w:val="TOC2"/>
        <w:tabs>
          <w:tab w:val="right" w:leader="dot" w:pos="8306"/>
        </w:tabs>
      </w:pPr>
      <w:hyperlink w:anchor="_Toc2519" w:history="1">
        <w:r>
          <w:rPr>
            <w:rFonts w:ascii="仿宋" w:eastAsia="仿宋" w:hAnsi="仿宋" w:cs="仿宋" w:hint="eastAsia"/>
            <w:lang w:eastAsia="zh-CN"/>
          </w:rPr>
          <w:t>(三)、培训效果的评估与反馈机制</w:t>
        </w:r>
        <w:r>
          <w:tab/>
        </w:r>
        <w:r>
          <w:fldChar w:fldCharType="begin"/>
        </w:r>
        <w:r>
          <w:instrText xml:space="preserve"> PAGEREF _Toc2519 \h </w:instrText>
        </w:r>
        <w:r>
          <w:fldChar w:fldCharType="separate"/>
        </w:r>
        <w:r>
          <w:t>50</w:t>
        </w:r>
        <w:r>
          <w:fldChar w:fldCharType="end"/>
        </w:r>
      </w:hyperlink>
    </w:p>
    <w:p>
      <w:pPr>
        <w:pStyle w:val="TOC1"/>
        <w:tabs>
          <w:tab w:val="right" w:leader="dot" w:pos="8306"/>
        </w:tabs>
      </w:pPr>
      <w:hyperlink w:anchor="_Toc2181" w:history="1">
        <w:r>
          <w:rPr>
            <w:rFonts w:ascii="仿宋" w:eastAsia="仿宋" w:hAnsi="仿宋" w:cs="仿宋" w:hint="eastAsia"/>
            <w:lang w:eastAsia="zh-CN"/>
          </w:rPr>
          <w:t>十四、第四十三章员工参与决策与公司治理</w:t>
        </w:r>
        <w:r>
          <w:tab/>
        </w:r>
        <w:r>
          <w:fldChar w:fldCharType="begin"/>
        </w:r>
        <w:r>
          <w:instrText xml:space="preserve"> PAGEREF _Toc2181 \h </w:instrText>
        </w:r>
        <w:r>
          <w:fldChar w:fldCharType="separate"/>
        </w:r>
        <w:r>
          <w:t>51</w:t>
        </w:r>
        <w:r>
          <w:fldChar w:fldCharType="end"/>
        </w:r>
      </w:hyperlink>
    </w:p>
    <w:p>
      <w:pPr>
        <w:pStyle w:val="TOC2"/>
        <w:tabs>
          <w:tab w:val="right" w:leader="dot" w:pos="8306"/>
        </w:tabs>
      </w:pPr>
      <w:hyperlink w:anchor="_Toc394" w:history="1">
        <w:r>
          <w:rPr>
            <w:rFonts w:ascii="仿宋" w:eastAsia="仿宋" w:hAnsi="仿宋" w:cs="仿宋" w:hint="eastAsia"/>
            <w:lang w:eastAsia="zh-CN"/>
          </w:rPr>
          <w:t>(一)、员工参与决策机制</w:t>
        </w:r>
        <w:r>
          <w:tab/>
        </w:r>
        <w:r>
          <w:fldChar w:fldCharType="begin"/>
        </w:r>
        <w:r>
          <w:instrText xml:space="preserve"> PAGEREF _Toc394 \h </w:instrText>
        </w:r>
        <w:r>
          <w:fldChar w:fldCharType="separate"/>
        </w:r>
        <w:r>
          <w:t>51</w:t>
        </w:r>
        <w:r>
          <w:fldChar w:fldCharType="end"/>
        </w:r>
      </w:hyperlink>
    </w:p>
    <w:p>
      <w:pPr>
        <w:pStyle w:val="TOC2"/>
        <w:tabs>
          <w:tab w:val="right" w:leader="dot" w:pos="8306"/>
        </w:tabs>
      </w:pPr>
      <w:hyperlink w:anchor="_Toc10432" w:history="1">
        <w:r>
          <w:rPr>
            <w:rFonts w:ascii="仿宋" w:eastAsia="仿宋" w:hAnsi="仿宋" w:cs="仿宋" w:hint="eastAsia"/>
            <w:lang w:eastAsia="zh-CN"/>
          </w:rPr>
          <w:t>(二)、参与决策的渠道与机会</w:t>
        </w:r>
        <w:r>
          <w:tab/>
        </w:r>
        <w:r>
          <w:fldChar w:fldCharType="begin"/>
        </w:r>
        <w:r>
          <w:instrText xml:space="preserve"> PAGEREF _Toc10432 \h </w:instrText>
        </w:r>
        <w:r>
          <w:fldChar w:fldCharType="separate"/>
        </w:r>
        <w:r>
          <w:t>51</w:t>
        </w:r>
        <w:r>
          <w:fldChar w:fldCharType="end"/>
        </w:r>
      </w:hyperlink>
    </w:p>
    <w:p>
      <w:pPr>
        <w:pStyle w:val="TOC2"/>
        <w:tabs>
          <w:tab w:val="right" w:leader="dot" w:pos="8306"/>
        </w:tabs>
      </w:pPr>
      <w:hyperlink w:anchor="_Toc26617" w:history="1">
        <w:r>
          <w:rPr>
            <w:rFonts w:ascii="仿宋" w:eastAsia="仿宋" w:hAnsi="仿宋" w:cs="仿宋" w:hint="eastAsia"/>
            <w:lang w:eastAsia="zh-CN"/>
          </w:rPr>
          <w:t>(三)、代表员工意见的制度</w:t>
        </w:r>
        <w:r>
          <w:tab/>
        </w:r>
        <w:r>
          <w:fldChar w:fldCharType="begin"/>
        </w:r>
        <w:r>
          <w:instrText xml:space="preserve"> PAGEREF _Toc26617 \h </w:instrText>
        </w:r>
        <w:r>
          <w:fldChar w:fldCharType="separate"/>
        </w:r>
        <w:r>
          <w:t>52</w:t>
        </w:r>
        <w:r>
          <w:fldChar w:fldCharType="end"/>
        </w:r>
      </w:hyperlink>
    </w:p>
    <w:p>
      <w:pPr>
        <w:pStyle w:val="TOC2"/>
        <w:tabs>
          <w:tab w:val="right" w:leader="dot" w:pos="8306"/>
        </w:tabs>
      </w:pPr>
      <w:hyperlink w:anchor="_Toc2225" w:history="1">
        <w:r>
          <w:rPr>
            <w:rFonts w:ascii="仿宋" w:eastAsia="仿宋" w:hAnsi="仿宋" w:cs="仿宋" w:hint="eastAsia"/>
            <w:lang w:eastAsia="zh-CN"/>
          </w:rPr>
          <w:t>(四)、公司治理与透明度</w:t>
        </w:r>
        <w:r>
          <w:tab/>
        </w:r>
        <w:r>
          <w:fldChar w:fldCharType="begin"/>
        </w:r>
        <w:r>
          <w:instrText xml:space="preserve"> PAGEREF _Toc2225 \h </w:instrText>
        </w:r>
        <w:r>
          <w:fldChar w:fldCharType="separate"/>
        </w:r>
        <w:r>
          <w:t>53</w:t>
        </w:r>
        <w:r>
          <w:fldChar w:fldCharType="end"/>
        </w:r>
      </w:hyperlink>
    </w:p>
    <w:p>
      <w:pPr>
        <w:pStyle w:val="TOC2"/>
        <w:tabs>
          <w:tab w:val="right" w:leader="dot" w:pos="8306"/>
        </w:tabs>
      </w:pPr>
      <w:hyperlink w:anchor="_Toc21655" w:history="1">
        <w:r>
          <w:rPr>
            <w:rFonts w:ascii="仿宋" w:eastAsia="仿宋" w:hAnsi="仿宋" w:cs="仿宋" w:hint="eastAsia"/>
            <w:lang w:eastAsia="zh-CN"/>
          </w:rPr>
          <w:t>(五)、公司治理结构的建设</w:t>
        </w:r>
        <w:r>
          <w:tab/>
        </w:r>
        <w:r>
          <w:fldChar w:fldCharType="begin"/>
        </w:r>
        <w:r>
          <w:instrText xml:space="preserve"> PAGEREF _Toc21655 \h </w:instrText>
        </w:r>
        <w:r>
          <w:fldChar w:fldCharType="separate"/>
        </w:r>
        <w:r>
          <w:t>53</w:t>
        </w:r>
        <w:r>
          <w:fldChar w:fldCharType="end"/>
        </w:r>
      </w:hyperlink>
    </w:p>
    <w:p>
      <w:pPr>
        <w:pStyle w:val="TOC2"/>
        <w:tabs>
          <w:tab w:val="right" w:leader="dot" w:pos="8306"/>
        </w:tabs>
      </w:pPr>
      <w:hyperlink w:anchor="_Toc19241" w:history="1">
        <w:r>
          <w:rPr>
            <w:rFonts w:ascii="仿宋" w:eastAsia="仿宋" w:hAnsi="仿宋" w:cs="仿宋" w:hint="eastAsia"/>
            <w:lang w:eastAsia="zh-CN"/>
          </w:rPr>
          <w:t>(六)、公司业绩与财务信息的公开</w:t>
        </w:r>
        <w:r>
          <w:tab/>
        </w:r>
        <w:r>
          <w:fldChar w:fldCharType="begin"/>
        </w:r>
        <w:r>
          <w:instrText xml:space="preserve"> PAGEREF _Toc19241 \h </w:instrText>
        </w:r>
        <w:r>
          <w:fldChar w:fldCharType="separate"/>
        </w:r>
        <w:r>
          <w:t>54</w:t>
        </w:r>
        <w:r>
          <w:fldChar w:fldCharType="end"/>
        </w:r>
      </w:hyperlink>
    </w:p>
    <w:p>
      <w:pPr>
        <w:pStyle w:val="TOC1"/>
        <w:tabs>
          <w:tab w:val="right" w:leader="dot" w:pos="8306"/>
        </w:tabs>
      </w:pPr>
      <w:hyperlink w:anchor="_Toc27475" w:history="1">
        <w:r>
          <w:rPr>
            <w:rFonts w:ascii="仿宋" w:eastAsia="仿宋" w:hAnsi="仿宋" w:cs="仿宋" w:hint="eastAsia"/>
            <w:lang w:eastAsia="zh-CN"/>
          </w:rPr>
          <w:t>十五、员工满意度调查与提升策略</w:t>
        </w:r>
        <w:r>
          <w:tab/>
        </w:r>
        <w:r>
          <w:fldChar w:fldCharType="begin"/>
        </w:r>
        <w:r>
          <w:instrText xml:space="preserve"> PAGEREF _Toc27475 \h </w:instrText>
        </w:r>
        <w:r>
          <w:fldChar w:fldCharType="separate"/>
        </w:r>
        <w:r>
          <w:t>55</w:t>
        </w:r>
        <w:r>
          <w:fldChar w:fldCharType="end"/>
        </w:r>
      </w:hyperlink>
    </w:p>
    <w:p>
      <w:pPr>
        <w:pStyle w:val="TOC2"/>
        <w:tabs>
          <w:tab w:val="right" w:leader="dot" w:pos="8306"/>
        </w:tabs>
      </w:pPr>
      <w:hyperlink w:anchor="_Toc1827" w:history="1">
        <w:r>
          <w:rPr>
            <w:rFonts w:ascii="仿宋" w:eastAsia="仿宋" w:hAnsi="仿宋" w:cs="仿宋" w:hint="eastAsia"/>
            <w:lang w:eastAsia="zh-CN"/>
          </w:rPr>
          <w:t>(一)、满意度调查的设计与实施</w:t>
        </w:r>
        <w:r>
          <w:tab/>
        </w:r>
        <w:r>
          <w:fldChar w:fldCharType="begin"/>
        </w:r>
        <w:r>
          <w:instrText xml:space="preserve"> PAGEREF _Toc1827 \h </w:instrText>
        </w:r>
        <w:r>
          <w:fldChar w:fldCharType="separate"/>
        </w:r>
        <w:r>
          <w:t>55</w:t>
        </w:r>
        <w:r>
          <w:fldChar w:fldCharType="end"/>
        </w:r>
      </w:hyperlink>
    </w:p>
    <w:p>
      <w:pPr>
        <w:pStyle w:val="TOC2"/>
        <w:tabs>
          <w:tab w:val="right" w:leader="dot" w:pos="8306"/>
        </w:tabs>
      </w:pPr>
      <w:hyperlink w:anchor="_Toc26364" w:history="1">
        <w:r>
          <w:rPr>
            <w:rFonts w:ascii="仿宋" w:eastAsia="仿宋" w:hAnsi="仿宋" w:cs="仿宋" w:hint="eastAsia"/>
            <w:lang w:eastAsia="zh-CN"/>
          </w:rPr>
          <w:t>(二)、员工满意度的分析与解读</w:t>
        </w:r>
        <w:r>
          <w:tab/>
        </w:r>
        <w:r>
          <w:fldChar w:fldCharType="begin"/>
        </w:r>
        <w:r>
          <w:instrText xml:space="preserve"> PAGEREF _Toc26364 \h </w:instrText>
        </w:r>
        <w:r>
          <w:fldChar w:fldCharType="separate"/>
        </w:r>
        <w:r>
          <w:t>57</w:t>
        </w:r>
        <w:r>
          <w:fldChar w:fldCharType="end"/>
        </w:r>
      </w:hyperlink>
    </w:p>
    <w:p>
      <w:pPr>
        <w:pStyle w:val="TOC2"/>
        <w:tabs>
          <w:tab w:val="right" w:leader="dot" w:pos="8306"/>
        </w:tabs>
      </w:pPr>
      <w:hyperlink w:anchor="_Toc29952" w:history="1">
        <w:r>
          <w:rPr>
            <w:rFonts w:ascii="仿宋" w:eastAsia="仿宋" w:hAnsi="仿宋" w:cs="仿宋" w:hint="eastAsia"/>
            <w:lang w:eastAsia="zh-CN"/>
          </w:rPr>
          <w:t>(三)、提升员工满意度的措施与行动计划</w:t>
        </w:r>
        <w:r>
          <w:tab/>
        </w:r>
        <w:r>
          <w:fldChar w:fldCharType="begin"/>
        </w:r>
        <w:r>
          <w:instrText xml:space="preserve"> PAGEREF _Toc29952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烧结空心砖(粘土砖、页岩砖、煤矸石砖、粉煤灰砖)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1816"/>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32217"/>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8158"/>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17382"/>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585"/>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11629"/>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烧结空心砖(粘土砖、页岩砖、煤矸石砖、粉煤灰砖)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865"/>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烧结空心砖(粘土砖、页岩砖、煤矸石砖、粉煤灰砖)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840"/>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11719"/>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24904"/>
      <w:r>
        <w:rPr>
          <w:rFonts w:ascii="仿宋" w:eastAsia="仿宋" w:hAnsi="仿宋" w:cs="仿宋" w:hint="eastAsia"/>
          <w:sz w:val="28"/>
          <w:lang w:eastAsia="zh-CN"/>
        </w:rPr>
        <w:t>三、公司简介</w:t>
      </w:r>
      <w:bookmarkEnd w:id="11"/>
    </w:p>
    <w:p>
      <w:pPr>
        <w:pStyle w:val="Heading2"/>
        <w:rPr>
          <w:rFonts w:ascii="仿宋" w:eastAsia="仿宋" w:hAnsi="仿宋" w:cs="仿宋" w:hint="eastAsia"/>
          <w:lang w:eastAsia="zh-CN"/>
        </w:rPr>
      </w:pPr>
      <w:bookmarkStart w:id="12" w:name="_Toc3643"/>
      <w:r>
        <w:rPr>
          <w:rFonts w:ascii="仿宋" w:eastAsia="仿宋" w:hAnsi="仿宋" w:cs="仿宋" w:hint="eastAsia"/>
          <w:lang w:eastAsia="zh-CN"/>
        </w:rPr>
        <w:t>(一)、公司基本信息</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3" w:name="_Toc20395"/>
      <w:r>
        <w:rPr>
          <w:rFonts w:ascii="仿宋" w:eastAsia="仿宋" w:hAnsi="仿宋" w:cs="仿宋" w:hint="eastAsia"/>
          <w:sz w:val="28"/>
          <w:lang w:eastAsia="zh-CN"/>
        </w:rPr>
        <w:t>(二)、公司简介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烧结空心砖(粘土砖、页岩砖、煤矸石砖、粉煤灰砖)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项目公司是一家致力于</w:t>
      </w:r>
      <w:r>
        <w:rPr>
          <w:rFonts w:ascii="仿宋" w:eastAsia="仿宋" w:hAnsi="仿宋" w:cs="仿宋" w:hint="eastAsia"/>
          <w:sz w:val="28"/>
          <w:lang w:eastAsia="zh-CN"/>
        </w:rPr>
        <w:t xml:space="preserve"> 烧结空心砖(粘土砖、页岩砖、煤矸石砖、粉煤灰砖)烧结空心砖(粘土砖、页岩砖、煤矸石砖、粉煤灰砖)行业的公司，成立于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烧结空心砖(粘土砖、页岩砖、煤矸石砖、粉煤灰砖) 项目公司的使命是 [公司使命]，旨在通过 [关键业务活动] 提升烧结空心砖(粘土砖、页岩砖、煤矸石砖、粉煤灰砖)烧结空心砖(粘土砖、页岩砖、煤矸石砖、粉煤灰砖)行业的整体水平。公司的愿景是 [公司愿景]，立志成为 烧结空心砖(粘土砖、页岩砖、煤矸石砖、粉煤灰砖) 中的领军企业，引领烧结空心砖(粘土砖、页岩砖、煤矸石砖、粉煤灰砖)行业未来的发展方向。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烧结空心砖(粘土砖、页岩砖、煤矸石砖、粉煤灰砖)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4" w:name="_Toc5745"/>
      <w:r>
        <w:rPr>
          <w:rFonts w:ascii="仿宋" w:eastAsia="仿宋" w:hAnsi="仿宋" w:cs="仿宋" w:hint="eastAsia"/>
          <w:sz w:val="28"/>
          <w:lang w:eastAsia="zh-CN"/>
        </w:rPr>
        <w:t>(三)、核心人员介绍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在市场拓展和品牌建设方面具有丰富经验，致力于提升公司在烧结空心砖(粘土砖、页岩砖、煤矸石砖、粉煤灰砖)行业中的市场份额。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XXXX年XX月至今，加入公司担任技术总监，负责产品研发和创新项目管理。具备深厚的技术功底和团队领导能力，对烧结空心砖(粘土砖、页岩砖、煤矸石砖、粉煤灰砖)行业技术发展有深刻见解。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5" w:name="_Toc13577"/>
      <w:r>
        <w:rPr>
          <w:rFonts w:ascii="仿宋" w:eastAsia="仿宋" w:hAnsi="仿宋" w:cs="仿宋" w:hint="eastAsia"/>
          <w:sz w:val="28"/>
          <w:lang w:eastAsia="zh-CN"/>
        </w:rPr>
        <w:t>四、第七章员工培训与发展</w:t>
      </w:r>
      <w:bookmarkEnd w:id="15"/>
    </w:p>
    <w:p>
      <w:pPr>
        <w:pStyle w:val="Heading2"/>
        <w:rPr>
          <w:rFonts w:ascii="仿宋" w:eastAsia="仿宋" w:hAnsi="仿宋" w:cs="仿宋" w:hint="eastAsia"/>
          <w:lang w:eastAsia="zh-CN"/>
        </w:rPr>
      </w:pPr>
      <w:bookmarkStart w:id="16" w:name="_Toc1012"/>
      <w:r>
        <w:rPr>
          <w:rFonts w:ascii="仿宋" w:eastAsia="仿宋" w:hAnsi="仿宋" w:cs="仿宋" w:hint="eastAsia"/>
          <w:lang w:eastAsia="zh-CN"/>
        </w:rPr>
        <w:t>(一)、培训需求分析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7" w:name="_Toc19664"/>
      <w:r>
        <w:rPr>
          <w:rFonts w:ascii="仿宋" w:eastAsia="仿宋" w:hAnsi="仿宋" w:cs="仿宋" w:hint="eastAsia"/>
          <w:sz w:val="28"/>
          <w:lang w:eastAsia="zh-CN"/>
        </w:rPr>
        <w:t>(二)、培训计划制定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8" w:name="_Toc28763"/>
      <w:r>
        <w:rPr>
          <w:rFonts w:ascii="仿宋" w:eastAsia="仿宋" w:hAnsi="仿宋" w:cs="仿宋" w:hint="eastAsia"/>
          <w:sz w:val="28"/>
          <w:lang w:eastAsia="zh-CN"/>
        </w:rPr>
        <w:t>(三)、培训实施与评估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9" w:name="_Toc28300"/>
      <w:r>
        <w:rPr>
          <w:rFonts w:ascii="仿宋" w:eastAsia="仿宋" w:hAnsi="仿宋" w:cs="仿宋" w:hint="eastAsia"/>
          <w:sz w:val="28"/>
          <w:lang w:eastAsia="zh-CN"/>
        </w:rPr>
        <w:t>(四)、持续学习与专业发展支持</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提供灵活的在线学习平台，使员工可以随时随地获取各类学习资源。这包括烧结空心砖(粘土砖、页岩砖、煤矸石砖、粉煤灰砖)行业报告、网络课程、研讨会等，帮助员工自主学习和获取最新的专业知识。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鼓励并支持员工获取相关的专业认证，例如烧结空心砖(粘土砖、页岩砖、煤矸石砖、粉煤灰砖)行业认可的证书或资格。组织可以提供学习资源、报名费用支持等，以激发员工的学习积极性。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烧结空心砖(粘土砖、页岩砖、煤矸石砖、粉煤灰砖)行业专家或内外部讲师进行知识分享和培训。这有助于员工深入了解烧结空心砖(粘土砖、页岩砖、煤矸石砖、粉煤灰砖)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建立知识管理平台，鼓励员工分享经验、烧结空心砖(粘土砖、页岩砖、煤矸石砖、粉煤灰砖)行业见解和学习心得。这有助于构建学习型组织，促使知识在团队内部流动和共享。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0" w:name="_Toc20462"/>
      <w:r>
        <w:rPr>
          <w:rFonts w:ascii="仿宋" w:eastAsia="仿宋" w:hAnsi="仿宋" w:cs="仿宋" w:hint="eastAsia"/>
          <w:sz w:val="28"/>
          <w:lang w:eastAsia="zh-CN"/>
        </w:rPr>
        <w:t>五、烧结空心砖(粘土砖、页岩砖、煤矸石砖、粉煤灰砖)行业背景分析</w:t>
      </w:r>
      <w:bookmarkEnd w:id="20"/>
    </w:p>
    <w:p>
      <w:pPr>
        <w:pStyle w:val="Heading2"/>
        <w:rPr>
          <w:rFonts w:ascii="仿宋" w:eastAsia="仿宋" w:hAnsi="仿宋" w:cs="仿宋" w:hint="eastAsia"/>
          <w:lang w:eastAsia="zh-CN"/>
        </w:rPr>
      </w:pPr>
      <w:bookmarkStart w:id="21" w:name="_Toc5267"/>
      <w:r>
        <w:rPr>
          <w:rFonts w:ascii="仿宋" w:eastAsia="仿宋" w:hAnsi="仿宋" w:cs="仿宋" w:hint="eastAsia"/>
          <w:lang w:eastAsia="zh-CN"/>
        </w:rPr>
        <w:t>(一)、烧结空心砖(粘土砖、页岩砖、煤矸石砖、粉煤灰砖)行业背景分析</w:t>
      </w:r>
      <w:bookmarkEnd w:id="21"/>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烧结空心砖(粘土砖、页岩砖、煤矸石砖、粉煤灰砖)行业是一个充满活力且不断演变的领域。近年来，该烧结空心砖(粘土砖、页岩砖、煤矸石砖、粉煤灰砖)行业经历了显著的增长，这一增长主要受益于多方面的推动因素，尤其是技术创新和市场需求的持续增加。技术创新为烧结空心砖(粘土砖、页岩砖、煤矸石砖、粉煤灰砖)行业带来了新的商业模式和解决方案，而不断增长的市场需求则推动了烧结空心砖(粘土砖、页岩砖、煤矸石砖、粉煤灰砖)行业的整体扩张。这使得</w:t>
      </w:r>
      <w:r>
        <w:rPr>
          <w:rFonts w:ascii="仿宋" w:eastAsia="仿宋" w:hAnsi="仿宋" w:cs="仿宋" w:hint="eastAsia"/>
          <w:sz w:val="28"/>
          <w:lang w:eastAsia="zh-CN"/>
        </w:rPr>
        <w:t xml:space="preserve"> 烧结空心砖(粘土砖、页岩砖、煤矸石砖、粉煤灰砖)行业成为当前经济中备受关注的一个重要组成部分。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空心砖(粘土砖、页岩砖、煤矸石砖、粉煤灰砖)行业的市场规模持续扩大，预计未来几年仍将保持良好的增长势头。这一趋势得益于多种因素，其中包括数字化转型、全球化市场和消费者需求的多样化。数字化转型推动了烧结空心砖(粘土砖、页岩砖、煤矸石砖、粉煤灰砖)行业内各个环节的效率提升，全球化市场为企业提供了更广阔的业务机会，而消费者需求的多样化则促使烧结空心砖(粘土砖、页岩砖、煤矸石砖、粉煤灰砖)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烧结空心砖(粘土砖、页岩砖、煤矸石砖、粉煤灰砖)行业呈现激烈的竞争格局，主要由一些领先的企业主导市场。这些企业通常在创新、市场份额和客户忠诚度等方面表现出强大的竞争力。随着烧结空心砖(粘土砖、页岩砖、煤矸石砖、粉煤灰砖)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空心砖(粘土砖、页岩砖、煤矸石砖、粉煤灰砖)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烧结空心砖(粘土砖、页岩砖、煤矸石砖、粉煤灰砖)行业发展的关键因素之一。新技术的引入，如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烧结空心砖(粘土砖、页岩砖、煤矸石砖、粉煤灰砖)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展望未来，烧结空心砖(粘土砖、页岩砖、煤矸石砖、粉煤灰砖)行业仍然充满挑战和机遇。随着全球经济的发展和技术的不断进步，烧结空心砖(粘土砖、页岩砖、煤矸石砖、粉煤灰砖)行业参与者将面临着更多的发展机会。然而，需要时刻保持敏锐的市场洞察，灵活调整战略，以适应变化中的环境。对于 烧结空心砖(粘土砖、页岩砖、煤矸石砖、粉煤灰砖)行业的未来，持乐观但谨慎的态度，不断优化业务模式和提升核心竞争力是至关重要的。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2" w:name="_Toc22072"/>
      <w:r>
        <w:rPr>
          <w:rFonts w:ascii="仿宋" w:eastAsia="仿宋" w:hAnsi="仿宋" w:cs="仿宋" w:hint="eastAsia"/>
          <w:sz w:val="28"/>
          <w:lang w:eastAsia="zh-CN"/>
        </w:rPr>
        <w:t>六、第三十八章员工社交媒体管理</w:t>
      </w:r>
      <w:bookmarkEnd w:id="22"/>
    </w:p>
    <w:p>
      <w:pPr>
        <w:pStyle w:val="Heading2"/>
        <w:rPr>
          <w:rFonts w:ascii="仿宋" w:eastAsia="仿宋" w:hAnsi="仿宋" w:cs="仿宋" w:hint="eastAsia"/>
          <w:lang w:eastAsia="zh-CN"/>
        </w:rPr>
      </w:pPr>
      <w:bookmarkStart w:id="23" w:name="_Toc17598"/>
      <w:r>
        <w:rPr>
          <w:rFonts w:ascii="仿宋" w:eastAsia="仿宋" w:hAnsi="仿宋" w:cs="仿宋" w:hint="eastAsia"/>
          <w:lang w:eastAsia="zh-CN"/>
        </w:rPr>
        <w:t>(一)、员工社交媒体政策</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遵守法规：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https://d.book118.com/105243221034011101</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C26AD0"/>
    <w:rsid w:val="0DC26A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105243221034011101"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2023-12-18T15:45:00Z</dcterms:created>
  <dcterms:modified xsi:type="dcterms:W3CDTF">2023-12-18T15:45:22Z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35DE35DC456C4692AA5F04DB50BCD677_11</vt:lpwstr>
  </property>
  <property fmtid="{D5CDD505-2E9C-101B-9397-08002B2CF9AE}" pid="3" name="KSOProductBuildVer">
    <vt:lpwstr>2052-12.1.0.16120</vt:lpwstr>
  </property>
</Properties>
</file>