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血液学分析仪器相关行业公司成立方案及可行性研究报告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二、血液学分析仪器筹建公司基本信息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(一)、血液学分析仪器项目选址原则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eastAsia="zh-CN"/>
          </w:rPr>
          <w:t>(五)、血液学分析仪器项目选址综合评价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_Toc11431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_Toc27868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_Toc29768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_Toc11173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_Toc6009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(五)、血液学分析仪器项目总投资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八、血液学分析仪器项目经济效益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_Toc24456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eastAsia="zh-CN"/>
          </w:rPr>
          <w:t>(三)、血液学分析仪器项目盈利能力分析</w:t>
        </w:r>
        <w:r>
          <w:tab/>
        </w:r>
        <w:r>
          <w:fldChar w:fldCharType="begin"/>
        </w:r>
        <w:r>
          <w:instrText xml:space="preserve"> PAGEREF _Toc16336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_Toc4363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_Toc17709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(一)、社会责任血液学分析仪器项目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十二、血液学分析仪器项目总结分析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_Toc14786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6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7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7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https://d.book118.com/106003222241010041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003222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2024-01-17T20:22:00Z</dcterms:created>
  <dcterms:modified xsi:type="dcterms:W3CDTF">2024-01-17T20:22:48Z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EE2AAB83F1AD4F4990260002355A148B_11</vt:lpwstr>
  </property>
  <property fmtid="{D5CDD505-2E9C-101B-9397-08002B2CF9AE}" pid="3" name="KSOProductBuildVer">
    <vt:lpwstr>2052-12.1.0.16120</vt:lpwstr>
  </property>
</Properties>
</file>