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二次加工材，相关板材相关行业公司成立报告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0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_Toc18201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97" w:history="1">
        <w:r>
          <w:rPr>
            <w:rFonts w:ascii="仿宋" w:eastAsia="仿宋" w:hAnsi="仿宋" w:cs="仿宋" w:hint="eastAsia"/>
            <w:lang w:eastAsia="zh-CN"/>
          </w:rPr>
          <w:t>一、二次加工材，相关板材项目概况</w:t>
        </w:r>
        <w:r>
          <w:tab/>
        </w:r>
        <w:r>
          <w:fldChar w:fldCharType="begin"/>
        </w:r>
        <w:r>
          <w:instrText xml:space="preserve"> PAGEREF _Toc11097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_Toc9572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9" w:history="1">
        <w:r>
          <w:rPr>
            <w:rFonts w:ascii="仿宋" w:eastAsia="仿宋" w:hAnsi="仿宋" w:cs="仿宋" w:hint="eastAsia"/>
            <w:lang w:eastAsia="zh-CN"/>
          </w:rPr>
          <w:t>(二)、二次加工材，相关板材项目提出的理由</w:t>
        </w:r>
        <w:r>
          <w:tab/>
        </w:r>
        <w:r>
          <w:fldChar w:fldCharType="begin"/>
        </w:r>
        <w:r>
          <w:instrText xml:space="preserve"> PAGEREF _Toc17359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" w:history="1">
        <w:r>
          <w:rPr>
            <w:rFonts w:ascii="仿宋" w:eastAsia="仿宋" w:hAnsi="仿宋" w:cs="仿宋" w:hint="eastAsia"/>
            <w:lang w:eastAsia="zh-CN"/>
          </w:rPr>
          <w:t>(三)、二次加工材，相关板材项目选址</w:t>
        </w:r>
        <w:r>
          <w:tab/>
        </w:r>
        <w:r>
          <w:fldChar w:fldCharType="begin"/>
        </w:r>
        <w:r>
          <w:instrText xml:space="preserve"> PAGEREF _Toc24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_Toc3351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_Toc18236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6" w:history="1">
        <w:r>
          <w:rPr>
            <w:rFonts w:ascii="仿宋" w:eastAsia="仿宋" w:hAnsi="仿宋" w:cs="仿宋" w:hint="eastAsia"/>
            <w:lang w:eastAsia="zh-CN"/>
          </w:rPr>
          <w:t>(六)、二次加工材，相关板材项目投资</w:t>
        </w:r>
        <w:r>
          <w:tab/>
        </w:r>
        <w:r>
          <w:fldChar w:fldCharType="begin"/>
        </w:r>
        <w:r>
          <w:instrText xml:space="preserve"> PAGEREF _Toc16726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4" w:history="1">
        <w:r>
          <w:rPr>
            <w:rFonts w:ascii="仿宋" w:eastAsia="仿宋" w:hAnsi="仿宋" w:cs="仿宋" w:hint="eastAsia"/>
            <w:lang w:eastAsia="zh-CN"/>
          </w:rPr>
          <w:t>(七)、二次加工材，相关板材项目进度规划</w:t>
        </w:r>
        <w:r>
          <w:tab/>
        </w:r>
        <w:r>
          <w:fldChar w:fldCharType="begin"/>
        </w:r>
        <w:r>
          <w:instrText xml:space="preserve"> PAGEREF _Toc13724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_Toc23677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6" w:history="1">
        <w:r>
          <w:rPr>
            <w:rFonts w:ascii="仿宋" w:eastAsia="仿宋" w:hAnsi="仿宋" w:cs="仿宋" w:hint="eastAsia"/>
            <w:lang w:eastAsia="zh-CN"/>
          </w:rPr>
          <w:t>(九)、二次加工材，相关板材项目综合评价</w:t>
        </w:r>
        <w:r>
          <w:tab/>
        </w:r>
        <w:r>
          <w:fldChar w:fldCharType="begin"/>
        </w:r>
        <w:r>
          <w:instrText xml:space="preserve"> PAGEREF _Toc6766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_Toc20428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_Toc3408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_Toc31326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_Toc22318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_Toc5177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_Toc23623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_Toc9121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_Toc18485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_Toc7938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_Toc28591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5" w:history="1">
        <w:r>
          <w:rPr>
            <w:rFonts w:ascii="仿宋" w:eastAsia="仿宋" w:hAnsi="仿宋" w:cs="仿宋" w:hint="eastAsia"/>
            <w:lang w:eastAsia="zh-CN"/>
          </w:rPr>
          <w:t>(七)、二次加工材，相关板材项目建设必要性分析</w:t>
        </w:r>
        <w:r>
          <w:tab/>
        </w:r>
        <w:r>
          <w:fldChar w:fldCharType="begin"/>
        </w:r>
        <w:r>
          <w:instrText xml:space="preserve"> PAGEREF _Toc22105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_Toc26016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_Toc23993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(一)、二次加工材，相关板材项目选址原则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_Toc30005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_Toc14523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7" w:history="1">
        <w:r>
          <w:rPr>
            <w:rFonts w:ascii="仿宋" w:eastAsia="仿宋" w:hAnsi="仿宋" w:cs="仿宋" w:hint="eastAsia"/>
            <w:lang w:eastAsia="zh-CN"/>
          </w:rPr>
          <w:t>(五)、二次加工材，相关板材项目选址综合评价</w:t>
        </w:r>
        <w:r>
          <w:tab/>
        </w:r>
        <w:r>
          <w:fldChar w:fldCharType="begin"/>
        </w:r>
        <w:r>
          <w:instrText xml:space="preserve"> PAGEREF _Toc10997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_Toc15567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_Toc24361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5" w:history="1">
        <w:r>
          <w:rPr>
            <w:rFonts w:ascii="仿宋" w:eastAsia="仿宋" w:hAnsi="仿宋" w:cs="仿宋" w:hint="eastAsia"/>
            <w:lang w:eastAsia="zh-CN"/>
          </w:rPr>
          <w:t>(五)、二次加工材，相关板材项目总投资</w:t>
        </w:r>
        <w:r>
          <w:tab/>
        </w:r>
        <w:r>
          <w:fldChar w:fldCharType="begin"/>
        </w:r>
        <w:r>
          <w:instrText xml:space="preserve"> PAGEREF _Toc31425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_Toc15247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_Toc21136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_Toc15949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_Toc16450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_Toc4535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_Toc11727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_Toc9424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_Toc10209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_Toc18596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_Toc16361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_Toc13084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_Toc29070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_Toc4052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0" w:history="1">
        <w:r>
          <w:rPr>
            <w:rFonts w:ascii="仿宋" w:eastAsia="仿宋" w:hAnsi="仿宋" w:cs="仿宋" w:hint="eastAsia"/>
            <w:lang w:eastAsia="zh-CN"/>
          </w:rPr>
          <w:t>九、二次加工材，相关板材项目经济效益</w:t>
        </w:r>
        <w:r>
          <w:tab/>
        </w:r>
        <w:r>
          <w:fldChar w:fldCharType="begin"/>
        </w:r>
        <w:r>
          <w:instrText xml:space="preserve"> PAGEREF _Toc26960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_Toc21161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_Toc30626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8" w:history="1">
        <w:r>
          <w:rPr>
            <w:rFonts w:ascii="仿宋" w:eastAsia="仿宋" w:hAnsi="仿宋" w:cs="仿宋" w:hint="eastAsia"/>
            <w:lang w:eastAsia="zh-CN"/>
          </w:rPr>
          <w:t>(三)、二次加工材，相关板材项目盈利能力分析</w:t>
        </w:r>
        <w:r>
          <w:tab/>
        </w:r>
        <w:r>
          <w:fldChar w:fldCharType="begin"/>
        </w:r>
        <w:r>
          <w:instrText xml:space="preserve"> PAGEREF _Toc24148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_Toc32600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_Toc23343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_Toc4210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_Toc17923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_Toc22073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_Toc16394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_Toc27563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_Toc17462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_Toc9275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_Toc29578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_Toc30672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_Toc13323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6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_Toc16226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_Toc19379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_Toc4208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_Toc26393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0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097"/>
      <w:r>
        <w:rPr>
          <w:rFonts w:ascii="仿宋" w:eastAsia="仿宋" w:hAnsi="仿宋" w:cs="仿宋" w:hint="eastAsia"/>
          <w:sz w:val="28"/>
          <w:lang w:eastAsia="zh-CN"/>
        </w:rPr>
        <w:t>一、二次加工材，相关板材项目概况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7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359"/>
      <w:r>
        <w:rPr>
          <w:rFonts w:ascii="仿宋" w:eastAsia="仿宋" w:hAnsi="仿宋" w:cs="仿宋" w:hint="eastAsia"/>
          <w:sz w:val="28"/>
          <w:lang w:eastAsia="zh-CN"/>
        </w:rPr>
        <w:t>(二)、二次加工材，相关板材项目提出的理由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二次加工材，相关板材项目提出的理由可能包括以下几个方面：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二次加工材，相关板材的需求也在不断增加。市场上对于高品质、符合个性化需求的二次加工材，相关板材需求量大，因此二次加工材，相关板材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利润空间：二次加工材，相关板材行业的利润空间较大，通过生产和销售高品质的二次加工材，相关板材，可以获得可观的利润。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二次加工材，相关板材行业是一个不断创新和发展的行业，随着人们生活方式和审美观念的改变，对二次加工材，相关板材的需求也在不断变化。因此，在二次加工材，相关板材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二次加工材，相关板材行业也开始注重环保和可持续性发展。通过使用环保材料和生产工艺，二次加工材，相关板材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个人兴趣和激情：一些人可能对二次加工材，相关板材设计和制造有着浓厚的兴趣和激情，他们希望通过自己的努力和创新，提供更好的二次加工材，相关板材产品和服务，满足消费者的需求。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二次加工材，相关板材项目的理由可能因具体情况而异，不同的二次加工材，相关板材项目可能有不同的原因和背景。因此，在选择二次加工材，相关板材项目时，我们需要根据自己的实际情况和需求来综合考虑各种因素，并选择最适合自己的二次加工材，相关板材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"/>
      <w:r>
        <w:rPr>
          <w:rFonts w:ascii="仿宋" w:eastAsia="仿宋" w:hAnsi="仿宋" w:cs="仿宋" w:hint="eastAsia"/>
          <w:sz w:val="28"/>
          <w:lang w:eastAsia="zh-CN"/>
        </w:rPr>
        <w:t>(三)、二次加工材，相关板材项目选址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该二次加工材，相关板材项目计划选址于xx园区，占地面积约XXX亩。所选地理位置得天独厚，交通便捷，同时享有完善的电力、供水、排水、通讯等公用设施，非常适合本二次加工材，相关板材项目的建设需求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https://d.book118.com/106141221105010051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6141221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2024-02-04T18:24:00Z</dcterms:created>
  <dcterms:modified xsi:type="dcterms:W3CDTF">2024-02-04T18:25:04Z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18CDC923C2E44FA2952FD0FBB6BACE61_11</vt:lpwstr>
  </property>
  <property fmtid="{D5CDD505-2E9C-101B-9397-08002B2CF9AE}" pid="3" name="KSOProductBuildVer">
    <vt:lpwstr>2052-12.1.0.16250</vt:lpwstr>
  </property>
</Properties>
</file>