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交流鼓风机项目建设总纲及方案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0857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_Toc20857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444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_Toc17444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60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_Toc11360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27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_Toc20327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25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_Toc15825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53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_Toc27653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35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_Toc13635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916" w:history="1">
        <w:r>
          <w:rPr>
            <w:rFonts w:ascii="仿宋" w:eastAsia="仿宋" w:hAnsi="仿宋" w:cs="仿宋" w:hint="eastAsia"/>
            <w:lang w:eastAsia="zh-CN"/>
          </w:rPr>
          <w:t>二、经济影响分析</w:t>
        </w:r>
        <w:r>
          <w:tab/>
        </w:r>
        <w:r>
          <w:fldChar w:fldCharType="begin"/>
        </w:r>
        <w:r>
          <w:instrText xml:space="preserve"> PAGEREF _Toc23916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98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_Toc6898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78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_Toc15178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62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_Toc7862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17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_Toc31117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808" w:history="1">
        <w:r>
          <w:rPr>
            <w:rFonts w:ascii="仿宋" w:eastAsia="仿宋" w:hAnsi="仿宋" w:cs="仿宋" w:hint="eastAsia"/>
            <w:lang w:eastAsia="zh-CN"/>
          </w:rPr>
          <w:t>三、社会影响分析</w:t>
        </w:r>
        <w:r>
          <w:tab/>
        </w:r>
        <w:r>
          <w:fldChar w:fldCharType="begin"/>
        </w:r>
        <w:r>
          <w:instrText xml:space="preserve"> PAGEREF _Toc8808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95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_Toc24995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9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_Toc1209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32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_Toc3732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984" w:history="1">
        <w:r>
          <w:rPr>
            <w:rFonts w:ascii="仿宋" w:eastAsia="仿宋" w:hAnsi="仿宋" w:cs="仿宋" w:hint="eastAsia"/>
            <w:lang w:eastAsia="zh-CN"/>
          </w:rPr>
          <w:t>四、建设风险评估分析</w:t>
        </w:r>
        <w:r>
          <w:tab/>
        </w:r>
        <w:r>
          <w:fldChar w:fldCharType="begin"/>
        </w:r>
        <w:r>
          <w:instrText xml:space="preserve"> PAGEREF _Toc5984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61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_Toc19161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11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_Toc17411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60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_Toc26160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07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_Toc15707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8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_Toc2738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02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_Toc18002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12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_Toc5112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26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_Toc10026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06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_Toc16406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79" w:history="1">
        <w:r>
          <w:rPr>
            <w:rFonts w:ascii="仿宋" w:eastAsia="仿宋" w:hAnsi="仿宋" w:cs="仿宋" w:hint="eastAsia"/>
            <w:lang w:eastAsia="zh-CN"/>
          </w:rPr>
          <w:t>五、财务管理与成本控制</w:t>
        </w:r>
        <w:r>
          <w:tab/>
        </w:r>
        <w:r>
          <w:fldChar w:fldCharType="begin"/>
        </w:r>
        <w:r>
          <w:instrText xml:space="preserve"> PAGEREF _Toc26879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25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_Toc4525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06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_Toc29206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67" w:history="1">
        <w:r>
          <w:rPr>
            <w:rFonts w:ascii="仿宋" w:eastAsia="仿宋" w:hAnsi="仿宋" w:cs="仿宋" w:hint="eastAsia"/>
            <w:lang w:eastAsia="zh-CN"/>
          </w:rPr>
          <w:t>六、发展规划、产业政策和行业准入分析</w:t>
        </w:r>
        <w:r>
          <w:tab/>
        </w:r>
        <w:r>
          <w:fldChar w:fldCharType="begin"/>
        </w:r>
        <w:r>
          <w:instrText xml:space="preserve"> PAGEREF _Toc13167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57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_Toc12757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63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_Toc28863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35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_Toc16735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98" w:history="1">
        <w:r>
          <w:rPr>
            <w:rFonts w:ascii="仿宋" w:eastAsia="仿宋" w:hAnsi="仿宋" w:cs="仿宋" w:hint="eastAsia"/>
            <w:lang w:eastAsia="zh-CN"/>
          </w:rPr>
          <w:t>七、经济效益与社会效益优化</w:t>
        </w:r>
        <w:r>
          <w:tab/>
        </w:r>
        <w:r>
          <w:fldChar w:fldCharType="begin"/>
        </w:r>
        <w:r>
          <w:instrText xml:space="preserve"> PAGEREF _Toc13398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55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_Toc17955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83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_Toc17683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560" w:history="1">
        <w:r>
          <w:rPr>
            <w:rFonts w:ascii="仿宋" w:eastAsia="仿宋" w:hAnsi="仿宋" w:cs="仿宋" w:hint="eastAsia"/>
            <w:lang w:eastAsia="zh-CN"/>
          </w:rPr>
          <w:t>八、安全与应急管理</w:t>
        </w:r>
        <w:r>
          <w:tab/>
        </w:r>
        <w:r>
          <w:fldChar w:fldCharType="begin"/>
        </w:r>
        <w:r>
          <w:instrText xml:space="preserve"> PAGEREF _Toc3560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39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_Toc31339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44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_Toc22544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24" w:history="1">
        <w:r>
          <w:rPr>
            <w:rFonts w:ascii="仿宋" w:eastAsia="仿宋" w:hAnsi="仿宋" w:cs="仿宋" w:hint="eastAsia"/>
            <w:lang w:eastAsia="zh-CN"/>
          </w:rPr>
          <w:t>九、环境保护与治理方案</w:t>
        </w:r>
        <w:r>
          <w:tab/>
        </w:r>
        <w:r>
          <w:fldChar w:fldCharType="begin"/>
        </w:r>
        <w:r>
          <w:instrText xml:space="preserve"> PAGEREF _Toc11524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28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_Toc7728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460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_Toc3460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03" w:history="1">
        <w:r>
          <w:rPr>
            <w:rFonts w:ascii="仿宋" w:eastAsia="仿宋" w:hAnsi="仿宋" w:cs="仿宋" w:hint="eastAsia"/>
            <w:lang w:eastAsia="zh-CN"/>
          </w:rPr>
          <w:t>十、项目进度计划</w:t>
        </w:r>
        <w:r>
          <w:tab/>
        </w:r>
        <w:r>
          <w:fldChar w:fldCharType="begin"/>
        </w:r>
        <w:r>
          <w:instrText xml:space="preserve"> PAGEREF _Toc32303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24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_Toc6824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80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_Toc14980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87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_Toc30987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79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_Toc10579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80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_Toc16980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43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_Toc29043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29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_Toc20129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429" w:history="1">
        <w:r>
          <w:rPr>
            <w:rFonts w:ascii="仿宋" w:eastAsia="仿宋" w:hAnsi="仿宋" w:cs="仿宋" w:hint="eastAsia"/>
            <w:lang w:eastAsia="zh-CN"/>
          </w:rPr>
          <w:t>十一、技术创新与产业升级</w:t>
        </w:r>
        <w:r>
          <w:tab/>
        </w:r>
        <w:r>
          <w:fldChar w:fldCharType="begin"/>
        </w:r>
        <w:r>
          <w:instrText xml:space="preserve"> PAGEREF _Toc11429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90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_Toc21090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_Toc131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367" w:history="1">
        <w:r>
          <w:rPr>
            <w:rFonts w:ascii="仿宋" w:eastAsia="仿宋" w:hAnsi="仿宋" w:cs="仿宋" w:hint="eastAsia"/>
            <w:lang w:eastAsia="zh-CN"/>
          </w:rPr>
          <w:t>十二、客户关系管理与市场拓展</w:t>
        </w:r>
        <w:r>
          <w:tab/>
        </w:r>
        <w:r>
          <w:fldChar w:fldCharType="begin"/>
        </w:r>
        <w:r>
          <w:instrText xml:space="preserve"> PAGEREF _Toc15367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9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_Toc3059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77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_Toc22577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02" w:history="1">
        <w:r>
          <w:rPr>
            <w:rFonts w:ascii="仿宋" w:eastAsia="仿宋" w:hAnsi="仿宋" w:cs="仿宋" w:hint="eastAsia"/>
            <w:lang w:eastAsia="zh-CN"/>
          </w:rPr>
          <w:t>十三、成果转化与推广应用</w:t>
        </w:r>
        <w:r>
          <w:tab/>
        </w:r>
        <w:r>
          <w:fldChar w:fldCharType="begin"/>
        </w:r>
        <w:r>
          <w:instrText xml:space="preserve"> PAGEREF _Toc13602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99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_Toc14399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9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_Toc1099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318" w:history="1">
        <w:r>
          <w:rPr>
            <w:rFonts w:ascii="仿宋" w:eastAsia="仿宋" w:hAnsi="仿宋" w:cs="仿宋" w:hint="eastAsia"/>
            <w:lang w:eastAsia="zh-CN"/>
          </w:rPr>
          <w:t>十四、企业合规与伦理</w:t>
        </w:r>
        <w:r>
          <w:tab/>
        </w:r>
        <w:r>
          <w:fldChar w:fldCharType="begin"/>
        </w:r>
        <w:r>
          <w:instrText xml:space="preserve"> PAGEREF _Toc30318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07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_Toc23007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4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_Toc3054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3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_Toc713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26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_Toc20626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6" w:history="1">
        <w:r>
          <w:rPr>
            <w:rFonts w:ascii="仿宋" w:eastAsia="仿宋" w:hAnsi="仿宋" w:cs="仿宋" w:hint="eastAsia"/>
            <w:lang w:eastAsia="zh-CN"/>
          </w:rPr>
          <w:t>十五、创新驱动与持续发展</w:t>
        </w:r>
        <w:r>
          <w:tab/>
        </w:r>
        <w:r>
          <w:fldChar w:fldCharType="begin"/>
        </w:r>
        <w:r>
          <w:instrText xml:space="preserve"> PAGEREF _Toc986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97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_Toc14597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73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_Toc32173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396" w:history="1">
        <w:r>
          <w:rPr>
            <w:rFonts w:ascii="仿宋" w:eastAsia="仿宋" w:hAnsi="仿宋" w:cs="仿宋" w:hint="eastAsia"/>
            <w:lang w:eastAsia="zh-CN"/>
          </w:rPr>
          <w:t>十六、法律法规与政策遵循</w:t>
        </w:r>
        <w:r>
          <w:tab/>
        </w:r>
        <w:r>
          <w:fldChar w:fldCharType="begin"/>
        </w:r>
        <w:r>
          <w:instrText xml:space="preserve"> PAGEREF _Toc20396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25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_Toc21625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0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_Toc1440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20" w:history="1">
        <w:r>
          <w:rPr>
            <w:rFonts w:ascii="仿宋" w:eastAsia="仿宋" w:hAnsi="仿宋" w:cs="仿宋" w:hint="eastAsia"/>
            <w:lang w:eastAsia="zh-CN"/>
          </w:rPr>
          <w:t>十七、项目施工方案</w:t>
        </w:r>
        <w:r>
          <w:tab/>
        </w:r>
        <w:r>
          <w:fldChar w:fldCharType="begin"/>
        </w:r>
        <w:r>
          <w:instrText xml:space="preserve"> PAGEREF _Toc25520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13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_Toc9313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1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_Toc861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23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_Toc11823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29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_Toc5529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01" w:history="1">
        <w:r>
          <w:rPr>
            <w:rFonts w:ascii="仿宋" w:eastAsia="仿宋" w:hAnsi="仿宋" w:cs="仿宋" w:hint="eastAsia"/>
            <w:lang w:eastAsia="zh-CN"/>
          </w:rPr>
          <w:t>十八、产业协同与集群发展</w:t>
        </w:r>
        <w:r>
          <w:tab/>
        </w:r>
        <w:r>
          <w:fldChar w:fldCharType="begin"/>
        </w:r>
        <w:r>
          <w:instrText xml:space="preserve"> PAGEREF _Toc10801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57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_Toc17557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3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_Toc723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91" w:history="1">
        <w:r>
          <w:rPr>
            <w:rFonts w:ascii="仿宋" w:eastAsia="仿宋" w:hAnsi="仿宋" w:cs="仿宋" w:hint="eastAsia"/>
            <w:lang w:eastAsia="zh-CN"/>
          </w:rPr>
          <w:t>十九、合作与交流机制建立</w:t>
        </w:r>
        <w:r>
          <w:tab/>
        </w:r>
        <w:r>
          <w:fldChar w:fldCharType="begin"/>
        </w:r>
        <w:r>
          <w:instrText xml:space="preserve"> PAGEREF _Toc7691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92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_Toc4092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37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_Toc24337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07" w:history="1">
        <w:r>
          <w:rPr>
            <w:rFonts w:ascii="仿宋" w:eastAsia="仿宋" w:hAnsi="仿宋" w:cs="仿宋" w:hint="eastAsia"/>
            <w:lang w:eastAsia="zh-CN"/>
          </w:rPr>
          <w:t>二十、设施与设备管理</w:t>
        </w:r>
        <w:r>
          <w:tab/>
        </w:r>
        <w:r>
          <w:fldChar w:fldCharType="begin"/>
        </w:r>
        <w:r>
          <w:instrText xml:space="preserve"> PAGEREF _Toc29707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73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_Toc7073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76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_Toc27076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1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_Toc1881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0857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在项目建设过程中，本项目建设方案将确保项目的可行性和有效实施。本方案详细介绍了项目的背景、目标和关键任务，以及所需资源和时间安排。需要强调的是，本方案仅供学习交流之用，不可做为商业用途。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7444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1360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交流鼓风机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交流鼓风机项目将进行详细的生态影响评估，确保不会对当地的动植物种群和自然栖息地造成负面影响。如果项目地点附近有重要的生物栖息地或生态敏感区，项目将重新考虑建设地点或采取相应的保护措施。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交流鼓风机项目将积极采用可持续材料，如再生塑料和生物降解材料，以减少对环境的影响。项目还将推行废物减量和回收计划，例如通过再利用工业废料或建立回收系统。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交流鼓风机项目还将参与当地的环保活动和计划，如资助当地的环境保护项目或与社区合作进行环保宣传活动。通过这些活动，项目不仅能够提高自身的环境表现，还能在当地社区中树立积极的环保形象。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0327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交流鼓风机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交流鼓风机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交流鼓风机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5825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交流鼓风机项目将采用绿色屋顶和生态墙等环境友好型建筑设计，这些设计不仅有助于改善空气质量，还能为城市野生动植物提供栖息地。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交流鼓风机项目将建立高效的废水处理系统，确保所有工业废水在排放前都经过适当处理，达到或超过环保标准。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交流鼓风机项目将致力于使用清洁能源，如太阳能和风能，减少对化石燃料的依赖。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交流鼓风机项目将举办环保教育研讨会，向员工和当地社区普及环保知识，提升对环境保护重要性的认识。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7653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在交流鼓风机项目启动前，将进行一系列深入的地质调查，包括钻探和土壤取样，以深入了解项目区域的地层结构和土壤组成。特别是对于土壤的承载能力和地下水位的深度进行详细评估。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交流鼓风机项目将通过地下水位监测系统定期检测水位变化，以预测和预防由高地下水位可能引起的地基问题。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交流鼓风机项目将进行详尽的水文和地形分析，以识别可能的洪水和泥石流风险区。基于这些分析，项目将设计防洪设施，如提高地基、构建防洪墙和排水沟。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交流鼓风机项目还将考虑建设排水系统，以减少地表水对土壤稳定性的影响。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完成初始的地质风险评估后，交流鼓风机项目将安装长期地质监测设备，如倾斜仪、裂缝计和地下水位计，以持续监测地质条件的变化。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3635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交流鼓风机项目将通过这些措施来适应和尊重特殊环境条件，确保项目的可持续发展，同时减少对环境的负面影响。这不仅有助于保护自然和文化遗产，还能提升项目在社会责任方面的表现和形象。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3916"/>
      <w:r>
        <w:rPr>
          <w:rFonts w:ascii="仿宋" w:eastAsia="仿宋" w:hAnsi="仿宋" w:cs="仿宋" w:hint="eastAsia"/>
          <w:sz w:val="28"/>
          <w:lang w:eastAsia="zh-CN"/>
        </w:rPr>
        <w:t>二、经济影响分析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6898"/>
      <w:r>
        <w:rPr>
          <w:rFonts w:ascii="仿宋" w:eastAsia="仿宋" w:hAnsi="仿宋" w:cs="仿宋" w:hint="eastAsia"/>
          <w:lang w:eastAsia="zh-CN"/>
        </w:rPr>
        <w:t>(一)、经济费用效益或费用效果分析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项目总成本评估：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初始投资成本：假设土地购置成本为XX万元，建筑和基础设施建设成本为XX万元，设备采购和安装费用为XX万元。因此，项目的总初始投资成本估计为XX万元。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运营成本：每年的运营成本包括人力资源成本XX万元，原材料采购XX万元，能源消耗XX万元，维护和修理XX万元。因此，项目的年运营成本估计为XX万元。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https://d.book118.com/107005120135006046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交流鼓风机项目建设总纲及方案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交流鼓风机项目建设总纲及方案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交流鼓风机项目建设总纲及方案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交流鼓风机项目建设总纲及方案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交流鼓风机项目建设总纲及方案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交流鼓风机项目建设总纲及方案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交流鼓风机项目建设总纲及方案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交流鼓风机项目建设总纲及方案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交流鼓风机项目建设总纲及方案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交流鼓风机项目建设总纲及方案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交流鼓风机项目建设总纲及方案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交流鼓风机项目建设总纲及方案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6BB4501"/>
    <w:rsid w:val="16BB450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107005120135006046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2024-02-17T04:52:00Z</dcterms:created>
  <dcterms:modified xsi:type="dcterms:W3CDTF">2024-02-17T04:53:23Z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3EE6407F9B0D4EF582A0B16E233E8925_11</vt:lpwstr>
  </property>
  <property fmtid="{D5CDD505-2E9C-101B-9397-08002B2CF9AE}" pid="3" name="KSOProductBuildVer">
    <vt:lpwstr>2052-12.1.0.16250</vt:lpwstr>
  </property>
</Properties>
</file>