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1、[单选题]两种药物合用，能产生或增强毒性。这种配伍关系是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A.相杀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B.相畏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C.相恶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D.相反。E,相使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2、[题干]下列糖原累积症类型除了哪一型外，主要累及肝脏为主()。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A.糖原累积症Ⅰ型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B.糖原累积症Ⅲ型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C.糖原累积症Ⅳ型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D.糖原累积症Ⅴ型。E,糖原累积症Ⅵ型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3、[单选题]“渴欲饮水、口干舌燥者”治用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A.已椒苈黄丸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B.文蛤散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C.白虎桂枝汤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D.白虎加人参汤。E,肾气丸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4、[题干]8岁患儿，发热伴咽痛1天，全身皮肤出现鲜红色粟粒疹，疹间皮肤充血，咽部充血明显，舌质红，舌乳头明显突出于舌苔表面()()。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A.麻疹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B.水痘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C.幼儿急疹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D.药物疹。E,猩红热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5、[题干]医务人员共同的义务和天职是()。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A.维护病人和社会公益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B.维护医务人员和医疗机构的声誉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C.维护医院人员和医疗机构的自身利益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D.维护医务人员和医疗机构的经济利益。E,彼此平等，相互尊重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【解析】维护病人利益和社会公益是医务人员的神圣职责和奋斗目标，在维护病人利益时要注意维护社会公益。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https://d.book118.com/107014164023006043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10701416402300604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