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新能源高压清洗车项目规划设计纲要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93" w:history="1">
        <w:r>
          <w:rPr>
            <w:rFonts w:ascii="仿宋" w:eastAsia="仿宋" w:hAnsi="仿宋" w:cs="仿宋" w:hint="eastAsia"/>
            <w:lang w:eastAsia="zh-CN"/>
          </w:rPr>
          <w:t>序言</w:t>
        </w:r>
        <w:r>
          <w:tab/>
        </w:r>
        <w:r>
          <w:fldChar w:fldCharType="begin"/>
        </w:r>
        <w:r>
          <w:instrText xml:space="preserve"> PAGEREF _Toc8193 \h </w:instrText>
        </w:r>
        <w:r>
          <w:fldChar w:fldCharType="separate"/>
        </w:r>
        <w:r>
          <w:t>3</w:t>
        </w:r>
        <w:r>
          <w:fldChar w:fldCharType="end"/>
        </w:r>
      </w:hyperlink>
    </w:p>
    <w:p>
      <w:pPr>
        <w:pStyle w:val="TOC1"/>
        <w:tabs>
          <w:tab w:val="right" w:leader="dot" w:pos="8306"/>
        </w:tabs>
      </w:pPr>
      <w:hyperlink w:anchor="_Toc5098" w:history="1">
        <w:r>
          <w:rPr>
            <w:rFonts w:ascii="仿宋" w:eastAsia="仿宋" w:hAnsi="仿宋" w:cs="仿宋" w:hint="eastAsia"/>
            <w:lang w:eastAsia="zh-CN"/>
          </w:rPr>
          <w:t>一、新能源高压清洗车项目建设背景及必要性分析</w:t>
        </w:r>
        <w:r>
          <w:tab/>
        </w:r>
        <w:r>
          <w:fldChar w:fldCharType="begin"/>
        </w:r>
        <w:r>
          <w:instrText xml:space="preserve"> PAGEREF _Toc5098 \h </w:instrText>
        </w:r>
        <w:r>
          <w:fldChar w:fldCharType="separate"/>
        </w:r>
        <w:r>
          <w:t>3</w:t>
        </w:r>
        <w:r>
          <w:fldChar w:fldCharType="end"/>
        </w:r>
      </w:hyperlink>
    </w:p>
    <w:p>
      <w:pPr>
        <w:pStyle w:val="TOC2"/>
        <w:tabs>
          <w:tab w:val="right" w:leader="dot" w:pos="8306"/>
        </w:tabs>
      </w:pPr>
      <w:hyperlink w:anchor="_Toc21478" w:history="1">
        <w:r>
          <w:rPr>
            <w:rFonts w:ascii="仿宋" w:eastAsia="仿宋" w:hAnsi="仿宋" w:cs="仿宋" w:hint="eastAsia"/>
            <w:lang w:eastAsia="zh-CN"/>
          </w:rPr>
          <w:t>(一)、新能源高压清洗车项目背景分析</w:t>
        </w:r>
        <w:r>
          <w:tab/>
        </w:r>
        <w:r>
          <w:fldChar w:fldCharType="begin"/>
        </w:r>
        <w:r>
          <w:instrText xml:space="preserve"> PAGEREF _Toc21478 \h </w:instrText>
        </w:r>
        <w:r>
          <w:fldChar w:fldCharType="separate"/>
        </w:r>
        <w:r>
          <w:t>3</w:t>
        </w:r>
        <w:r>
          <w:fldChar w:fldCharType="end"/>
        </w:r>
      </w:hyperlink>
    </w:p>
    <w:p>
      <w:pPr>
        <w:pStyle w:val="TOC2"/>
        <w:tabs>
          <w:tab w:val="right" w:leader="dot" w:pos="8306"/>
        </w:tabs>
      </w:pPr>
      <w:hyperlink w:anchor="_Toc31102" w:history="1">
        <w:r>
          <w:rPr>
            <w:rFonts w:ascii="仿宋" w:eastAsia="仿宋" w:hAnsi="仿宋" w:cs="仿宋" w:hint="eastAsia"/>
            <w:lang w:eastAsia="zh-CN"/>
          </w:rPr>
          <w:t>(二)、新能源高压清洗车项目建设必要性分析</w:t>
        </w:r>
        <w:r>
          <w:tab/>
        </w:r>
        <w:r>
          <w:fldChar w:fldCharType="begin"/>
        </w:r>
        <w:r>
          <w:instrText xml:space="preserve"> PAGEREF _Toc31102 \h </w:instrText>
        </w:r>
        <w:r>
          <w:fldChar w:fldCharType="separate"/>
        </w:r>
        <w:r>
          <w:t>5</w:t>
        </w:r>
        <w:r>
          <w:fldChar w:fldCharType="end"/>
        </w:r>
      </w:hyperlink>
    </w:p>
    <w:p>
      <w:pPr>
        <w:pStyle w:val="TOC1"/>
        <w:tabs>
          <w:tab w:val="right" w:leader="dot" w:pos="8306"/>
        </w:tabs>
      </w:pPr>
      <w:hyperlink w:anchor="_Toc28159" w:history="1">
        <w:r>
          <w:rPr>
            <w:rFonts w:ascii="仿宋" w:eastAsia="仿宋" w:hAnsi="仿宋" w:cs="仿宋" w:hint="eastAsia"/>
            <w:lang w:eastAsia="zh-CN"/>
          </w:rPr>
          <w:t>二、新能源高压清洗车项目绩效评估</w:t>
        </w:r>
        <w:r>
          <w:tab/>
        </w:r>
        <w:r>
          <w:fldChar w:fldCharType="begin"/>
        </w:r>
        <w:r>
          <w:instrText xml:space="preserve"> PAGEREF _Toc28159 \h </w:instrText>
        </w:r>
        <w:r>
          <w:fldChar w:fldCharType="separate"/>
        </w:r>
        <w:r>
          <w:t>6</w:t>
        </w:r>
        <w:r>
          <w:fldChar w:fldCharType="end"/>
        </w:r>
      </w:hyperlink>
    </w:p>
    <w:p>
      <w:pPr>
        <w:pStyle w:val="TOC2"/>
        <w:tabs>
          <w:tab w:val="right" w:leader="dot" w:pos="8306"/>
        </w:tabs>
      </w:pPr>
      <w:hyperlink w:anchor="_Toc24271" w:history="1">
        <w:r>
          <w:rPr>
            <w:rFonts w:ascii="仿宋" w:eastAsia="仿宋" w:hAnsi="仿宋" w:cs="仿宋" w:hint="eastAsia"/>
            <w:lang w:eastAsia="zh-CN"/>
          </w:rPr>
          <w:t>(一)、绩效评估指标</w:t>
        </w:r>
        <w:r>
          <w:tab/>
        </w:r>
        <w:r>
          <w:fldChar w:fldCharType="begin"/>
        </w:r>
        <w:r>
          <w:instrText xml:space="preserve"> PAGEREF _Toc24271 \h </w:instrText>
        </w:r>
        <w:r>
          <w:fldChar w:fldCharType="separate"/>
        </w:r>
        <w:r>
          <w:t>6</w:t>
        </w:r>
        <w:r>
          <w:fldChar w:fldCharType="end"/>
        </w:r>
      </w:hyperlink>
    </w:p>
    <w:p>
      <w:pPr>
        <w:pStyle w:val="TOC2"/>
        <w:tabs>
          <w:tab w:val="right" w:leader="dot" w:pos="8306"/>
        </w:tabs>
      </w:pPr>
      <w:hyperlink w:anchor="_Toc26327" w:history="1">
        <w:r>
          <w:rPr>
            <w:rFonts w:ascii="仿宋" w:eastAsia="仿宋" w:hAnsi="仿宋" w:cs="仿宋" w:hint="eastAsia"/>
            <w:lang w:eastAsia="zh-CN"/>
          </w:rPr>
          <w:t>(二)、绩效评估方法</w:t>
        </w:r>
        <w:r>
          <w:tab/>
        </w:r>
        <w:r>
          <w:fldChar w:fldCharType="begin"/>
        </w:r>
        <w:r>
          <w:instrText xml:space="preserve"> PAGEREF _Toc26327 \h </w:instrText>
        </w:r>
        <w:r>
          <w:fldChar w:fldCharType="separate"/>
        </w:r>
        <w:r>
          <w:t>7</w:t>
        </w:r>
        <w:r>
          <w:fldChar w:fldCharType="end"/>
        </w:r>
      </w:hyperlink>
    </w:p>
    <w:p>
      <w:pPr>
        <w:pStyle w:val="TOC2"/>
        <w:tabs>
          <w:tab w:val="right" w:leader="dot" w:pos="8306"/>
        </w:tabs>
      </w:pPr>
      <w:hyperlink w:anchor="_Toc12038" w:history="1">
        <w:r>
          <w:rPr>
            <w:rFonts w:ascii="仿宋" w:eastAsia="仿宋" w:hAnsi="仿宋" w:cs="仿宋" w:hint="eastAsia"/>
            <w:lang w:eastAsia="zh-CN"/>
          </w:rPr>
          <w:t>(三)、绩效评估周期</w:t>
        </w:r>
        <w:r>
          <w:tab/>
        </w:r>
        <w:r>
          <w:fldChar w:fldCharType="begin"/>
        </w:r>
        <w:r>
          <w:instrText xml:space="preserve"> PAGEREF _Toc12038 \h </w:instrText>
        </w:r>
        <w:r>
          <w:fldChar w:fldCharType="separate"/>
        </w:r>
        <w:r>
          <w:t>8</w:t>
        </w:r>
        <w:r>
          <w:fldChar w:fldCharType="end"/>
        </w:r>
      </w:hyperlink>
    </w:p>
    <w:p>
      <w:pPr>
        <w:pStyle w:val="TOC1"/>
        <w:tabs>
          <w:tab w:val="right" w:leader="dot" w:pos="8306"/>
        </w:tabs>
      </w:pPr>
      <w:hyperlink w:anchor="_Toc9874" w:history="1">
        <w:r>
          <w:rPr>
            <w:rFonts w:ascii="仿宋" w:eastAsia="仿宋" w:hAnsi="仿宋" w:cs="仿宋" w:hint="eastAsia"/>
            <w:lang w:eastAsia="zh-CN"/>
          </w:rPr>
          <w:t>三、新能源高压清洗车项目可持续发展</w:t>
        </w:r>
        <w:r>
          <w:tab/>
        </w:r>
        <w:r>
          <w:fldChar w:fldCharType="begin"/>
        </w:r>
        <w:r>
          <w:instrText xml:space="preserve"> PAGEREF _Toc9874 \h </w:instrText>
        </w:r>
        <w:r>
          <w:fldChar w:fldCharType="separate"/>
        </w:r>
        <w:r>
          <w:t>9</w:t>
        </w:r>
        <w:r>
          <w:fldChar w:fldCharType="end"/>
        </w:r>
      </w:hyperlink>
    </w:p>
    <w:p>
      <w:pPr>
        <w:pStyle w:val="TOC2"/>
        <w:tabs>
          <w:tab w:val="right" w:leader="dot" w:pos="8306"/>
        </w:tabs>
      </w:pPr>
      <w:hyperlink w:anchor="_Toc15570" w:history="1">
        <w:r>
          <w:rPr>
            <w:rFonts w:ascii="仿宋" w:eastAsia="仿宋" w:hAnsi="仿宋" w:cs="仿宋" w:hint="eastAsia"/>
            <w:lang w:eastAsia="zh-CN"/>
          </w:rPr>
          <w:t>(一)、可持续战略与实践</w:t>
        </w:r>
        <w:r>
          <w:tab/>
        </w:r>
        <w:r>
          <w:fldChar w:fldCharType="begin"/>
        </w:r>
        <w:r>
          <w:instrText xml:space="preserve"> PAGEREF _Toc15570 \h </w:instrText>
        </w:r>
        <w:r>
          <w:fldChar w:fldCharType="separate"/>
        </w:r>
        <w:r>
          <w:t>9</w:t>
        </w:r>
        <w:r>
          <w:fldChar w:fldCharType="end"/>
        </w:r>
      </w:hyperlink>
    </w:p>
    <w:p>
      <w:pPr>
        <w:pStyle w:val="TOC2"/>
        <w:tabs>
          <w:tab w:val="right" w:leader="dot" w:pos="8306"/>
        </w:tabs>
      </w:pPr>
      <w:hyperlink w:anchor="_Toc31704" w:history="1">
        <w:r>
          <w:rPr>
            <w:rFonts w:ascii="仿宋" w:eastAsia="仿宋" w:hAnsi="仿宋" w:cs="仿宋" w:hint="eastAsia"/>
            <w:lang w:eastAsia="zh-CN"/>
          </w:rPr>
          <w:t>(二)、环保与社会责任</w:t>
        </w:r>
        <w:r>
          <w:tab/>
        </w:r>
        <w:r>
          <w:fldChar w:fldCharType="begin"/>
        </w:r>
        <w:r>
          <w:instrText xml:space="preserve"> PAGEREF _Toc31704 \h </w:instrText>
        </w:r>
        <w:r>
          <w:fldChar w:fldCharType="separate"/>
        </w:r>
        <w:r>
          <w:t>10</w:t>
        </w:r>
        <w:r>
          <w:fldChar w:fldCharType="end"/>
        </w:r>
      </w:hyperlink>
    </w:p>
    <w:p>
      <w:pPr>
        <w:pStyle w:val="TOC1"/>
        <w:tabs>
          <w:tab w:val="right" w:leader="dot" w:pos="8306"/>
        </w:tabs>
      </w:pPr>
      <w:hyperlink w:anchor="_Toc4132" w:history="1">
        <w:r>
          <w:rPr>
            <w:rFonts w:ascii="仿宋" w:eastAsia="仿宋" w:hAnsi="仿宋" w:cs="仿宋" w:hint="eastAsia"/>
            <w:lang w:eastAsia="zh-CN"/>
          </w:rPr>
          <w:t>四、新能源高压清洗车项目土建工程</w:t>
        </w:r>
        <w:r>
          <w:tab/>
        </w:r>
        <w:r>
          <w:fldChar w:fldCharType="begin"/>
        </w:r>
        <w:r>
          <w:instrText xml:space="preserve"> PAGEREF _Toc4132 \h </w:instrText>
        </w:r>
        <w:r>
          <w:fldChar w:fldCharType="separate"/>
        </w:r>
        <w:r>
          <w:t>11</w:t>
        </w:r>
        <w:r>
          <w:fldChar w:fldCharType="end"/>
        </w:r>
      </w:hyperlink>
    </w:p>
    <w:p>
      <w:pPr>
        <w:pStyle w:val="TOC2"/>
        <w:tabs>
          <w:tab w:val="right" w:leader="dot" w:pos="8306"/>
        </w:tabs>
      </w:pPr>
      <w:hyperlink w:anchor="_Toc6932" w:history="1">
        <w:r>
          <w:rPr>
            <w:rFonts w:ascii="仿宋" w:eastAsia="仿宋" w:hAnsi="仿宋" w:cs="仿宋" w:hint="eastAsia"/>
            <w:lang w:eastAsia="zh-CN"/>
          </w:rPr>
          <w:t>(一)、建筑工程设计原则</w:t>
        </w:r>
        <w:r>
          <w:tab/>
        </w:r>
        <w:r>
          <w:fldChar w:fldCharType="begin"/>
        </w:r>
        <w:r>
          <w:instrText xml:space="preserve"> PAGEREF _Toc6932 \h </w:instrText>
        </w:r>
        <w:r>
          <w:fldChar w:fldCharType="separate"/>
        </w:r>
        <w:r>
          <w:t>11</w:t>
        </w:r>
        <w:r>
          <w:fldChar w:fldCharType="end"/>
        </w:r>
      </w:hyperlink>
    </w:p>
    <w:p>
      <w:pPr>
        <w:pStyle w:val="TOC2"/>
        <w:tabs>
          <w:tab w:val="right" w:leader="dot" w:pos="8306"/>
        </w:tabs>
      </w:pPr>
      <w:hyperlink w:anchor="_Toc12021" w:history="1">
        <w:r>
          <w:rPr>
            <w:rFonts w:ascii="仿宋" w:eastAsia="仿宋" w:hAnsi="仿宋" w:cs="仿宋" w:hint="eastAsia"/>
            <w:lang w:eastAsia="zh-CN"/>
          </w:rPr>
          <w:t>(二)、土建工程设计年限及安全等级</w:t>
        </w:r>
        <w:r>
          <w:tab/>
        </w:r>
        <w:r>
          <w:fldChar w:fldCharType="begin"/>
        </w:r>
        <w:r>
          <w:instrText xml:space="preserve"> PAGEREF _Toc12021 \h </w:instrText>
        </w:r>
        <w:r>
          <w:fldChar w:fldCharType="separate"/>
        </w:r>
        <w:r>
          <w:t>12</w:t>
        </w:r>
        <w:r>
          <w:fldChar w:fldCharType="end"/>
        </w:r>
      </w:hyperlink>
    </w:p>
    <w:p>
      <w:pPr>
        <w:pStyle w:val="TOC2"/>
        <w:tabs>
          <w:tab w:val="right" w:leader="dot" w:pos="8306"/>
        </w:tabs>
      </w:pPr>
      <w:hyperlink w:anchor="_Toc28851" w:history="1">
        <w:r>
          <w:rPr>
            <w:rFonts w:ascii="仿宋" w:eastAsia="仿宋" w:hAnsi="仿宋" w:cs="仿宋" w:hint="eastAsia"/>
            <w:lang w:eastAsia="zh-CN"/>
          </w:rPr>
          <w:t>(三)、建筑工程设计总体要求</w:t>
        </w:r>
        <w:r>
          <w:tab/>
        </w:r>
        <w:r>
          <w:fldChar w:fldCharType="begin"/>
        </w:r>
        <w:r>
          <w:instrText xml:space="preserve"> PAGEREF _Toc28851 \h </w:instrText>
        </w:r>
        <w:r>
          <w:fldChar w:fldCharType="separate"/>
        </w:r>
        <w:r>
          <w:t>14</w:t>
        </w:r>
        <w:r>
          <w:fldChar w:fldCharType="end"/>
        </w:r>
      </w:hyperlink>
    </w:p>
    <w:p>
      <w:pPr>
        <w:pStyle w:val="TOC2"/>
        <w:tabs>
          <w:tab w:val="right" w:leader="dot" w:pos="8306"/>
        </w:tabs>
      </w:pPr>
      <w:hyperlink w:anchor="_Toc8458" w:history="1">
        <w:r>
          <w:rPr>
            <w:rFonts w:ascii="仿宋" w:eastAsia="仿宋" w:hAnsi="仿宋" w:cs="仿宋" w:hint="eastAsia"/>
            <w:lang w:eastAsia="zh-CN"/>
          </w:rPr>
          <w:t>(四)、土建工程建设指标</w:t>
        </w:r>
        <w:r>
          <w:tab/>
        </w:r>
        <w:r>
          <w:fldChar w:fldCharType="begin"/>
        </w:r>
        <w:r>
          <w:instrText xml:space="preserve"> PAGEREF _Toc8458 \h </w:instrText>
        </w:r>
        <w:r>
          <w:fldChar w:fldCharType="separate"/>
        </w:r>
        <w:r>
          <w:t>14</w:t>
        </w:r>
        <w:r>
          <w:fldChar w:fldCharType="end"/>
        </w:r>
      </w:hyperlink>
    </w:p>
    <w:p>
      <w:pPr>
        <w:pStyle w:val="TOC1"/>
        <w:tabs>
          <w:tab w:val="right" w:leader="dot" w:pos="8306"/>
        </w:tabs>
      </w:pPr>
      <w:hyperlink w:anchor="_Toc9793" w:history="1">
        <w:r>
          <w:rPr>
            <w:rFonts w:ascii="仿宋" w:eastAsia="仿宋" w:hAnsi="仿宋" w:cs="仿宋" w:hint="eastAsia"/>
            <w:lang w:eastAsia="zh-CN"/>
          </w:rPr>
          <w:t>五、市场分析、调研</w:t>
        </w:r>
        <w:r>
          <w:tab/>
        </w:r>
        <w:r>
          <w:fldChar w:fldCharType="begin"/>
        </w:r>
        <w:r>
          <w:instrText xml:space="preserve"> PAGEREF _Toc9793 \h </w:instrText>
        </w:r>
        <w:r>
          <w:fldChar w:fldCharType="separate"/>
        </w:r>
        <w:r>
          <w:t>14</w:t>
        </w:r>
        <w:r>
          <w:fldChar w:fldCharType="end"/>
        </w:r>
      </w:hyperlink>
    </w:p>
    <w:p>
      <w:pPr>
        <w:pStyle w:val="TOC2"/>
        <w:tabs>
          <w:tab w:val="right" w:leader="dot" w:pos="8306"/>
        </w:tabs>
      </w:pPr>
      <w:hyperlink w:anchor="_Toc12054" w:history="1">
        <w:r>
          <w:rPr>
            <w:rFonts w:ascii="仿宋" w:eastAsia="仿宋" w:hAnsi="仿宋" w:cs="仿宋" w:hint="eastAsia"/>
            <w:lang w:eastAsia="zh-CN"/>
          </w:rPr>
          <w:t>(一)、新能源高压清洗车行业分析</w:t>
        </w:r>
        <w:r>
          <w:tab/>
        </w:r>
        <w:r>
          <w:fldChar w:fldCharType="begin"/>
        </w:r>
        <w:r>
          <w:instrText xml:space="preserve"> PAGEREF _Toc12054 \h </w:instrText>
        </w:r>
        <w:r>
          <w:fldChar w:fldCharType="separate"/>
        </w:r>
        <w:r>
          <w:t>14</w:t>
        </w:r>
        <w:r>
          <w:fldChar w:fldCharType="end"/>
        </w:r>
      </w:hyperlink>
    </w:p>
    <w:p>
      <w:pPr>
        <w:pStyle w:val="TOC2"/>
        <w:tabs>
          <w:tab w:val="right" w:leader="dot" w:pos="8306"/>
        </w:tabs>
      </w:pPr>
      <w:hyperlink w:anchor="_Toc31133" w:history="1">
        <w:r>
          <w:rPr>
            <w:rFonts w:ascii="仿宋" w:eastAsia="仿宋" w:hAnsi="仿宋" w:cs="仿宋" w:hint="eastAsia"/>
            <w:lang w:eastAsia="zh-CN"/>
          </w:rPr>
          <w:t>(二)、新能源高压清洗车市场分析预测</w:t>
        </w:r>
        <w:r>
          <w:tab/>
        </w:r>
        <w:r>
          <w:fldChar w:fldCharType="begin"/>
        </w:r>
        <w:r>
          <w:instrText xml:space="preserve"> PAGEREF _Toc31133 \h </w:instrText>
        </w:r>
        <w:r>
          <w:fldChar w:fldCharType="separate"/>
        </w:r>
        <w:r>
          <w:t>15</w:t>
        </w:r>
        <w:r>
          <w:fldChar w:fldCharType="end"/>
        </w:r>
      </w:hyperlink>
    </w:p>
    <w:p>
      <w:pPr>
        <w:pStyle w:val="TOC1"/>
        <w:tabs>
          <w:tab w:val="right" w:leader="dot" w:pos="8306"/>
        </w:tabs>
      </w:pPr>
      <w:hyperlink w:anchor="_Toc8103" w:history="1">
        <w:r>
          <w:rPr>
            <w:rFonts w:ascii="仿宋" w:eastAsia="仿宋" w:hAnsi="仿宋" w:cs="仿宋" w:hint="eastAsia"/>
            <w:lang w:eastAsia="zh-CN"/>
          </w:rPr>
          <w:t>六、工艺说明</w:t>
        </w:r>
        <w:r>
          <w:tab/>
        </w:r>
        <w:r>
          <w:fldChar w:fldCharType="begin"/>
        </w:r>
        <w:r>
          <w:instrText xml:space="preserve"> PAGEREF _Toc8103 \h </w:instrText>
        </w:r>
        <w:r>
          <w:fldChar w:fldCharType="separate"/>
        </w:r>
        <w:r>
          <w:t>16</w:t>
        </w:r>
        <w:r>
          <w:fldChar w:fldCharType="end"/>
        </w:r>
      </w:hyperlink>
    </w:p>
    <w:p>
      <w:pPr>
        <w:pStyle w:val="TOC2"/>
        <w:tabs>
          <w:tab w:val="right" w:leader="dot" w:pos="8306"/>
        </w:tabs>
      </w:pPr>
      <w:hyperlink w:anchor="_Toc16024" w:history="1">
        <w:r>
          <w:rPr>
            <w:rFonts w:ascii="仿宋" w:eastAsia="仿宋" w:hAnsi="仿宋" w:cs="仿宋" w:hint="eastAsia"/>
            <w:lang w:eastAsia="zh-CN"/>
          </w:rPr>
          <w:t>(一)、技术管理特点</w:t>
        </w:r>
        <w:r>
          <w:tab/>
        </w:r>
        <w:r>
          <w:fldChar w:fldCharType="begin"/>
        </w:r>
        <w:r>
          <w:instrText xml:space="preserve"> PAGEREF _Toc16024 \h </w:instrText>
        </w:r>
        <w:r>
          <w:fldChar w:fldCharType="separate"/>
        </w:r>
        <w:r>
          <w:t>16</w:t>
        </w:r>
        <w:r>
          <w:fldChar w:fldCharType="end"/>
        </w:r>
      </w:hyperlink>
    </w:p>
    <w:p>
      <w:pPr>
        <w:pStyle w:val="TOC2"/>
        <w:tabs>
          <w:tab w:val="right" w:leader="dot" w:pos="8306"/>
        </w:tabs>
      </w:pPr>
      <w:hyperlink w:anchor="_Toc2243" w:history="1">
        <w:r>
          <w:rPr>
            <w:rFonts w:ascii="仿宋" w:eastAsia="仿宋" w:hAnsi="仿宋" w:cs="仿宋" w:hint="eastAsia"/>
            <w:lang w:eastAsia="zh-CN"/>
          </w:rPr>
          <w:t>(二)、新能源高压清洗车项目工艺技术设计方案</w:t>
        </w:r>
        <w:r>
          <w:tab/>
        </w:r>
        <w:r>
          <w:fldChar w:fldCharType="begin"/>
        </w:r>
        <w:r>
          <w:instrText xml:space="preserve"> PAGEREF _Toc2243 \h </w:instrText>
        </w:r>
        <w:r>
          <w:fldChar w:fldCharType="separate"/>
        </w:r>
        <w:r>
          <w:t>17</w:t>
        </w:r>
        <w:r>
          <w:fldChar w:fldCharType="end"/>
        </w:r>
      </w:hyperlink>
    </w:p>
    <w:p>
      <w:pPr>
        <w:pStyle w:val="TOC2"/>
        <w:tabs>
          <w:tab w:val="right" w:leader="dot" w:pos="8306"/>
        </w:tabs>
      </w:pPr>
      <w:hyperlink w:anchor="_Toc26299" w:history="1">
        <w:r>
          <w:rPr>
            <w:rFonts w:ascii="仿宋" w:eastAsia="仿宋" w:hAnsi="仿宋" w:cs="仿宋" w:hint="eastAsia"/>
            <w:lang w:eastAsia="zh-CN"/>
          </w:rPr>
          <w:t>(三)、设备选型方案</w:t>
        </w:r>
        <w:r>
          <w:tab/>
        </w:r>
        <w:r>
          <w:fldChar w:fldCharType="begin"/>
        </w:r>
        <w:r>
          <w:instrText xml:space="preserve"> PAGEREF _Toc26299 \h </w:instrText>
        </w:r>
        <w:r>
          <w:fldChar w:fldCharType="separate"/>
        </w:r>
        <w:r>
          <w:t>19</w:t>
        </w:r>
        <w:r>
          <w:fldChar w:fldCharType="end"/>
        </w:r>
      </w:hyperlink>
    </w:p>
    <w:p>
      <w:pPr>
        <w:pStyle w:val="TOC1"/>
        <w:tabs>
          <w:tab w:val="right" w:leader="dot" w:pos="8306"/>
        </w:tabs>
      </w:pPr>
      <w:hyperlink w:anchor="_Toc17182" w:history="1">
        <w:r>
          <w:rPr>
            <w:rFonts w:ascii="仿宋" w:eastAsia="仿宋" w:hAnsi="仿宋" w:cs="仿宋" w:hint="eastAsia"/>
            <w:lang w:eastAsia="zh-CN"/>
          </w:rPr>
          <w:t>七、新能源高压清洗车项目风险管理</w:t>
        </w:r>
        <w:r>
          <w:tab/>
        </w:r>
        <w:r>
          <w:fldChar w:fldCharType="begin"/>
        </w:r>
        <w:r>
          <w:instrText xml:space="preserve"> PAGEREF _Toc17182 \h </w:instrText>
        </w:r>
        <w:r>
          <w:fldChar w:fldCharType="separate"/>
        </w:r>
        <w:r>
          <w:t>20</w:t>
        </w:r>
        <w:r>
          <w:fldChar w:fldCharType="end"/>
        </w:r>
      </w:hyperlink>
    </w:p>
    <w:p>
      <w:pPr>
        <w:pStyle w:val="TOC2"/>
        <w:tabs>
          <w:tab w:val="right" w:leader="dot" w:pos="8306"/>
        </w:tabs>
      </w:pPr>
      <w:hyperlink w:anchor="_Toc2052" w:history="1">
        <w:r>
          <w:rPr>
            <w:rFonts w:ascii="仿宋" w:eastAsia="仿宋" w:hAnsi="仿宋" w:cs="仿宋" w:hint="eastAsia"/>
            <w:lang w:eastAsia="zh-CN"/>
          </w:rPr>
          <w:t>(一)、风险识别与评估</w:t>
        </w:r>
        <w:r>
          <w:tab/>
        </w:r>
        <w:r>
          <w:fldChar w:fldCharType="begin"/>
        </w:r>
        <w:r>
          <w:instrText xml:space="preserve"> PAGEREF _Toc2052 \h </w:instrText>
        </w:r>
        <w:r>
          <w:fldChar w:fldCharType="separate"/>
        </w:r>
        <w:r>
          <w:t>20</w:t>
        </w:r>
        <w:r>
          <w:fldChar w:fldCharType="end"/>
        </w:r>
      </w:hyperlink>
    </w:p>
    <w:p>
      <w:pPr>
        <w:pStyle w:val="TOC2"/>
        <w:tabs>
          <w:tab w:val="right" w:leader="dot" w:pos="8306"/>
        </w:tabs>
      </w:pPr>
      <w:hyperlink w:anchor="_Toc13391" w:history="1">
        <w:r>
          <w:rPr>
            <w:rFonts w:ascii="仿宋" w:eastAsia="仿宋" w:hAnsi="仿宋" w:cs="仿宋" w:hint="eastAsia"/>
            <w:lang w:eastAsia="zh-CN"/>
          </w:rPr>
          <w:t>(二)、风险应对策略</w:t>
        </w:r>
        <w:r>
          <w:tab/>
        </w:r>
        <w:r>
          <w:fldChar w:fldCharType="begin"/>
        </w:r>
        <w:r>
          <w:instrText xml:space="preserve"> PAGEREF _Toc13391 \h </w:instrText>
        </w:r>
        <w:r>
          <w:fldChar w:fldCharType="separate"/>
        </w:r>
        <w:r>
          <w:t>21</w:t>
        </w:r>
        <w:r>
          <w:fldChar w:fldCharType="end"/>
        </w:r>
      </w:hyperlink>
    </w:p>
    <w:p>
      <w:pPr>
        <w:pStyle w:val="TOC2"/>
        <w:tabs>
          <w:tab w:val="right" w:leader="dot" w:pos="8306"/>
        </w:tabs>
      </w:pPr>
      <w:hyperlink w:anchor="_Toc25316" w:history="1">
        <w:r>
          <w:rPr>
            <w:rFonts w:ascii="仿宋" w:eastAsia="仿宋" w:hAnsi="仿宋" w:cs="仿宋" w:hint="eastAsia"/>
            <w:lang w:eastAsia="zh-CN"/>
          </w:rPr>
          <w:t>(三)、风险监控与控制</w:t>
        </w:r>
        <w:r>
          <w:tab/>
        </w:r>
        <w:r>
          <w:fldChar w:fldCharType="begin"/>
        </w:r>
        <w:r>
          <w:instrText xml:space="preserve"> PAGEREF _Toc25316 \h </w:instrText>
        </w:r>
        <w:r>
          <w:fldChar w:fldCharType="separate"/>
        </w:r>
        <w:r>
          <w:t>23</w:t>
        </w:r>
        <w:r>
          <w:fldChar w:fldCharType="end"/>
        </w:r>
      </w:hyperlink>
    </w:p>
    <w:p>
      <w:pPr>
        <w:pStyle w:val="TOC1"/>
        <w:tabs>
          <w:tab w:val="right" w:leader="dot" w:pos="8306"/>
        </w:tabs>
      </w:pPr>
      <w:hyperlink w:anchor="_Toc3958" w:history="1">
        <w:r>
          <w:rPr>
            <w:rFonts w:ascii="仿宋" w:eastAsia="仿宋" w:hAnsi="仿宋" w:cs="仿宋" w:hint="eastAsia"/>
            <w:lang w:eastAsia="zh-CN"/>
          </w:rPr>
          <w:t>八、新能源高压清洗车项目人力资源培养与发展</w:t>
        </w:r>
        <w:r>
          <w:tab/>
        </w:r>
        <w:r>
          <w:fldChar w:fldCharType="begin"/>
        </w:r>
        <w:r>
          <w:instrText xml:space="preserve"> PAGEREF _Toc3958 \h </w:instrText>
        </w:r>
        <w:r>
          <w:fldChar w:fldCharType="separate"/>
        </w:r>
        <w:r>
          <w:t>24</w:t>
        </w:r>
        <w:r>
          <w:fldChar w:fldCharType="end"/>
        </w:r>
      </w:hyperlink>
    </w:p>
    <w:p>
      <w:pPr>
        <w:pStyle w:val="TOC2"/>
        <w:tabs>
          <w:tab w:val="right" w:leader="dot" w:pos="8306"/>
        </w:tabs>
      </w:pPr>
      <w:hyperlink w:anchor="_Toc10428" w:history="1">
        <w:r>
          <w:rPr>
            <w:rFonts w:ascii="仿宋" w:eastAsia="仿宋" w:hAnsi="仿宋" w:cs="仿宋" w:hint="eastAsia"/>
            <w:lang w:eastAsia="zh-CN"/>
          </w:rPr>
          <w:t>(一)、人才需求与规划</w:t>
        </w:r>
        <w:r>
          <w:tab/>
        </w:r>
        <w:r>
          <w:fldChar w:fldCharType="begin"/>
        </w:r>
        <w:r>
          <w:instrText xml:space="preserve"> PAGEREF _Toc10428 \h </w:instrText>
        </w:r>
        <w:r>
          <w:fldChar w:fldCharType="separate"/>
        </w:r>
        <w:r>
          <w:t>24</w:t>
        </w:r>
        <w:r>
          <w:fldChar w:fldCharType="end"/>
        </w:r>
      </w:hyperlink>
    </w:p>
    <w:p>
      <w:pPr>
        <w:pStyle w:val="TOC2"/>
        <w:tabs>
          <w:tab w:val="right" w:leader="dot" w:pos="8306"/>
        </w:tabs>
      </w:pPr>
      <w:hyperlink w:anchor="_Toc26661" w:history="1">
        <w:r>
          <w:rPr>
            <w:rFonts w:ascii="仿宋" w:eastAsia="仿宋" w:hAnsi="仿宋" w:cs="仿宋" w:hint="eastAsia"/>
            <w:lang w:eastAsia="zh-CN"/>
          </w:rPr>
          <w:t>(二)、培训与发展计划</w:t>
        </w:r>
        <w:r>
          <w:tab/>
        </w:r>
        <w:r>
          <w:fldChar w:fldCharType="begin"/>
        </w:r>
        <w:r>
          <w:instrText xml:space="preserve"> PAGEREF _Toc26661 \h </w:instrText>
        </w:r>
        <w:r>
          <w:fldChar w:fldCharType="separate"/>
        </w:r>
        <w:r>
          <w:t>24</w:t>
        </w:r>
        <w:r>
          <w:fldChar w:fldCharType="end"/>
        </w:r>
      </w:hyperlink>
    </w:p>
    <w:p>
      <w:pPr>
        <w:pStyle w:val="TOC1"/>
        <w:tabs>
          <w:tab w:val="right" w:leader="dot" w:pos="8306"/>
        </w:tabs>
      </w:pPr>
      <w:hyperlink w:anchor="_Toc4009" w:history="1">
        <w:r>
          <w:rPr>
            <w:rFonts w:ascii="仿宋" w:eastAsia="仿宋" w:hAnsi="仿宋" w:cs="仿宋" w:hint="eastAsia"/>
            <w:lang w:eastAsia="zh-CN"/>
          </w:rPr>
          <w:t>九、新能源高压清洗车项目技术管理</w:t>
        </w:r>
        <w:r>
          <w:tab/>
        </w:r>
        <w:r>
          <w:fldChar w:fldCharType="begin"/>
        </w:r>
        <w:r>
          <w:instrText xml:space="preserve"> PAGEREF _Toc4009 \h </w:instrText>
        </w:r>
        <w:r>
          <w:fldChar w:fldCharType="separate"/>
        </w:r>
        <w:r>
          <w:t>25</w:t>
        </w:r>
        <w:r>
          <w:fldChar w:fldCharType="end"/>
        </w:r>
      </w:hyperlink>
    </w:p>
    <w:p>
      <w:pPr>
        <w:pStyle w:val="TOC2"/>
        <w:tabs>
          <w:tab w:val="right" w:leader="dot" w:pos="8306"/>
        </w:tabs>
      </w:pPr>
      <w:hyperlink w:anchor="_Toc4499" w:history="1">
        <w:r>
          <w:rPr>
            <w:rFonts w:ascii="仿宋" w:eastAsia="仿宋" w:hAnsi="仿宋" w:cs="仿宋" w:hint="eastAsia"/>
            <w:lang w:eastAsia="zh-CN"/>
          </w:rPr>
          <w:t>(一)、技术方案选用方向</w:t>
        </w:r>
        <w:r>
          <w:tab/>
        </w:r>
        <w:r>
          <w:fldChar w:fldCharType="begin"/>
        </w:r>
        <w:r>
          <w:instrText xml:space="preserve"> PAGEREF _Toc4499 \h </w:instrText>
        </w:r>
        <w:r>
          <w:fldChar w:fldCharType="separate"/>
        </w:r>
        <w:r>
          <w:t>25</w:t>
        </w:r>
        <w:r>
          <w:fldChar w:fldCharType="end"/>
        </w:r>
      </w:hyperlink>
    </w:p>
    <w:p>
      <w:pPr>
        <w:pStyle w:val="TOC2"/>
        <w:tabs>
          <w:tab w:val="right" w:leader="dot" w:pos="8306"/>
        </w:tabs>
      </w:pPr>
      <w:hyperlink w:anchor="_Toc25960" w:history="1">
        <w:r>
          <w:rPr>
            <w:rFonts w:ascii="仿宋" w:eastAsia="仿宋" w:hAnsi="仿宋" w:cs="仿宋" w:hint="eastAsia"/>
            <w:lang w:eastAsia="zh-CN"/>
          </w:rPr>
          <w:t>(二)、工艺技术方案选用原则</w:t>
        </w:r>
        <w:r>
          <w:tab/>
        </w:r>
        <w:r>
          <w:fldChar w:fldCharType="begin"/>
        </w:r>
        <w:r>
          <w:instrText xml:space="preserve"> PAGEREF _Toc25960 \h </w:instrText>
        </w:r>
        <w:r>
          <w:fldChar w:fldCharType="separate"/>
        </w:r>
        <w:r>
          <w:t>27</w:t>
        </w:r>
        <w:r>
          <w:fldChar w:fldCharType="end"/>
        </w:r>
      </w:hyperlink>
    </w:p>
    <w:p>
      <w:pPr>
        <w:pStyle w:val="TOC2"/>
        <w:tabs>
          <w:tab w:val="right" w:leader="dot" w:pos="8306"/>
        </w:tabs>
      </w:pPr>
      <w:hyperlink w:anchor="_Toc21597" w:history="1">
        <w:r>
          <w:rPr>
            <w:rFonts w:ascii="仿宋" w:eastAsia="仿宋" w:hAnsi="仿宋" w:cs="仿宋" w:hint="eastAsia"/>
            <w:lang w:eastAsia="zh-CN"/>
          </w:rPr>
          <w:t>(三)、工艺技术方案要求</w:t>
        </w:r>
        <w:r>
          <w:tab/>
        </w:r>
        <w:r>
          <w:fldChar w:fldCharType="begin"/>
        </w:r>
        <w:r>
          <w:instrText xml:space="preserve"> PAGEREF _Toc21597 \h </w:instrText>
        </w:r>
        <w:r>
          <w:fldChar w:fldCharType="separate"/>
        </w:r>
        <w:r>
          <w:t>29</w:t>
        </w:r>
        <w:r>
          <w:fldChar w:fldCharType="end"/>
        </w:r>
      </w:hyperlink>
    </w:p>
    <w:p>
      <w:pPr>
        <w:pStyle w:val="TOC1"/>
        <w:tabs>
          <w:tab w:val="right" w:leader="dot" w:pos="8306"/>
        </w:tabs>
      </w:pPr>
      <w:hyperlink w:anchor="_Toc8850" w:history="1">
        <w:r>
          <w:rPr>
            <w:rFonts w:ascii="仿宋" w:eastAsia="仿宋" w:hAnsi="仿宋" w:cs="仿宋" w:hint="eastAsia"/>
            <w:lang w:eastAsia="zh-CN"/>
          </w:rPr>
          <w:t>十、生产安全保护</w:t>
        </w:r>
        <w:r>
          <w:tab/>
        </w:r>
        <w:r>
          <w:fldChar w:fldCharType="begin"/>
        </w:r>
        <w:r>
          <w:instrText xml:space="preserve"> PAGEREF _Toc8850 \h </w:instrText>
        </w:r>
        <w:r>
          <w:fldChar w:fldCharType="separate"/>
        </w:r>
        <w:r>
          <w:t>31</w:t>
        </w:r>
        <w:r>
          <w:fldChar w:fldCharType="end"/>
        </w:r>
      </w:hyperlink>
    </w:p>
    <w:p>
      <w:pPr>
        <w:pStyle w:val="TOC2"/>
        <w:tabs>
          <w:tab w:val="right" w:leader="dot" w:pos="8306"/>
        </w:tabs>
      </w:pPr>
      <w:hyperlink w:anchor="_Toc5989" w:history="1">
        <w:r>
          <w:rPr>
            <w:rFonts w:ascii="仿宋" w:eastAsia="仿宋" w:hAnsi="仿宋" w:cs="仿宋" w:hint="eastAsia"/>
            <w:lang w:eastAsia="zh-CN"/>
          </w:rPr>
          <w:t>(一)、消防安全</w:t>
        </w:r>
        <w:r>
          <w:tab/>
        </w:r>
        <w:r>
          <w:fldChar w:fldCharType="begin"/>
        </w:r>
        <w:r>
          <w:instrText xml:space="preserve"> PAGEREF _Toc5989 \h </w:instrText>
        </w:r>
        <w:r>
          <w:fldChar w:fldCharType="separate"/>
        </w:r>
        <w:r>
          <w:t>31</w:t>
        </w:r>
        <w:r>
          <w:fldChar w:fldCharType="end"/>
        </w:r>
      </w:hyperlink>
    </w:p>
    <w:p>
      <w:pPr>
        <w:pStyle w:val="TOC2"/>
        <w:tabs>
          <w:tab w:val="right" w:leader="dot" w:pos="8306"/>
        </w:tabs>
      </w:pPr>
      <w:hyperlink w:anchor="_Toc18565" w:history="1">
        <w:r>
          <w:rPr>
            <w:rFonts w:ascii="仿宋" w:eastAsia="仿宋" w:hAnsi="仿宋" w:cs="仿宋" w:hint="eastAsia"/>
            <w:lang w:eastAsia="zh-CN"/>
          </w:rPr>
          <w:t>(二)、防火防爆总图布置措施</w:t>
        </w:r>
        <w:r>
          <w:tab/>
        </w:r>
        <w:r>
          <w:fldChar w:fldCharType="begin"/>
        </w:r>
        <w:r>
          <w:instrText xml:space="preserve"> PAGEREF _Toc18565 \h </w:instrText>
        </w:r>
        <w:r>
          <w:fldChar w:fldCharType="separate"/>
        </w:r>
        <w:r>
          <w:t>33</w:t>
        </w:r>
        <w:r>
          <w:fldChar w:fldCharType="end"/>
        </w:r>
      </w:hyperlink>
    </w:p>
    <w:p>
      <w:pPr>
        <w:pStyle w:val="TOC2"/>
        <w:tabs>
          <w:tab w:val="right" w:leader="dot" w:pos="8306"/>
        </w:tabs>
      </w:pPr>
      <w:hyperlink w:anchor="_Toc15501" w:history="1">
        <w:r>
          <w:rPr>
            <w:rFonts w:ascii="仿宋" w:eastAsia="仿宋" w:hAnsi="仿宋" w:cs="仿宋" w:hint="eastAsia"/>
            <w:lang w:eastAsia="zh-CN"/>
          </w:rPr>
          <w:t>(三)、自然灾害防范措施</w:t>
        </w:r>
        <w:r>
          <w:tab/>
        </w:r>
        <w:r>
          <w:fldChar w:fldCharType="begin"/>
        </w:r>
        <w:r>
          <w:instrText xml:space="preserve"> PAGEREF _Toc15501 \h </w:instrText>
        </w:r>
        <w:r>
          <w:fldChar w:fldCharType="separate"/>
        </w:r>
        <w:r>
          <w:t>34</w:t>
        </w:r>
        <w:r>
          <w:fldChar w:fldCharType="end"/>
        </w:r>
      </w:hyperlink>
    </w:p>
    <w:p>
      <w:pPr>
        <w:pStyle w:val="TOC2"/>
        <w:tabs>
          <w:tab w:val="right" w:leader="dot" w:pos="8306"/>
        </w:tabs>
      </w:pPr>
      <w:hyperlink w:anchor="_Toc26539" w:history="1">
        <w:r>
          <w:rPr>
            <w:rFonts w:ascii="仿宋" w:eastAsia="仿宋" w:hAnsi="仿宋" w:cs="仿宋" w:hint="eastAsia"/>
            <w:lang w:eastAsia="zh-CN"/>
          </w:rPr>
          <w:t>(四)、安全色及安全标志使用要求</w:t>
        </w:r>
        <w:r>
          <w:tab/>
        </w:r>
        <w:r>
          <w:fldChar w:fldCharType="begin"/>
        </w:r>
        <w:r>
          <w:instrText xml:space="preserve"> PAGEREF _Toc26539 \h </w:instrText>
        </w:r>
        <w:r>
          <w:fldChar w:fldCharType="separate"/>
        </w:r>
        <w:r>
          <w:t>35</w:t>
        </w:r>
        <w:r>
          <w:fldChar w:fldCharType="end"/>
        </w:r>
      </w:hyperlink>
    </w:p>
    <w:p>
      <w:pPr>
        <w:pStyle w:val="TOC2"/>
        <w:tabs>
          <w:tab w:val="right" w:leader="dot" w:pos="8306"/>
        </w:tabs>
      </w:pPr>
      <w:hyperlink w:anchor="_Toc14431" w:history="1">
        <w:r>
          <w:rPr>
            <w:rFonts w:ascii="仿宋" w:eastAsia="仿宋" w:hAnsi="仿宋" w:cs="仿宋" w:hint="eastAsia"/>
            <w:lang w:eastAsia="zh-CN"/>
          </w:rPr>
          <w:t>(五)、防尘防毒措施</w:t>
        </w:r>
        <w:r>
          <w:tab/>
        </w:r>
        <w:r>
          <w:fldChar w:fldCharType="begin"/>
        </w:r>
        <w:r>
          <w:instrText xml:space="preserve"> PAGEREF _Toc14431 \h </w:instrText>
        </w:r>
        <w:r>
          <w:fldChar w:fldCharType="separate"/>
        </w:r>
        <w:r>
          <w:t>36</w:t>
        </w:r>
        <w:r>
          <w:fldChar w:fldCharType="end"/>
        </w:r>
      </w:hyperlink>
    </w:p>
    <w:p>
      <w:pPr>
        <w:pStyle w:val="TOC2"/>
        <w:tabs>
          <w:tab w:val="right" w:leader="dot" w:pos="8306"/>
        </w:tabs>
      </w:pPr>
      <w:hyperlink w:anchor="_Toc22794" w:history="1">
        <w:r>
          <w:rPr>
            <w:rFonts w:ascii="仿宋" w:eastAsia="仿宋" w:hAnsi="仿宋" w:cs="仿宋" w:hint="eastAsia"/>
            <w:lang w:eastAsia="zh-CN"/>
          </w:rPr>
          <w:t>(六)、防静电、触电防护及防雷措施</w:t>
        </w:r>
        <w:r>
          <w:tab/>
        </w:r>
        <w:r>
          <w:fldChar w:fldCharType="begin"/>
        </w:r>
        <w:r>
          <w:instrText xml:space="preserve"> PAGEREF _Toc22794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70" w:history="1">
        <w:r>
          <w:rPr>
            <w:rFonts w:ascii="仿宋" w:eastAsia="仿宋" w:hAnsi="仿宋" w:cs="仿宋" w:hint="eastAsia"/>
            <w:lang w:eastAsia="zh-CN"/>
          </w:rPr>
          <w:t>(七)、机械设备安全保障措施</w:t>
        </w:r>
        <w:r>
          <w:tab/>
        </w:r>
        <w:r>
          <w:fldChar w:fldCharType="begin"/>
        </w:r>
        <w:r>
          <w:instrText xml:space="preserve"> PAGEREF _Toc25570 \h </w:instrText>
        </w:r>
        <w:r>
          <w:fldChar w:fldCharType="separate"/>
        </w:r>
        <w:r>
          <w:t>38</w:t>
        </w:r>
        <w:r>
          <w:fldChar w:fldCharType="end"/>
        </w:r>
      </w:hyperlink>
    </w:p>
    <w:p>
      <w:pPr>
        <w:pStyle w:val="TOC1"/>
        <w:tabs>
          <w:tab w:val="right" w:leader="dot" w:pos="8306"/>
        </w:tabs>
      </w:pPr>
      <w:hyperlink w:anchor="_Toc19775" w:history="1">
        <w:r>
          <w:rPr>
            <w:rFonts w:ascii="仿宋" w:eastAsia="仿宋" w:hAnsi="仿宋" w:cs="仿宋" w:hint="eastAsia"/>
            <w:lang w:eastAsia="zh-CN"/>
          </w:rPr>
          <w:t>十一、新能源高压清洗车项目社会影响</w:t>
        </w:r>
        <w:r>
          <w:tab/>
        </w:r>
        <w:r>
          <w:fldChar w:fldCharType="begin"/>
        </w:r>
        <w:r>
          <w:instrText xml:space="preserve"> PAGEREF _Toc19775 \h </w:instrText>
        </w:r>
        <w:r>
          <w:fldChar w:fldCharType="separate"/>
        </w:r>
        <w:r>
          <w:t>40</w:t>
        </w:r>
        <w:r>
          <w:fldChar w:fldCharType="end"/>
        </w:r>
      </w:hyperlink>
    </w:p>
    <w:p>
      <w:pPr>
        <w:pStyle w:val="TOC2"/>
        <w:tabs>
          <w:tab w:val="right" w:leader="dot" w:pos="8306"/>
        </w:tabs>
      </w:pPr>
      <w:hyperlink w:anchor="_Toc16939" w:history="1">
        <w:r>
          <w:rPr>
            <w:rFonts w:ascii="仿宋" w:eastAsia="仿宋" w:hAnsi="仿宋" w:cs="仿宋" w:hint="eastAsia"/>
            <w:lang w:eastAsia="zh-CN"/>
          </w:rPr>
          <w:t>(一)、社会责任与义务</w:t>
        </w:r>
        <w:r>
          <w:tab/>
        </w:r>
        <w:r>
          <w:fldChar w:fldCharType="begin"/>
        </w:r>
        <w:r>
          <w:instrText xml:space="preserve"> PAGEREF _Toc16939 \h </w:instrText>
        </w:r>
        <w:r>
          <w:fldChar w:fldCharType="separate"/>
        </w:r>
        <w:r>
          <w:t>40</w:t>
        </w:r>
        <w:r>
          <w:fldChar w:fldCharType="end"/>
        </w:r>
      </w:hyperlink>
    </w:p>
    <w:p>
      <w:pPr>
        <w:pStyle w:val="TOC2"/>
        <w:tabs>
          <w:tab w:val="right" w:leader="dot" w:pos="8306"/>
        </w:tabs>
      </w:pPr>
      <w:hyperlink w:anchor="_Toc9292" w:history="1">
        <w:r>
          <w:rPr>
            <w:rFonts w:ascii="仿宋" w:eastAsia="仿宋" w:hAnsi="仿宋" w:cs="仿宋" w:hint="eastAsia"/>
            <w:lang w:eastAsia="zh-CN"/>
          </w:rPr>
          <w:t>(二)、社会参与与沟通</w:t>
        </w:r>
        <w:r>
          <w:tab/>
        </w:r>
        <w:r>
          <w:fldChar w:fldCharType="begin"/>
        </w:r>
        <w:r>
          <w:instrText xml:space="preserve"> PAGEREF _Toc9292 \h </w:instrText>
        </w:r>
        <w:r>
          <w:fldChar w:fldCharType="separate"/>
        </w:r>
        <w:r>
          <w:t>41</w:t>
        </w:r>
        <w:r>
          <w:fldChar w:fldCharType="end"/>
        </w:r>
      </w:hyperlink>
    </w:p>
    <w:p>
      <w:pPr>
        <w:pStyle w:val="TOC1"/>
        <w:tabs>
          <w:tab w:val="right" w:leader="dot" w:pos="8306"/>
        </w:tabs>
      </w:pPr>
      <w:hyperlink w:anchor="_Toc32623" w:history="1">
        <w:r>
          <w:rPr>
            <w:rFonts w:ascii="仿宋" w:eastAsia="仿宋" w:hAnsi="仿宋" w:cs="仿宋" w:hint="eastAsia"/>
            <w:lang w:eastAsia="zh-CN"/>
          </w:rPr>
          <w:t>十二、新能源高压清洗车项目计划安排</w:t>
        </w:r>
        <w:r>
          <w:tab/>
        </w:r>
        <w:r>
          <w:fldChar w:fldCharType="begin"/>
        </w:r>
        <w:r>
          <w:instrText xml:space="preserve"> PAGEREF _Toc32623 \h </w:instrText>
        </w:r>
        <w:r>
          <w:fldChar w:fldCharType="separate"/>
        </w:r>
        <w:r>
          <w:t>41</w:t>
        </w:r>
        <w:r>
          <w:fldChar w:fldCharType="end"/>
        </w:r>
      </w:hyperlink>
    </w:p>
    <w:p>
      <w:pPr>
        <w:pStyle w:val="TOC2"/>
        <w:tabs>
          <w:tab w:val="right" w:leader="dot" w:pos="8306"/>
        </w:tabs>
      </w:pPr>
      <w:hyperlink w:anchor="_Toc23780" w:history="1">
        <w:r>
          <w:rPr>
            <w:rFonts w:ascii="仿宋" w:eastAsia="仿宋" w:hAnsi="仿宋" w:cs="仿宋" w:hint="eastAsia"/>
            <w:lang w:eastAsia="zh-CN"/>
          </w:rPr>
          <w:t>(一)、建设周期</w:t>
        </w:r>
        <w:r>
          <w:tab/>
        </w:r>
        <w:r>
          <w:fldChar w:fldCharType="begin"/>
        </w:r>
        <w:r>
          <w:instrText xml:space="preserve"> PAGEREF _Toc23780 \h </w:instrText>
        </w:r>
        <w:r>
          <w:fldChar w:fldCharType="separate"/>
        </w:r>
        <w:r>
          <w:t>41</w:t>
        </w:r>
        <w:r>
          <w:fldChar w:fldCharType="end"/>
        </w:r>
      </w:hyperlink>
    </w:p>
    <w:p>
      <w:pPr>
        <w:pStyle w:val="TOC2"/>
        <w:tabs>
          <w:tab w:val="right" w:leader="dot" w:pos="8306"/>
        </w:tabs>
      </w:pPr>
      <w:hyperlink w:anchor="_Toc23964" w:history="1">
        <w:r>
          <w:rPr>
            <w:rFonts w:ascii="仿宋" w:eastAsia="仿宋" w:hAnsi="仿宋" w:cs="仿宋" w:hint="eastAsia"/>
            <w:lang w:eastAsia="zh-CN"/>
          </w:rPr>
          <w:t>(二)、建设进度</w:t>
        </w:r>
        <w:r>
          <w:tab/>
        </w:r>
        <w:r>
          <w:fldChar w:fldCharType="begin"/>
        </w:r>
        <w:r>
          <w:instrText xml:space="preserve"> PAGEREF _Toc23964 \h </w:instrText>
        </w:r>
        <w:r>
          <w:fldChar w:fldCharType="separate"/>
        </w:r>
        <w:r>
          <w:t>42</w:t>
        </w:r>
        <w:r>
          <w:fldChar w:fldCharType="end"/>
        </w:r>
      </w:hyperlink>
    </w:p>
    <w:p>
      <w:pPr>
        <w:pStyle w:val="TOC2"/>
        <w:tabs>
          <w:tab w:val="right" w:leader="dot" w:pos="8306"/>
        </w:tabs>
      </w:pPr>
      <w:hyperlink w:anchor="_Toc7967" w:history="1">
        <w:r>
          <w:rPr>
            <w:rFonts w:ascii="仿宋" w:eastAsia="仿宋" w:hAnsi="仿宋" w:cs="仿宋" w:hint="eastAsia"/>
            <w:lang w:eastAsia="zh-CN"/>
          </w:rPr>
          <w:t>(三)、进度安排注意事项</w:t>
        </w:r>
        <w:r>
          <w:tab/>
        </w:r>
        <w:r>
          <w:fldChar w:fldCharType="begin"/>
        </w:r>
        <w:r>
          <w:instrText xml:space="preserve"> PAGEREF _Toc7967 \h </w:instrText>
        </w:r>
        <w:r>
          <w:fldChar w:fldCharType="separate"/>
        </w:r>
        <w:r>
          <w:t>43</w:t>
        </w:r>
        <w:r>
          <w:fldChar w:fldCharType="end"/>
        </w:r>
      </w:hyperlink>
    </w:p>
    <w:p>
      <w:pPr>
        <w:pStyle w:val="TOC2"/>
        <w:tabs>
          <w:tab w:val="right" w:leader="dot" w:pos="8306"/>
        </w:tabs>
      </w:pPr>
      <w:hyperlink w:anchor="_Toc8900" w:history="1">
        <w:r>
          <w:rPr>
            <w:rFonts w:ascii="仿宋" w:eastAsia="仿宋" w:hAnsi="仿宋" w:cs="仿宋" w:hint="eastAsia"/>
            <w:lang w:eastAsia="zh-CN"/>
          </w:rPr>
          <w:t>(四)、人力资源配置</w:t>
        </w:r>
        <w:r>
          <w:tab/>
        </w:r>
        <w:r>
          <w:fldChar w:fldCharType="begin"/>
        </w:r>
        <w:r>
          <w:instrText xml:space="preserve"> PAGEREF _Toc8900 \h </w:instrText>
        </w:r>
        <w:r>
          <w:fldChar w:fldCharType="separate"/>
        </w:r>
        <w:r>
          <w:t>45</w:t>
        </w:r>
        <w:r>
          <w:fldChar w:fldCharType="end"/>
        </w:r>
      </w:hyperlink>
    </w:p>
    <w:p>
      <w:pPr>
        <w:pStyle w:val="TOC1"/>
        <w:tabs>
          <w:tab w:val="right" w:leader="dot" w:pos="8306"/>
        </w:tabs>
      </w:pPr>
      <w:hyperlink w:anchor="_Toc17847" w:history="1">
        <w:r>
          <w:rPr>
            <w:rFonts w:ascii="仿宋" w:eastAsia="仿宋" w:hAnsi="仿宋" w:cs="仿宋" w:hint="eastAsia"/>
            <w:lang w:eastAsia="zh-CN"/>
          </w:rPr>
          <w:t>十三、营销与推广策略</w:t>
        </w:r>
        <w:r>
          <w:tab/>
        </w:r>
        <w:r>
          <w:fldChar w:fldCharType="begin"/>
        </w:r>
        <w:r>
          <w:instrText xml:space="preserve"> PAGEREF _Toc17847 \h </w:instrText>
        </w:r>
        <w:r>
          <w:fldChar w:fldCharType="separate"/>
        </w:r>
        <w:r>
          <w:t>46</w:t>
        </w:r>
        <w:r>
          <w:fldChar w:fldCharType="end"/>
        </w:r>
      </w:hyperlink>
    </w:p>
    <w:p>
      <w:pPr>
        <w:pStyle w:val="TOC2"/>
        <w:tabs>
          <w:tab w:val="right" w:leader="dot" w:pos="8306"/>
        </w:tabs>
      </w:pPr>
      <w:hyperlink w:anchor="_Toc32740" w:history="1">
        <w:r>
          <w:rPr>
            <w:rFonts w:ascii="仿宋" w:eastAsia="仿宋" w:hAnsi="仿宋" w:cs="仿宋" w:hint="eastAsia"/>
            <w:lang w:eastAsia="zh-CN"/>
          </w:rPr>
          <w:t>(一)、产品/服务定位与特点</w:t>
        </w:r>
        <w:r>
          <w:tab/>
        </w:r>
        <w:r>
          <w:fldChar w:fldCharType="begin"/>
        </w:r>
        <w:r>
          <w:instrText xml:space="preserve"> PAGEREF _Toc32740 \h </w:instrText>
        </w:r>
        <w:r>
          <w:fldChar w:fldCharType="separate"/>
        </w:r>
        <w:r>
          <w:t>46</w:t>
        </w:r>
        <w:r>
          <w:fldChar w:fldCharType="end"/>
        </w:r>
      </w:hyperlink>
    </w:p>
    <w:p>
      <w:pPr>
        <w:pStyle w:val="TOC2"/>
        <w:tabs>
          <w:tab w:val="right" w:leader="dot" w:pos="8306"/>
        </w:tabs>
      </w:pPr>
      <w:hyperlink w:anchor="_Toc8766" w:history="1">
        <w:r>
          <w:rPr>
            <w:rFonts w:ascii="仿宋" w:eastAsia="仿宋" w:hAnsi="仿宋" w:cs="仿宋" w:hint="eastAsia"/>
            <w:lang w:eastAsia="zh-CN"/>
          </w:rPr>
          <w:t>(二)、市场定位与竞争分析</w:t>
        </w:r>
        <w:r>
          <w:tab/>
        </w:r>
        <w:r>
          <w:fldChar w:fldCharType="begin"/>
        </w:r>
        <w:r>
          <w:instrText xml:space="preserve"> PAGEREF _Toc8766 \h </w:instrText>
        </w:r>
        <w:r>
          <w:fldChar w:fldCharType="separate"/>
        </w:r>
        <w:r>
          <w:t>47</w:t>
        </w:r>
        <w:r>
          <w:fldChar w:fldCharType="end"/>
        </w:r>
      </w:hyperlink>
    </w:p>
    <w:p>
      <w:pPr>
        <w:pStyle w:val="TOC2"/>
        <w:tabs>
          <w:tab w:val="right" w:leader="dot" w:pos="8306"/>
        </w:tabs>
      </w:pPr>
      <w:hyperlink w:anchor="_Toc23235" w:history="1">
        <w:r>
          <w:rPr>
            <w:rFonts w:ascii="仿宋" w:eastAsia="仿宋" w:hAnsi="仿宋" w:cs="仿宋" w:hint="eastAsia"/>
            <w:lang w:eastAsia="zh-CN"/>
          </w:rPr>
          <w:t>(三)、营销渠道与策略</w:t>
        </w:r>
        <w:r>
          <w:tab/>
        </w:r>
        <w:r>
          <w:fldChar w:fldCharType="begin"/>
        </w:r>
        <w:r>
          <w:instrText xml:space="preserve"> PAGEREF _Toc23235 \h </w:instrText>
        </w:r>
        <w:r>
          <w:fldChar w:fldCharType="separate"/>
        </w:r>
        <w:r>
          <w:t>48</w:t>
        </w:r>
        <w:r>
          <w:fldChar w:fldCharType="end"/>
        </w:r>
      </w:hyperlink>
    </w:p>
    <w:p>
      <w:pPr>
        <w:pStyle w:val="TOC2"/>
        <w:tabs>
          <w:tab w:val="right" w:leader="dot" w:pos="8306"/>
        </w:tabs>
      </w:pPr>
      <w:hyperlink w:anchor="_Toc23529" w:history="1">
        <w:r>
          <w:rPr>
            <w:rFonts w:ascii="仿宋" w:eastAsia="仿宋" w:hAnsi="仿宋" w:cs="仿宋" w:hint="eastAsia"/>
            <w:lang w:eastAsia="zh-CN"/>
          </w:rPr>
          <w:t>(四)、推广与宣传活动</w:t>
        </w:r>
        <w:r>
          <w:tab/>
        </w:r>
        <w:r>
          <w:fldChar w:fldCharType="begin"/>
        </w:r>
        <w:r>
          <w:instrText xml:space="preserve"> PAGEREF _Toc23529 \h </w:instrText>
        </w:r>
        <w:r>
          <w:fldChar w:fldCharType="separate"/>
        </w:r>
        <w:r>
          <w:t>50</w:t>
        </w:r>
        <w:r>
          <w:fldChar w:fldCharType="end"/>
        </w:r>
      </w:hyperlink>
    </w:p>
    <w:p>
      <w:pPr>
        <w:pStyle w:val="TOC1"/>
        <w:tabs>
          <w:tab w:val="right" w:leader="dot" w:pos="8306"/>
        </w:tabs>
      </w:pPr>
      <w:hyperlink w:anchor="_Toc31751" w:history="1">
        <w:r>
          <w:rPr>
            <w:rFonts w:ascii="仿宋" w:eastAsia="仿宋" w:hAnsi="仿宋" w:cs="仿宋" w:hint="eastAsia"/>
            <w:lang w:eastAsia="zh-CN"/>
          </w:rPr>
          <w:t>十四、新能源高压清洗车项目工程方案分析</w:t>
        </w:r>
        <w:r>
          <w:tab/>
        </w:r>
        <w:r>
          <w:fldChar w:fldCharType="begin"/>
        </w:r>
        <w:r>
          <w:instrText xml:space="preserve"> PAGEREF _Toc31751 \h </w:instrText>
        </w:r>
        <w:r>
          <w:fldChar w:fldCharType="separate"/>
        </w:r>
        <w:r>
          <w:t>55</w:t>
        </w:r>
        <w:r>
          <w:fldChar w:fldCharType="end"/>
        </w:r>
      </w:hyperlink>
    </w:p>
    <w:p>
      <w:pPr>
        <w:pStyle w:val="TOC2"/>
        <w:tabs>
          <w:tab w:val="right" w:leader="dot" w:pos="8306"/>
        </w:tabs>
      </w:pPr>
      <w:hyperlink w:anchor="_Toc1517" w:history="1">
        <w:r>
          <w:rPr>
            <w:rFonts w:ascii="仿宋" w:eastAsia="仿宋" w:hAnsi="仿宋" w:cs="仿宋" w:hint="eastAsia"/>
            <w:lang w:eastAsia="zh-CN"/>
          </w:rPr>
          <w:t>(一)、建筑工程设计原则</w:t>
        </w:r>
        <w:r>
          <w:tab/>
        </w:r>
        <w:r>
          <w:fldChar w:fldCharType="begin"/>
        </w:r>
        <w:r>
          <w:instrText xml:space="preserve"> PAGEREF _Toc1517 \h </w:instrText>
        </w:r>
        <w:r>
          <w:fldChar w:fldCharType="separate"/>
        </w:r>
        <w:r>
          <w:t>55</w:t>
        </w:r>
        <w:r>
          <w:fldChar w:fldCharType="end"/>
        </w:r>
      </w:hyperlink>
    </w:p>
    <w:p>
      <w:pPr>
        <w:pStyle w:val="TOC2"/>
        <w:tabs>
          <w:tab w:val="right" w:leader="dot" w:pos="8306"/>
        </w:tabs>
      </w:pPr>
      <w:hyperlink w:anchor="_Toc27311" w:history="1">
        <w:r>
          <w:rPr>
            <w:rFonts w:ascii="仿宋" w:eastAsia="仿宋" w:hAnsi="仿宋" w:cs="仿宋" w:hint="eastAsia"/>
            <w:lang w:eastAsia="zh-CN"/>
          </w:rPr>
          <w:t>(二)、土建工程建设指标</w:t>
        </w:r>
        <w:r>
          <w:tab/>
        </w:r>
        <w:r>
          <w:fldChar w:fldCharType="begin"/>
        </w:r>
        <w:r>
          <w:instrText xml:space="preserve"> PAGEREF _Toc27311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098"/>
      <w:r>
        <w:rPr>
          <w:rFonts w:ascii="仿宋" w:eastAsia="仿宋" w:hAnsi="仿宋" w:cs="仿宋" w:hint="eastAsia"/>
          <w:sz w:val="28"/>
          <w:lang w:eastAsia="zh-CN"/>
        </w:rPr>
        <w:t>一、新能源高压清洗车项目建设背景及必要性分析</w:t>
      </w:r>
      <w:bookmarkEnd w:id="2"/>
    </w:p>
    <w:p>
      <w:pPr>
        <w:pStyle w:val="Heading2"/>
        <w:rPr>
          <w:rFonts w:ascii="仿宋" w:eastAsia="仿宋" w:hAnsi="仿宋" w:cs="仿宋" w:hint="eastAsia"/>
          <w:lang w:eastAsia="zh-CN"/>
        </w:rPr>
      </w:pPr>
      <w:bookmarkStart w:id="3" w:name="_Toc21478"/>
      <w:r>
        <w:rPr>
          <w:rFonts w:ascii="仿宋" w:eastAsia="仿宋" w:hAnsi="仿宋" w:cs="仿宋" w:hint="eastAsia"/>
          <w:lang w:eastAsia="zh-CN"/>
        </w:rPr>
        <w:t>(一)、新能源高压清洗车项目背景分析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能源高压清洗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能源高压清洗车项目在这个潮流中的定位。同时，我们将关注行业内涌现的新兴机遇，以便新能源高压清洗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能源高压清洗车项目提供了强大的发展动力。我们将聚焦于行业内最新的技术发展趋势，包括但不限于人工智能、大数据分析、物联网等领域。通过深度的技术研究，我们将确保新能源高压清洗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能源高压清洗车项目发展的源泉。我们将投入更多的精力对市场需求进行深入剖析，超越表面的需求，深入挖掘潜在的市场痛点和机遇。通过对市场需求的细致了解，新能源高压清洗车项目将更有针对性地设计解决方案，满足市场的多样化需求，从而更好地促进新能源高压清洗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能源高压清洗车项目战略至关重要。我们将对竞争态势进行更为深入的分析，包括但不限于市场份额、产品特点、客户满意度等多个维度。通过深度的竞争分析，新能源高压清洗车项目将能够更准确地把握市场脉搏，制定具有竞争力的新能源高压清洗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新能源高压清洗车项目的发展具有直接的影响。我们将进行更为全面的法规和政策分析，了解行业发展中的潜在法律风险和合规挑战。通过充分了解和遵守相关法规，新能源高压清洗车项目将确保在法律框架内合法合规运营，为新能源高压清洗车项目的稳健发展提供有力支持。</w:t>
      </w:r>
    </w:p>
    <w:p>
      <w:pPr>
        <w:pStyle w:val="Heading2"/>
        <w:ind w:firstLine="560" w:firstLineChars="200"/>
        <w:rPr>
          <w:rFonts w:ascii="仿宋" w:eastAsia="仿宋" w:hAnsi="仿宋" w:cs="仿宋" w:hint="eastAsia"/>
          <w:sz w:val="28"/>
          <w:lang w:eastAsia="zh-CN"/>
        </w:rPr>
      </w:pPr>
      <w:bookmarkStart w:id="4" w:name="_Toc31102"/>
      <w:r>
        <w:rPr>
          <w:rFonts w:ascii="仿宋" w:eastAsia="仿宋" w:hAnsi="仿宋" w:cs="仿宋" w:hint="eastAsia"/>
          <w:sz w:val="28"/>
          <w:lang w:eastAsia="zh-CN"/>
        </w:rPr>
        <w:t>(二)、新能源高压清洗车项目建设必要性分析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建设的迫切性源于对行业发展趋势的深刻洞察。我们正处于一个行业变革的时代，科技创新、数字化转型成为企业发展的关键动力。新能源高压清洗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建设不仅仅是为了跟上潮流，更是为了通过技术创新推动企业的持续发展。通过引入先进的技术和解决方案，新能源高压清洗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能源高压清洗车项目的建设成为必然选择，通过提高产品质量、拓展服务领域，从而在竞争中获得更多的机会。新能源高压清洗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能源高压清洗车项目建设的必要性体现在对客户需求更精准的满足。通过新能源高压清洗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建设的背后是对企业持续创新的追求。只有通过不断创新，企业才能在竞争中立于不败之地。新能源高压清洗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159"/>
      <w:r>
        <w:rPr>
          <w:rFonts w:ascii="仿宋" w:eastAsia="仿宋" w:hAnsi="仿宋" w:cs="仿宋" w:hint="eastAsia"/>
          <w:sz w:val="28"/>
          <w:lang w:eastAsia="zh-CN"/>
        </w:rPr>
        <w:t>二、新能源高压清洗车项目绩效评估</w:t>
      </w:r>
      <w:bookmarkEnd w:id="5"/>
    </w:p>
    <w:p>
      <w:pPr>
        <w:pStyle w:val="Heading2"/>
        <w:rPr>
          <w:rFonts w:ascii="仿宋" w:eastAsia="仿宋" w:hAnsi="仿宋" w:cs="仿宋" w:hint="eastAsia"/>
          <w:lang w:eastAsia="zh-CN"/>
        </w:rPr>
      </w:pPr>
      <w:bookmarkStart w:id="6" w:name="_Toc2427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高压清洗车项目中，我们设计了一套全面的绩效评估指标，以确保新能源高压清洗车项目的可控和成功交付。这些指标跨足新能源高压清洗车项目目标、成本、进度和质量等多个维度，为我们提供了全面洞察新能源高压清洗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目标达成率是我们关注的首要指标。我们设定了明确的目标，并通过定期监测和评估，迅速发现并应对潜在的目标偏差。这为新能源高压清洗车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成本绩效是另一个核心关注点。通过实际成本与预算成本的对比分析，我们深入了解成本差异的原因，及时调整资源分配，保持新能源高压清洗车项目在经济效益方面的合理水平。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进度作为关键的绩效指标之一，得到了精心的关注。我们制定了详细的新能源高压清洗车项目进度计划，并设立了进度符合度指标，确保实际进度与计划进度保持一致。这使我们能够快速发现和解决潜在的进度问题，保持新能源高压清洗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能源高压清洗车项目绩效的不可或缺的一环。我们引入了一系列的质量标准和客户满意度指标，以确保新能源高压清洗车项目交付的成果在质量上达到或超越预期水平。通过持续监测这些指标，我们努力提升新能源高压清洗车项目整体质量水平，为新能源高压清洗车项目的成功交付提供有力保障。通过这些科学且全面的绩效评估，我们能够更好地引导新能源高压清洗车项目的持续改进，确保新能源高压清洗车项目目标的顺利达成。</w:t>
      </w:r>
    </w:p>
    <w:p>
      <w:pPr>
        <w:pStyle w:val="Heading2"/>
        <w:ind w:firstLine="560" w:firstLineChars="200"/>
        <w:rPr>
          <w:rFonts w:ascii="仿宋" w:eastAsia="仿宋" w:hAnsi="仿宋" w:cs="仿宋" w:hint="eastAsia"/>
          <w:sz w:val="28"/>
          <w:lang w:eastAsia="zh-CN"/>
        </w:rPr>
      </w:pPr>
      <w:bookmarkStart w:id="7" w:name="_Toc2632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绩效评估是新能源高压清洗车项目中的关键环节，为确保新能源高压清洗车项目达到预期目标，我们采用了多层次、多维度的绩效评估方法。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新能源高压清洗车项目的战略目标对齐，确保每个决策和行动都与新能源高压清洗车项目整体目标保持一致。团队会定期召开战略对齐会议，审视当前工作与新能源高压清洗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能源高压清洗车项目进度、质量、成本和风险等方面。这些指标通过数据收集和分析，为新能源高压清洗车项目管理团队提供了客观的评估依据。例如，我们通过新能源高压清洗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能源高压清洗车项目内部，还考虑了新能源高压清洗车项目对外部环境的影响。我们定期进行干系人满意度调查，以了解各利益相关方对新能源高压清洗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这种多层次、多角度的绩效评估方法，使得我们能够全面了解新能源高压清洗车项目的运行状态，及时做出调整，确保新能源高压清洗车项目在不断变化的环境中保持稳健前行。</w:t>
      </w:r>
    </w:p>
    <w:p>
      <w:pPr>
        <w:pStyle w:val="Heading2"/>
        <w:ind w:firstLine="560" w:firstLineChars="200"/>
        <w:rPr>
          <w:rFonts w:ascii="仿宋" w:eastAsia="仿宋" w:hAnsi="仿宋" w:cs="仿宋" w:hint="eastAsia"/>
          <w:sz w:val="28"/>
          <w:lang w:eastAsia="zh-CN"/>
        </w:rPr>
      </w:pPr>
      <w:bookmarkStart w:id="8" w:name="_Toc1203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为了确保新能源高压清洗车项目的有效管理和不断优化，我们采用了精心设计的绩效评估周期。这个周期旨在实现灵活、实时和全面的评估，以适应新能源高压清洗车项目执行中的各种挑战。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能源高压清洗车项目的不同需求，分为短期、中期和长期。短期评估关注每个迭代或工作周期，以及时发现和解决当前任务中的问题。中期评估涵盖几个迭代，深入了解整体新能源高压清洗车项目的趋势和性能。长期评估则着眼于整个新能源高压清洗车项目阶段，确保新能源高压清洗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能源高压清洗车项目管理工具和协作平台，团队成员能够随时更新和分享新能源高压清洗车项目数据。这种实时性的反馈机制使我们能够及时察觉潜在问题，快速调整，保持新能源高压清洗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新能源高压清洗车项目的决策制定密不可分。每个周期的新能源高压清洗车项目回顾会议成为集体总结经验、识别问题深层次原因并找到创新解决方案的平台。这种定期的反思与调整机制使新能源高压清洗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9874"/>
      <w:r>
        <w:rPr>
          <w:rFonts w:ascii="仿宋" w:eastAsia="仿宋" w:hAnsi="仿宋" w:cs="仿宋" w:hint="eastAsia"/>
          <w:sz w:val="28"/>
          <w:lang w:eastAsia="zh-CN"/>
        </w:rPr>
        <w:t>三、新能源高压清洗车项目可持续发展</w:t>
      </w:r>
      <w:bookmarkEnd w:id="9"/>
    </w:p>
    <w:p>
      <w:pPr>
        <w:pStyle w:val="Heading2"/>
        <w:rPr>
          <w:rFonts w:ascii="仿宋" w:eastAsia="仿宋" w:hAnsi="仿宋" w:cs="仿宋" w:hint="eastAsia"/>
          <w:lang w:eastAsia="zh-CN"/>
        </w:rPr>
      </w:pPr>
      <w:bookmarkStart w:id="10" w:name="_Toc1557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高压清洗车项目中，新能源高压清洗车项目团队着眼于未来，明确了可持续发展的战略方向。制定的具体可持续发展目标包括降低资源使用、采用环保技术、最大化社会效益等。这一步骤不仅有助于新能源高压清洗车项目在环保和社会责任方面达到最高标准，也为未来提供了明确的指引，确保新能源高压清洗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可持续实践的融入新能源高压清洗车项目管理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能源高压清洗车项目管理周期。从新能源高压清洗车项目规划开始，新能源高压清洗车项目团队就考虑了环境和社会的因素。在执行阶段，新能源高压清洗车项目团队积极推动绿色技术的应用，优化资源利用。此外，关注员工的社会责任，通过培训和沟通活动提高员工对可持续发展的认知，使他们能够在日常工作中践行可持续实践。这些举措不仅为新能源高压清洗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170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能源高压清洗车项目的可持续发展理念，我们深信环保与社会责任是新能源高压清洗车项目成功的关键支柱。在新能源高压清洗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团队通过引入先进的环保技术、建立高效的废物处理系统以及推动能源节约措施，积极履行环保责任。定期的环保监测和评估确保新能源高压清洗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不仅致力于自身可持续发展，还注重对社会的回馈。通过支持社区新能源高压清洗车项目、参与慈善事业、提供培训机会等方式，新能源高压清洗车项目积极履行社会责任。与当地社区建立积极互动，关注员工的工作与生活平衡，以及员工的身心健康，是新能源高压清洗车项目在社会责任层面的关键举措。这样的实践不仅增强了新能源高压清洗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4132"/>
      <w:r>
        <w:rPr>
          <w:rFonts w:ascii="仿宋" w:eastAsia="仿宋" w:hAnsi="仿宋" w:cs="仿宋" w:hint="eastAsia"/>
          <w:sz w:val="28"/>
          <w:lang w:eastAsia="zh-CN"/>
        </w:rPr>
        <w:t>四、新能源高压清洗车项目土建工程</w:t>
      </w:r>
      <w:bookmarkEnd w:id="12"/>
    </w:p>
    <w:p>
      <w:pPr>
        <w:pStyle w:val="Heading2"/>
        <w:rPr>
          <w:rFonts w:ascii="仿宋" w:eastAsia="仿宋" w:hAnsi="仿宋" w:cs="仿宋" w:hint="eastAsia"/>
          <w:lang w:eastAsia="zh-CN"/>
        </w:rPr>
      </w:pPr>
      <w:bookmarkStart w:id="13" w:name="_Toc693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在新能源高压清洗车项目的建筑工程设计中，我们将秉承一系列重要的设计原则，以确保新能源高压清洗车项目建筑在功能、美观、可持续性等方面达到最佳效果。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首要原则是确保建筑的功能性得到最大化的发挥。我们将充分理解新能源高压清洗车项目的实际需求，合理布局各个功能区域，保证建筑在满足业务需求的同时，提供高效的工作环境。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在建筑设计中，我们将综合考虑建设和运营成本。通过精细的经济效益分析，确保设计方案在高效利用资源的同时，对新能源高压清洗车项目的长期盈利能力有积极的贡献。</w:t>
      </w:r>
    </w:p>
    <w:p>
      <w:pPr>
        <w:pStyle w:val="Heading2"/>
        <w:ind w:firstLine="560" w:firstLineChars="200"/>
        <w:rPr>
          <w:rFonts w:ascii="仿宋" w:eastAsia="仿宋" w:hAnsi="仿宋" w:cs="仿宋" w:hint="eastAsia"/>
          <w:sz w:val="28"/>
          <w:lang w:eastAsia="zh-CN"/>
        </w:rPr>
      </w:pPr>
      <w:bookmarkStart w:id="14" w:name="_Toc1202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高压清洗车项目的土建工程设计中，我们将精准设定设计年限，结合新能源高压清洗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能源高压清洗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885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新能源高压清洗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能源高压清洗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能源高压清洗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845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本期工程新能源高压清洗车项目预计总建筑面积XXX平方米，其中：计容建筑面积XXX平方米，计划建筑工程投资XX万元，占新能源高压清洗车项目总投资的XX%。</w:t>
      </w:r>
    </w:p>
    <w:p>
      <w:pPr>
        <w:pStyle w:val="Heading1"/>
        <w:ind w:firstLine="560" w:firstLineChars="200"/>
        <w:rPr>
          <w:rFonts w:ascii="仿宋" w:eastAsia="仿宋" w:hAnsi="仿宋" w:cs="仿宋" w:hint="eastAsia"/>
          <w:sz w:val="28"/>
          <w:lang w:eastAsia="zh-CN"/>
        </w:rPr>
      </w:pPr>
      <w:bookmarkStart w:id="17" w:name="_Toc9793"/>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2054"/>
      <w:r>
        <w:rPr>
          <w:rFonts w:ascii="仿宋" w:eastAsia="仿宋" w:hAnsi="仿宋" w:cs="仿宋" w:hint="eastAsia"/>
          <w:lang w:eastAsia="zh-CN"/>
        </w:rPr>
        <w:t>(一)、新能源高压清洗车行业分析</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行业一直以来都是市场的关注焦点。行业内的发展趋势、竞争态势以及潜在机会都对新能源高压清洗车项目的推进产生深远的影响。通过深入研究行业的整体概貌，我们将更好地理解行业的核心特征，为新能源高压清洗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高压清洗车行业，技术一直是推动创新和发展的关键因素。我们将对当前技术趋势进行详尽分析，包括但不限于人工智能、大数据应用、先进制造技术等。这有助于新能源高压清洗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能源高压清洗车项目成功的基础。我们将对主要竞争对手进行深入研究，包括其市场份额、产品特点、市场定位等。通过全面了解竞争对手的优势和劣势，新能源高压清洗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31133"/>
      <w:r>
        <w:rPr>
          <w:rFonts w:ascii="仿宋" w:eastAsia="仿宋" w:hAnsi="仿宋" w:cs="仿宋" w:hint="eastAsia"/>
          <w:sz w:val="28"/>
          <w:lang w:eastAsia="zh-CN"/>
        </w:rPr>
        <w:t>(二)、新能源高压清洗车市场分析预测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能源高压清洗车市场未来的增长趋势。这包括市场的整体规模、各细分领域的发展趋势等。新能源高压清洗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能源高压清洗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能源高压清洗车项目实施过程中需要充分考虑的因素。我们将对市场风险进行全面评估，包括但不限于政策法规风险、市场竞争风险、技术变革风险等。通过对潜在风险的深入分析，新能源高压清洗车项目可以制定相应的风险缓解策略，降低不确定性对新能源高压清洗车项目的影响。</w:t>
      </w:r>
    </w:p>
    <w:p>
      <w:pPr>
        <w:pStyle w:val="Heading1"/>
        <w:ind w:firstLine="560" w:firstLineChars="200"/>
        <w:rPr>
          <w:rFonts w:ascii="仿宋" w:eastAsia="仿宋" w:hAnsi="仿宋" w:cs="仿宋" w:hint="eastAsia"/>
          <w:sz w:val="28"/>
          <w:lang w:eastAsia="zh-CN"/>
        </w:rPr>
      </w:pPr>
      <w:bookmarkStart w:id="20" w:name="_Toc8103"/>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6024"/>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的技术管理特点体现在其创新导向。通过引入最先进的技术趋势和解决方案，新能源高压清洗车项目致力于提升科技含量、提高质量和效率水平。这意味着我们将采用最新的工具和方法，确保新能源高压清洗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https://d.book118.com/107032113136006052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3B4FF8"/>
    <w:rsid w:val="0C3B4F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032113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2024-03-03T22:52:00Z</dcterms:created>
  <dcterms:modified xsi:type="dcterms:W3CDTF">2024-03-03T22:53:05Z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8C86BFEB5D854CDC80A5A47DE9B9C915_11</vt:lpwstr>
  </property>
  <property fmtid="{D5CDD505-2E9C-101B-9397-08002B2CF9AE}" pid="3" name="KSOProductBuildVer">
    <vt:lpwstr>2052-12.1.0.16388</vt:lpwstr>
  </property>
</Properties>
</file>