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0" w:history="1">
        <w:r>
          <w:rPr>
            <w:rFonts w:ascii="仿宋" w:eastAsia="仿宋" w:hAnsi="仿宋" w:cs="仿宋" w:hint="eastAsia"/>
            <w:lang w:eastAsia="zh-CN"/>
          </w:rPr>
          <w:t>序言</w:t>
        </w:r>
        <w:r>
          <w:tab/>
        </w:r>
        <w:r>
          <w:fldChar w:fldCharType="begin"/>
        </w:r>
        <w:r>
          <w:instrText xml:space="preserve"> PAGEREF _Toc31400 \h </w:instrText>
        </w:r>
        <w:r>
          <w:fldChar w:fldCharType="separate"/>
        </w:r>
        <w:r>
          <w:t>3</w:t>
        </w:r>
        <w:r>
          <w:fldChar w:fldCharType="end"/>
        </w:r>
      </w:hyperlink>
    </w:p>
    <w:p>
      <w:pPr>
        <w:pStyle w:val="TOC1"/>
        <w:tabs>
          <w:tab w:val="right" w:leader="dot" w:pos="8306"/>
        </w:tabs>
      </w:pPr>
      <w:hyperlink w:anchor="_Toc2595" w:history="1">
        <w:r>
          <w:rPr>
            <w:rFonts w:ascii="仿宋" w:eastAsia="仿宋" w:hAnsi="仿宋" w:cs="仿宋" w:hint="eastAsia"/>
            <w:lang w:eastAsia="zh-CN"/>
          </w:rPr>
          <w:t>一、专用油墨项目危机管理</w:t>
        </w:r>
        <w:r>
          <w:tab/>
        </w:r>
        <w:r>
          <w:fldChar w:fldCharType="begin"/>
        </w:r>
        <w:r>
          <w:instrText xml:space="preserve"> PAGEREF _Toc2595 \h </w:instrText>
        </w:r>
        <w:r>
          <w:fldChar w:fldCharType="separate"/>
        </w:r>
        <w:r>
          <w:t>3</w:t>
        </w:r>
        <w:r>
          <w:fldChar w:fldCharType="end"/>
        </w:r>
      </w:hyperlink>
    </w:p>
    <w:p>
      <w:pPr>
        <w:pStyle w:val="TOC2"/>
        <w:tabs>
          <w:tab w:val="right" w:leader="dot" w:pos="8306"/>
        </w:tabs>
      </w:pPr>
      <w:hyperlink w:anchor="_Toc25214" w:history="1">
        <w:r>
          <w:rPr>
            <w:rFonts w:ascii="仿宋" w:eastAsia="仿宋" w:hAnsi="仿宋" w:cs="仿宋" w:hint="eastAsia"/>
            <w:lang w:eastAsia="zh-CN"/>
          </w:rPr>
          <w:t>(一)、危机预警与识别</w:t>
        </w:r>
        <w:r>
          <w:tab/>
        </w:r>
        <w:r>
          <w:fldChar w:fldCharType="begin"/>
        </w:r>
        <w:r>
          <w:instrText xml:space="preserve"> PAGEREF _Toc25214 \h </w:instrText>
        </w:r>
        <w:r>
          <w:fldChar w:fldCharType="separate"/>
        </w:r>
        <w:r>
          <w:t>3</w:t>
        </w:r>
        <w:r>
          <w:fldChar w:fldCharType="end"/>
        </w:r>
      </w:hyperlink>
    </w:p>
    <w:p>
      <w:pPr>
        <w:pStyle w:val="TOC2"/>
        <w:tabs>
          <w:tab w:val="right" w:leader="dot" w:pos="8306"/>
        </w:tabs>
      </w:pPr>
      <w:hyperlink w:anchor="_Toc11897" w:history="1">
        <w:r>
          <w:rPr>
            <w:rFonts w:ascii="仿宋" w:eastAsia="仿宋" w:hAnsi="仿宋" w:cs="仿宋" w:hint="eastAsia"/>
            <w:lang w:eastAsia="zh-CN"/>
          </w:rPr>
          <w:t>(二)、危机应对与恢复</w:t>
        </w:r>
        <w:r>
          <w:tab/>
        </w:r>
        <w:r>
          <w:fldChar w:fldCharType="begin"/>
        </w:r>
        <w:r>
          <w:instrText xml:space="preserve"> PAGEREF _Toc11897 \h </w:instrText>
        </w:r>
        <w:r>
          <w:fldChar w:fldCharType="separate"/>
        </w:r>
        <w:r>
          <w:t>4</w:t>
        </w:r>
        <w:r>
          <w:fldChar w:fldCharType="end"/>
        </w:r>
      </w:hyperlink>
    </w:p>
    <w:p>
      <w:pPr>
        <w:pStyle w:val="TOC1"/>
        <w:tabs>
          <w:tab w:val="right" w:leader="dot" w:pos="8306"/>
        </w:tabs>
      </w:pPr>
      <w:hyperlink w:anchor="_Toc20242" w:history="1">
        <w:r>
          <w:rPr>
            <w:rFonts w:ascii="仿宋" w:eastAsia="仿宋" w:hAnsi="仿宋" w:cs="仿宋" w:hint="eastAsia"/>
            <w:lang w:eastAsia="zh-CN"/>
          </w:rPr>
          <w:t>二、产品规划分析</w:t>
        </w:r>
        <w:r>
          <w:tab/>
        </w:r>
        <w:r>
          <w:fldChar w:fldCharType="begin"/>
        </w:r>
        <w:r>
          <w:instrText xml:space="preserve"> PAGEREF _Toc20242 \h </w:instrText>
        </w:r>
        <w:r>
          <w:fldChar w:fldCharType="separate"/>
        </w:r>
        <w:r>
          <w:t>5</w:t>
        </w:r>
        <w:r>
          <w:fldChar w:fldCharType="end"/>
        </w:r>
      </w:hyperlink>
    </w:p>
    <w:p>
      <w:pPr>
        <w:pStyle w:val="TOC2"/>
        <w:tabs>
          <w:tab w:val="right" w:leader="dot" w:pos="8306"/>
        </w:tabs>
      </w:pPr>
      <w:hyperlink w:anchor="_Toc5275" w:history="1">
        <w:r>
          <w:rPr>
            <w:rFonts w:ascii="仿宋" w:eastAsia="仿宋" w:hAnsi="仿宋" w:cs="仿宋" w:hint="eastAsia"/>
            <w:lang w:eastAsia="zh-CN"/>
          </w:rPr>
          <w:t>(一)、产品规划</w:t>
        </w:r>
        <w:r>
          <w:tab/>
        </w:r>
        <w:r>
          <w:fldChar w:fldCharType="begin"/>
        </w:r>
        <w:r>
          <w:instrText xml:space="preserve"> PAGEREF _Toc5275 \h </w:instrText>
        </w:r>
        <w:r>
          <w:fldChar w:fldCharType="separate"/>
        </w:r>
        <w:r>
          <w:t>5</w:t>
        </w:r>
        <w:r>
          <w:fldChar w:fldCharType="end"/>
        </w:r>
      </w:hyperlink>
    </w:p>
    <w:p>
      <w:pPr>
        <w:pStyle w:val="TOC2"/>
        <w:tabs>
          <w:tab w:val="right" w:leader="dot" w:pos="8306"/>
        </w:tabs>
      </w:pPr>
      <w:hyperlink w:anchor="_Toc28461" w:history="1">
        <w:r>
          <w:rPr>
            <w:rFonts w:ascii="仿宋" w:eastAsia="仿宋" w:hAnsi="仿宋" w:cs="仿宋" w:hint="eastAsia"/>
            <w:lang w:eastAsia="zh-CN"/>
          </w:rPr>
          <w:t>(二)、建设规模</w:t>
        </w:r>
        <w:r>
          <w:tab/>
        </w:r>
        <w:r>
          <w:fldChar w:fldCharType="begin"/>
        </w:r>
        <w:r>
          <w:instrText xml:space="preserve"> PAGEREF _Toc28461 \h </w:instrText>
        </w:r>
        <w:r>
          <w:fldChar w:fldCharType="separate"/>
        </w:r>
        <w:r>
          <w:t>6</w:t>
        </w:r>
        <w:r>
          <w:fldChar w:fldCharType="end"/>
        </w:r>
      </w:hyperlink>
    </w:p>
    <w:p>
      <w:pPr>
        <w:pStyle w:val="TOC1"/>
        <w:tabs>
          <w:tab w:val="right" w:leader="dot" w:pos="8306"/>
        </w:tabs>
      </w:pPr>
      <w:hyperlink w:anchor="_Toc14946" w:history="1">
        <w:r>
          <w:rPr>
            <w:rFonts w:ascii="仿宋" w:eastAsia="仿宋" w:hAnsi="仿宋" w:cs="仿宋" w:hint="eastAsia"/>
            <w:lang w:eastAsia="zh-CN"/>
          </w:rPr>
          <w:t>三、市场分析、调研</w:t>
        </w:r>
        <w:r>
          <w:tab/>
        </w:r>
        <w:r>
          <w:fldChar w:fldCharType="begin"/>
        </w:r>
        <w:r>
          <w:instrText xml:space="preserve"> PAGEREF _Toc14946 \h </w:instrText>
        </w:r>
        <w:r>
          <w:fldChar w:fldCharType="separate"/>
        </w:r>
        <w:r>
          <w:t>7</w:t>
        </w:r>
        <w:r>
          <w:fldChar w:fldCharType="end"/>
        </w:r>
      </w:hyperlink>
    </w:p>
    <w:p>
      <w:pPr>
        <w:pStyle w:val="TOC2"/>
        <w:tabs>
          <w:tab w:val="right" w:leader="dot" w:pos="8306"/>
        </w:tabs>
      </w:pPr>
      <w:hyperlink w:anchor="_Toc29363" w:history="1">
        <w:r>
          <w:rPr>
            <w:rFonts w:ascii="仿宋" w:eastAsia="仿宋" w:hAnsi="仿宋" w:cs="仿宋" w:hint="eastAsia"/>
            <w:lang w:eastAsia="zh-CN"/>
          </w:rPr>
          <w:t>(一)、专用油墨行业分析</w:t>
        </w:r>
        <w:r>
          <w:tab/>
        </w:r>
        <w:r>
          <w:fldChar w:fldCharType="begin"/>
        </w:r>
        <w:r>
          <w:instrText xml:space="preserve"> PAGEREF _Toc29363 \h </w:instrText>
        </w:r>
        <w:r>
          <w:fldChar w:fldCharType="separate"/>
        </w:r>
        <w:r>
          <w:t>7</w:t>
        </w:r>
        <w:r>
          <w:fldChar w:fldCharType="end"/>
        </w:r>
      </w:hyperlink>
    </w:p>
    <w:p>
      <w:pPr>
        <w:pStyle w:val="TOC2"/>
        <w:tabs>
          <w:tab w:val="right" w:leader="dot" w:pos="8306"/>
        </w:tabs>
      </w:pPr>
      <w:hyperlink w:anchor="_Toc15331" w:history="1">
        <w:r>
          <w:rPr>
            <w:rFonts w:ascii="仿宋" w:eastAsia="仿宋" w:hAnsi="仿宋" w:cs="仿宋" w:hint="eastAsia"/>
            <w:lang w:eastAsia="zh-CN"/>
          </w:rPr>
          <w:t>(二)、专用油墨市场分析预测</w:t>
        </w:r>
        <w:r>
          <w:tab/>
        </w:r>
        <w:r>
          <w:fldChar w:fldCharType="begin"/>
        </w:r>
        <w:r>
          <w:instrText xml:space="preserve"> PAGEREF _Toc15331 \h </w:instrText>
        </w:r>
        <w:r>
          <w:fldChar w:fldCharType="separate"/>
        </w:r>
        <w:r>
          <w:t>8</w:t>
        </w:r>
        <w:r>
          <w:fldChar w:fldCharType="end"/>
        </w:r>
      </w:hyperlink>
    </w:p>
    <w:p>
      <w:pPr>
        <w:pStyle w:val="TOC1"/>
        <w:tabs>
          <w:tab w:val="right" w:leader="dot" w:pos="8306"/>
        </w:tabs>
      </w:pPr>
      <w:hyperlink w:anchor="_Toc2587" w:history="1">
        <w:r>
          <w:rPr>
            <w:rFonts w:ascii="仿宋" w:eastAsia="仿宋" w:hAnsi="仿宋" w:cs="仿宋" w:hint="eastAsia"/>
            <w:lang w:eastAsia="zh-CN"/>
          </w:rPr>
          <w:t>四、专用油墨项目建设背景及必要性分析</w:t>
        </w:r>
        <w:r>
          <w:tab/>
        </w:r>
        <w:r>
          <w:fldChar w:fldCharType="begin"/>
        </w:r>
        <w:r>
          <w:instrText xml:space="preserve"> PAGEREF _Toc2587 \h </w:instrText>
        </w:r>
        <w:r>
          <w:fldChar w:fldCharType="separate"/>
        </w:r>
        <w:r>
          <w:t>9</w:t>
        </w:r>
        <w:r>
          <w:fldChar w:fldCharType="end"/>
        </w:r>
      </w:hyperlink>
    </w:p>
    <w:p>
      <w:pPr>
        <w:pStyle w:val="TOC2"/>
        <w:tabs>
          <w:tab w:val="right" w:leader="dot" w:pos="8306"/>
        </w:tabs>
      </w:pPr>
      <w:hyperlink w:anchor="_Toc24967" w:history="1">
        <w:r>
          <w:rPr>
            <w:rFonts w:ascii="仿宋" w:eastAsia="仿宋" w:hAnsi="仿宋" w:cs="仿宋" w:hint="eastAsia"/>
            <w:lang w:eastAsia="zh-CN"/>
          </w:rPr>
          <w:t>(一)、专用油墨项目背景分析</w:t>
        </w:r>
        <w:r>
          <w:tab/>
        </w:r>
        <w:r>
          <w:fldChar w:fldCharType="begin"/>
        </w:r>
        <w:r>
          <w:instrText xml:space="preserve"> PAGEREF _Toc24967 \h </w:instrText>
        </w:r>
        <w:r>
          <w:fldChar w:fldCharType="separate"/>
        </w:r>
        <w:r>
          <w:t>9</w:t>
        </w:r>
        <w:r>
          <w:fldChar w:fldCharType="end"/>
        </w:r>
      </w:hyperlink>
    </w:p>
    <w:p>
      <w:pPr>
        <w:pStyle w:val="TOC2"/>
        <w:tabs>
          <w:tab w:val="right" w:leader="dot" w:pos="8306"/>
        </w:tabs>
      </w:pPr>
      <w:hyperlink w:anchor="_Toc5814" w:history="1">
        <w:r>
          <w:rPr>
            <w:rFonts w:ascii="仿宋" w:eastAsia="仿宋" w:hAnsi="仿宋" w:cs="仿宋" w:hint="eastAsia"/>
            <w:lang w:eastAsia="zh-CN"/>
          </w:rPr>
          <w:t>(二)、专用油墨项目建设必要性分析</w:t>
        </w:r>
        <w:r>
          <w:tab/>
        </w:r>
        <w:r>
          <w:fldChar w:fldCharType="begin"/>
        </w:r>
        <w:r>
          <w:instrText xml:space="preserve"> PAGEREF _Toc5814 \h </w:instrText>
        </w:r>
        <w:r>
          <w:fldChar w:fldCharType="separate"/>
        </w:r>
        <w:r>
          <w:t>10</w:t>
        </w:r>
        <w:r>
          <w:fldChar w:fldCharType="end"/>
        </w:r>
      </w:hyperlink>
    </w:p>
    <w:p>
      <w:pPr>
        <w:pStyle w:val="TOC1"/>
        <w:tabs>
          <w:tab w:val="right" w:leader="dot" w:pos="8306"/>
        </w:tabs>
      </w:pPr>
      <w:hyperlink w:anchor="_Toc32708" w:history="1">
        <w:r>
          <w:rPr>
            <w:rFonts w:ascii="仿宋" w:eastAsia="仿宋" w:hAnsi="仿宋" w:cs="仿宋" w:hint="eastAsia"/>
            <w:lang w:eastAsia="zh-CN"/>
          </w:rPr>
          <w:t>五、专用油墨项目土建工程</w:t>
        </w:r>
        <w:r>
          <w:tab/>
        </w:r>
        <w:r>
          <w:fldChar w:fldCharType="begin"/>
        </w:r>
        <w:r>
          <w:instrText xml:space="preserve"> PAGEREF _Toc32708 \h </w:instrText>
        </w:r>
        <w:r>
          <w:fldChar w:fldCharType="separate"/>
        </w:r>
        <w:r>
          <w:t>12</w:t>
        </w:r>
        <w:r>
          <w:fldChar w:fldCharType="end"/>
        </w:r>
      </w:hyperlink>
    </w:p>
    <w:p>
      <w:pPr>
        <w:pStyle w:val="TOC2"/>
        <w:tabs>
          <w:tab w:val="right" w:leader="dot" w:pos="8306"/>
        </w:tabs>
      </w:pPr>
      <w:hyperlink w:anchor="_Toc14842" w:history="1">
        <w:r>
          <w:rPr>
            <w:rFonts w:ascii="仿宋" w:eastAsia="仿宋" w:hAnsi="仿宋" w:cs="仿宋" w:hint="eastAsia"/>
            <w:lang w:eastAsia="zh-CN"/>
          </w:rPr>
          <w:t>(一)、建筑工程设计原则</w:t>
        </w:r>
        <w:r>
          <w:tab/>
        </w:r>
        <w:r>
          <w:fldChar w:fldCharType="begin"/>
        </w:r>
        <w:r>
          <w:instrText xml:space="preserve"> PAGEREF _Toc14842 \h </w:instrText>
        </w:r>
        <w:r>
          <w:fldChar w:fldCharType="separate"/>
        </w:r>
        <w:r>
          <w:t>12</w:t>
        </w:r>
        <w:r>
          <w:fldChar w:fldCharType="end"/>
        </w:r>
      </w:hyperlink>
    </w:p>
    <w:p>
      <w:pPr>
        <w:pStyle w:val="TOC2"/>
        <w:tabs>
          <w:tab w:val="right" w:leader="dot" w:pos="8306"/>
        </w:tabs>
      </w:pPr>
      <w:hyperlink w:anchor="_Toc15780" w:history="1">
        <w:r>
          <w:rPr>
            <w:rFonts w:ascii="仿宋" w:eastAsia="仿宋" w:hAnsi="仿宋" w:cs="仿宋" w:hint="eastAsia"/>
            <w:lang w:eastAsia="zh-CN"/>
          </w:rPr>
          <w:t>(二)、土建工程设计年限及安全等级</w:t>
        </w:r>
        <w:r>
          <w:tab/>
        </w:r>
        <w:r>
          <w:fldChar w:fldCharType="begin"/>
        </w:r>
        <w:r>
          <w:instrText xml:space="preserve"> PAGEREF _Toc15780 \h </w:instrText>
        </w:r>
        <w:r>
          <w:fldChar w:fldCharType="separate"/>
        </w:r>
        <w:r>
          <w:t>13</w:t>
        </w:r>
        <w:r>
          <w:fldChar w:fldCharType="end"/>
        </w:r>
      </w:hyperlink>
    </w:p>
    <w:p>
      <w:pPr>
        <w:pStyle w:val="TOC2"/>
        <w:tabs>
          <w:tab w:val="right" w:leader="dot" w:pos="8306"/>
        </w:tabs>
      </w:pPr>
      <w:hyperlink w:anchor="_Toc9334" w:history="1">
        <w:r>
          <w:rPr>
            <w:rFonts w:ascii="仿宋" w:eastAsia="仿宋" w:hAnsi="仿宋" w:cs="仿宋" w:hint="eastAsia"/>
            <w:lang w:eastAsia="zh-CN"/>
          </w:rPr>
          <w:t>(三)、建筑工程设计总体要求</w:t>
        </w:r>
        <w:r>
          <w:tab/>
        </w:r>
        <w:r>
          <w:fldChar w:fldCharType="begin"/>
        </w:r>
        <w:r>
          <w:instrText xml:space="preserve"> PAGEREF _Toc9334 \h </w:instrText>
        </w:r>
        <w:r>
          <w:fldChar w:fldCharType="separate"/>
        </w:r>
        <w:r>
          <w:t>14</w:t>
        </w:r>
        <w:r>
          <w:fldChar w:fldCharType="end"/>
        </w:r>
      </w:hyperlink>
    </w:p>
    <w:p>
      <w:pPr>
        <w:pStyle w:val="TOC2"/>
        <w:tabs>
          <w:tab w:val="right" w:leader="dot" w:pos="8306"/>
        </w:tabs>
      </w:pPr>
      <w:hyperlink w:anchor="_Toc16511" w:history="1">
        <w:r>
          <w:rPr>
            <w:rFonts w:ascii="仿宋" w:eastAsia="仿宋" w:hAnsi="仿宋" w:cs="仿宋" w:hint="eastAsia"/>
            <w:lang w:eastAsia="zh-CN"/>
          </w:rPr>
          <w:t>(四)、土建工程建设指标</w:t>
        </w:r>
        <w:r>
          <w:tab/>
        </w:r>
        <w:r>
          <w:fldChar w:fldCharType="begin"/>
        </w:r>
        <w:r>
          <w:instrText xml:space="preserve"> PAGEREF _Toc16511 \h </w:instrText>
        </w:r>
        <w:r>
          <w:fldChar w:fldCharType="separate"/>
        </w:r>
        <w:r>
          <w:t>15</w:t>
        </w:r>
        <w:r>
          <w:fldChar w:fldCharType="end"/>
        </w:r>
      </w:hyperlink>
    </w:p>
    <w:p>
      <w:pPr>
        <w:pStyle w:val="TOC1"/>
        <w:tabs>
          <w:tab w:val="right" w:leader="dot" w:pos="8306"/>
        </w:tabs>
      </w:pPr>
      <w:hyperlink w:anchor="_Toc18714" w:history="1">
        <w:r>
          <w:rPr>
            <w:rFonts w:ascii="仿宋" w:eastAsia="仿宋" w:hAnsi="仿宋" w:cs="仿宋" w:hint="eastAsia"/>
            <w:lang w:eastAsia="zh-CN"/>
          </w:rPr>
          <w:t>六、专用油墨项目建设单位说明</w:t>
        </w:r>
        <w:r>
          <w:tab/>
        </w:r>
        <w:r>
          <w:fldChar w:fldCharType="begin"/>
        </w:r>
        <w:r>
          <w:instrText xml:space="preserve"> PAGEREF _Toc18714 \h </w:instrText>
        </w:r>
        <w:r>
          <w:fldChar w:fldCharType="separate"/>
        </w:r>
        <w:r>
          <w:t>15</w:t>
        </w:r>
        <w:r>
          <w:fldChar w:fldCharType="end"/>
        </w:r>
      </w:hyperlink>
    </w:p>
    <w:p>
      <w:pPr>
        <w:pStyle w:val="TOC2"/>
        <w:tabs>
          <w:tab w:val="right" w:leader="dot" w:pos="8306"/>
        </w:tabs>
      </w:pPr>
      <w:hyperlink w:anchor="_Toc28309" w:history="1">
        <w:r>
          <w:rPr>
            <w:rFonts w:ascii="仿宋" w:eastAsia="仿宋" w:hAnsi="仿宋" w:cs="仿宋" w:hint="eastAsia"/>
            <w:lang w:eastAsia="zh-CN"/>
          </w:rPr>
          <w:t>(一)、专用油墨项目承办单位基本情况</w:t>
        </w:r>
        <w:r>
          <w:tab/>
        </w:r>
        <w:r>
          <w:fldChar w:fldCharType="begin"/>
        </w:r>
        <w:r>
          <w:instrText xml:space="preserve"> PAGEREF _Toc28309 \h </w:instrText>
        </w:r>
        <w:r>
          <w:fldChar w:fldCharType="separate"/>
        </w:r>
        <w:r>
          <w:t>15</w:t>
        </w:r>
        <w:r>
          <w:fldChar w:fldCharType="end"/>
        </w:r>
      </w:hyperlink>
    </w:p>
    <w:p>
      <w:pPr>
        <w:pStyle w:val="TOC2"/>
        <w:tabs>
          <w:tab w:val="right" w:leader="dot" w:pos="8306"/>
        </w:tabs>
      </w:pPr>
      <w:hyperlink w:anchor="_Toc32752" w:history="1">
        <w:r>
          <w:rPr>
            <w:rFonts w:ascii="仿宋" w:eastAsia="仿宋" w:hAnsi="仿宋" w:cs="仿宋" w:hint="eastAsia"/>
            <w:lang w:eastAsia="zh-CN"/>
          </w:rPr>
          <w:t>(二)、公司经济效益分析</w:t>
        </w:r>
        <w:r>
          <w:tab/>
        </w:r>
        <w:r>
          <w:fldChar w:fldCharType="begin"/>
        </w:r>
        <w:r>
          <w:instrText xml:space="preserve"> PAGEREF _Toc32752 \h </w:instrText>
        </w:r>
        <w:r>
          <w:fldChar w:fldCharType="separate"/>
        </w:r>
        <w:r>
          <w:t>16</w:t>
        </w:r>
        <w:r>
          <w:fldChar w:fldCharType="end"/>
        </w:r>
      </w:hyperlink>
    </w:p>
    <w:p>
      <w:pPr>
        <w:pStyle w:val="TOC1"/>
        <w:tabs>
          <w:tab w:val="right" w:leader="dot" w:pos="8306"/>
        </w:tabs>
      </w:pPr>
      <w:hyperlink w:anchor="_Toc18283" w:history="1">
        <w:r>
          <w:rPr>
            <w:rFonts w:ascii="仿宋" w:eastAsia="仿宋" w:hAnsi="仿宋" w:cs="仿宋" w:hint="eastAsia"/>
            <w:lang w:eastAsia="zh-CN"/>
          </w:rPr>
          <w:t>七、专用油墨项目计划安排</w:t>
        </w:r>
        <w:r>
          <w:tab/>
        </w:r>
        <w:r>
          <w:fldChar w:fldCharType="begin"/>
        </w:r>
        <w:r>
          <w:instrText xml:space="preserve"> PAGEREF _Toc18283 \h </w:instrText>
        </w:r>
        <w:r>
          <w:fldChar w:fldCharType="separate"/>
        </w:r>
        <w:r>
          <w:t>17</w:t>
        </w:r>
        <w:r>
          <w:fldChar w:fldCharType="end"/>
        </w:r>
      </w:hyperlink>
    </w:p>
    <w:p>
      <w:pPr>
        <w:pStyle w:val="TOC2"/>
        <w:tabs>
          <w:tab w:val="right" w:leader="dot" w:pos="8306"/>
        </w:tabs>
      </w:pPr>
      <w:hyperlink w:anchor="_Toc15234" w:history="1">
        <w:r>
          <w:rPr>
            <w:rFonts w:ascii="仿宋" w:eastAsia="仿宋" w:hAnsi="仿宋" w:cs="仿宋" w:hint="eastAsia"/>
            <w:lang w:eastAsia="zh-CN"/>
          </w:rPr>
          <w:t>(一)、建设周期</w:t>
        </w:r>
        <w:r>
          <w:tab/>
        </w:r>
        <w:r>
          <w:fldChar w:fldCharType="begin"/>
        </w:r>
        <w:r>
          <w:instrText xml:space="preserve"> PAGEREF _Toc15234 \h </w:instrText>
        </w:r>
        <w:r>
          <w:fldChar w:fldCharType="separate"/>
        </w:r>
        <w:r>
          <w:t>17</w:t>
        </w:r>
        <w:r>
          <w:fldChar w:fldCharType="end"/>
        </w:r>
      </w:hyperlink>
    </w:p>
    <w:p>
      <w:pPr>
        <w:pStyle w:val="TOC2"/>
        <w:tabs>
          <w:tab w:val="right" w:leader="dot" w:pos="8306"/>
        </w:tabs>
      </w:pPr>
      <w:hyperlink w:anchor="_Toc2072" w:history="1">
        <w:r>
          <w:rPr>
            <w:rFonts w:ascii="仿宋" w:eastAsia="仿宋" w:hAnsi="仿宋" w:cs="仿宋" w:hint="eastAsia"/>
            <w:lang w:eastAsia="zh-CN"/>
          </w:rPr>
          <w:t>(二)、建设进度</w:t>
        </w:r>
        <w:r>
          <w:tab/>
        </w:r>
        <w:r>
          <w:fldChar w:fldCharType="begin"/>
        </w:r>
        <w:r>
          <w:instrText xml:space="preserve"> PAGEREF _Toc2072 \h </w:instrText>
        </w:r>
        <w:r>
          <w:fldChar w:fldCharType="separate"/>
        </w:r>
        <w:r>
          <w:t>17</w:t>
        </w:r>
        <w:r>
          <w:fldChar w:fldCharType="end"/>
        </w:r>
      </w:hyperlink>
    </w:p>
    <w:p>
      <w:pPr>
        <w:pStyle w:val="TOC2"/>
        <w:tabs>
          <w:tab w:val="right" w:leader="dot" w:pos="8306"/>
        </w:tabs>
      </w:pPr>
      <w:hyperlink w:anchor="_Toc20089" w:history="1">
        <w:r>
          <w:rPr>
            <w:rFonts w:ascii="仿宋" w:eastAsia="仿宋" w:hAnsi="仿宋" w:cs="仿宋" w:hint="eastAsia"/>
            <w:lang w:eastAsia="zh-CN"/>
          </w:rPr>
          <w:t>(三)、进度安排注意事项</w:t>
        </w:r>
        <w:r>
          <w:tab/>
        </w:r>
        <w:r>
          <w:fldChar w:fldCharType="begin"/>
        </w:r>
        <w:r>
          <w:instrText xml:space="preserve"> PAGEREF _Toc20089 \h </w:instrText>
        </w:r>
        <w:r>
          <w:fldChar w:fldCharType="separate"/>
        </w:r>
        <w:r>
          <w:t>18</w:t>
        </w:r>
        <w:r>
          <w:fldChar w:fldCharType="end"/>
        </w:r>
      </w:hyperlink>
    </w:p>
    <w:p>
      <w:pPr>
        <w:pStyle w:val="TOC2"/>
        <w:tabs>
          <w:tab w:val="right" w:leader="dot" w:pos="8306"/>
        </w:tabs>
      </w:pPr>
      <w:hyperlink w:anchor="_Toc17119" w:history="1">
        <w:r>
          <w:rPr>
            <w:rFonts w:ascii="仿宋" w:eastAsia="仿宋" w:hAnsi="仿宋" w:cs="仿宋" w:hint="eastAsia"/>
            <w:lang w:eastAsia="zh-CN"/>
          </w:rPr>
          <w:t>(四)、人力资源配置</w:t>
        </w:r>
        <w:r>
          <w:tab/>
        </w:r>
        <w:r>
          <w:fldChar w:fldCharType="begin"/>
        </w:r>
        <w:r>
          <w:instrText xml:space="preserve"> PAGEREF _Toc17119 \h </w:instrText>
        </w:r>
        <w:r>
          <w:fldChar w:fldCharType="separate"/>
        </w:r>
        <w:r>
          <w:t>20</w:t>
        </w:r>
        <w:r>
          <w:fldChar w:fldCharType="end"/>
        </w:r>
      </w:hyperlink>
    </w:p>
    <w:p>
      <w:pPr>
        <w:pStyle w:val="TOC1"/>
        <w:tabs>
          <w:tab w:val="right" w:leader="dot" w:pos="8306"/>
        </w:tabs>
      </w:pPr>
      <w:hyperlink w:anchor="_Toc27455" w:history="1">
        <w:r>
          <w:rPr>
            <w:rFonts w:ascii="仿宋" w:eastAsia="仿宋" w:hAnsi="仿宋" w:cs="仿宋" w:hint="eastAsia"/>
            <w:lang w:eastAsia="zh-CN"/>
          </w:rPr>
          <w:t>八、专用油墨项目环境影响分析</w:t>
        </w:r>
        <w:r>
          <w:tab/>
        </w:r>
        <w:r>
          <w:fldChar w:fldCharType="begin"/>
        </w:r>
        <w:r>
          <w:instrText xml:space="preserve"> PAGEREF _Toc27455 \h </w:instrText>
        </w:r>
        <w:r>
          <w:fldChar w:fldCharType="separate"/>
        </w:r>
        <w:r>
          <w:t>21</w:t>
        </w:r>
        <w:r>
          <w:fldChar w:fldCharType="end"/>
        </w:r>
      </w:hyperlink>
    </w:p>
    <w:p>
      <w:pPr>
        <w:pStyle w:val="TOC2"/>
        <w:tabs>
          <w:tab w:val="right" w:leader="dot" w:pos="8306"/>
        </w:tabs>
      </w:pPr>
      <w:hyperlink w:anchor="_Toc3283" w:history="1">
        <w:r>
          <w:rPr>
            <w:rFonts w:ascii="仿宋" w:eastAsia="仿宋" w:hAnsi="仿宋" w:cs="仿宋" w:hint="eastAsia"/>
            <w:lang w:eastAsia="zh-CN"/>
          </w:rPr>
          <w:t>(一)、建设区域环境质量现状</w:t>
        </w:r>
        <w:r>
          <w:tab/>
        </w:r>
        <w:r>
          <w:fldChar w:fldCharType="begin"/>
        </w:r>
        <w:r>
          <w:instrText xml:space="preserve"> PAGEREF _Toc3283 \h </w:instrText>
        </w:r>
        <w:r>
          <w:fldChar w:fldCharType="separate"/>
        </w:r>
        <w:r>
          <w:t>21</w:t>
        </w:r>
        <w:r>
          <w:fldChar w:fldCharType="end"/>
        </w:r>
      </w:hyperlink>
    </w:p>
    <w:p>
      <w:pPr>
        <w:pStyle w:val="TOC2"/>
        <w:tabs>
          <w:tab w:val="right" w:leader="dot" w:pos="8306"/>
        </w:tabs>
      </w:pPr>
      <w:hyperlink w:anchor="_Toc5548" w:history="1">
        <w:r>
          <w:rPr>
            <w:rFonts w:ascii="仿宋" w:eastAsia="仿宋" w:hAnsi="仿宋" w:cs="仿宋" w:hint="eastAsia"/>
            <w:lang w:eastAsia="zh-CN"/>
          </w:rPr>
          <w:t>(二)、建设期环境保护</w:t>
        </w:r>
        <w:r>
          <w:tab/>
        </w:r>
        <w:r>
          <w:fldChar w:fldCharType="begin"/>
        </w:r>
        <w:r>
          <w:instrText xml:space="preserve"> PAGEREF _Toc5548 \h </w:instrText>
        </w:r>
        <w:r>
          <w:fldChar w:fldCharType="separate"/>
        </w:r>
        <w:r>
          <w:t>22</w:t>
        </w:r>
        <w:r>
          <w:fldChar w:fldCharType="end"/>
        </w:r>
      </w:hyperlink>
    </w:p>
    <w:p>
      <w:pPr>
        <w:pStyle w:val="TOC2"/>
        <w:tabs>
          <w:tab w:val="right" w:leader="dot" w:pos="8306"/>
        </w:tabs>
      </w:pPr>
      <w:hyperlink w:anchor="_Toc14674" w:history="1">
        <w:r>
          <w:rPr>
            <w:rFonts w:ascii="仿宋" w:eastAsia="仿宋" w:hAnsi="仿宋" w:cs="仿宋" w:hint="eastAsia"/>
            <w:lang w:eastAsia="zh-CN"/>
          </w:rPr>
          <w:t>(三)、运营期环境保护</w:t>
        </w:r>
        <w:r>
          <w:tab/>
        </w:r>
        <w:r>
          <w:fldChar w:fldCharType="begin"/>
        </w:r>
        <w:r>
          <w:instrText xml:space="preserve"> PAGEREF _Toc14674 \h </w:instrText>
        </w:r>
        <w:r>
          <w:fldChar w:fldCharType="separate"/>
        </w:r>
        <w:r>
          <w:t>24</w:t>
        </w:r>
        <w:r>
          <w:fldChar w:fldCharType="end"/>
        </w:r>
      </w:hyperlink>
    </w:p>
    <w:p>
      <w:pPr>
        <w:pStyle w:val="TOC2"/>
        <w:tabs>
          <w:tab w:val="right" w:leader="dot" w:pos="8306"/>
        </w:tabs>
      </w:pPr>
      <w:hyperlink w:anchor="_Toc16124" w:history="1">
        <w:r>
          <w:rPr>
            <w:rFonts w:ascii="仿宋" w:eastAsia="仿宋" w:hAnsi="仿宋" w:cs="仿宋" w:hint="eastAsia"/>
            <w:lang w:eastAsia="zh-CN"/>
          </w:rPr>
          <w:t>(四)、专用油墨项目建设对区域经济的影响</w:t>
        </w:r>
        <w:r>
          <w:tab/>
        </w:r>
        <w:r>
          <w:fldChar w:fldCharType="begin"/>
        </w:r>
        <w:r>
          <w:instrText xml:space="preserve"> PAGEREF _Toc16124 \h </w:instrText>
        </w:r>
        <w:r>
          <w:fldChar w:fldCharType="separate"/>
        </w:r>
        <w:r>
          <w:t>25</w:t>
        </w:r>
        <w:r>
          <w:fldChar w:fldCharType="end"/>
        </w:r>
      </w:hyperlink>
    </w:p>
    <w:p>
      <w:pPr>
        <w:pStyle w:val="TOC2"/>
        <w:tabs>
          <w:tab w:val="right" w:leader="dot" w:pos="8306"/>
        </w:tabs>
      </w:pPr>
      <w:hyperlink w:anchor="_Toc6809" w:history="1">
        <w:r>
          <w:rPr>
            <w:rFonts w:ascii="仿宋" w:eastAsia="仿宋" w:hAnsi="仿宋" w:cs="仿宋" w:hint="eastAsia"/>
            <w:lang w:eastAsia="zh-CN"/>
          </w:rPr>
          <w:t>(五)、废弃物处理</w:t>
        </w:r>
        <w:r>
          <w:tab/>
        </w:r>
        <w:r>
          <w:fldChar w:fldCharType="begin"/>
        </w:r>
        <w:r>
          <w:instrText xml:space="preserve"> PAGEREF _Toc6809 \h </w:instrText>
        </w:r>
        <w:r>
          <w:fldChar w:fldCharType="separate"/>
        </w:r>
        <w:r>
          <w:t>27</w:t>
        </w:r>
        <w:r>
          <w:fldChar w:fldCharType="end"/>
        </w:r>
      </w:hyperlink>
    </w:p>
    <w:p>
      <w:pPr>
        <w:pStyle w:val="TOC2"/>
        <w:tabs>
          <w:tab w:val="right" w:leader="dot" w:pos="8306"/>
        </w:tabs>
      </w:pPr>
      <w:hyperlink w:anchor="_Toc18087" w:history="1">
        <w:r>
          <w:rPr>
            <w:rFonts w:ascii="仿宋" w:eastAsia="仿宋" w:hAnsi="仿宋" w:cs="仿宋" w:hint="eastAsia"/>
            <w:lang w:eastAsia="zh-CN"/>
          </w:rPr>
          <w:t>(六)、特殊环境影响分析</w:t>
        </w:r>
        <w:r>
          <w:tab/>
        </w:r>
        <w:r>
          <w:fldChar w:fldCharType="begin"/>
        </w:r>
        <w:r>
          <w:instrText xml:space="preserve"> PAGEREF _Toc18087 \h </w:instrText>
        </w:r>
        <w:r>
          <w:fldChar w:fldCharType="separate"/>
        </w:r>
        <w:r>
          <w:t>28</w:t>
        </w:r>
        <w:r>
          <w:fldChar w:fldCharType="end"/>
        </w:r>
      </w:hyperlink>
    </w:p>
    <w:p>
      <w:pPr>
        <w:pStyle w:val="TOC2"/>
        <w:tabs>
          <w:tab w:val="right" w:leader="dot" w:pos="8306"/>
        </w:tabs>
      </w:pPr>
      <w:hyperlink w:anchor="_Toc14273" w:history="1">
        <w:r>
          <w:rPr>
            <w:rFonts w:ascii="仿宋" w:eastAsia="仿宋" w:hAnsi="仿宋" w:cs="仿宋" w:hint="eastAsia"/>
            <w:lang w:eastAsia="zh-CN"/>
          </w:rPr>
          <w:t>(七)、清洁生产</w:t>
        </w:r>
        <w:r>
          <w:tab/>
        </w:r>
        <w:r>
          <w:fldChar w:fldCharType="begin"/>
        </w:r>
        <w:r>
          <w:instrText xml:space="preserve"> PAGEREF _Toc14273 \h </w:instrText>
        </w:r>
        <w:r>
          <w:fldChar w:fldCharType="separate"/>
        </w:r>
        <w:r>
          <w:t>29</w:t>
        </w:r>
        <w:r>
          <w:fldChar w:fldCharType="end"/>
        </w:r>
      </w:hyperlink>
    </w:p>
    <w:p>
      <w:pPr>
        <w:pStyle w:val="TOC2"/>
        <w:tabs>
          <w:tab w:val="right" w:leader="dot" w:pos="8306"/>
        </w:tabs>
      </w:pPr>
      <w:hyperlink w:anchor="_Toc11987" w:history="1">
        <w:r>
          <w:rPr>
            <w:rFonts w:ascii="仿宋" w:eastAsia="仿宋" w:hAnsi="仿宋" w:cs="仿宋" w:hint="eastAsia"/>
            <w:lang w:eastAsia="zh-CN"/>
          </w:rPr>
          <w:t>(八)、环境保护综合评价</w:t>
        </w:r>
        <w:r>
          <w:tab/>
        </w:r>
        <w:r>
          <w:fldChar w:fldCharType="begin"/>
        </w:r>
        <w:r>
          <w:instrText xml:space="preserve"> PAGEREF _Toc11987 \h </w:instrText>
        </w:r>
        <w:r>
          <w:fldChar w:fldCharType="separate"/>
        </w:r>
        <w:r>
          <w:t>30</w:t>
        </w:r>
        <w:r>
          <w:fldChar w:fldCharType="end"/>
        </w:r>
      </w:hyperlink>
    </w:p>
    <w:p>
      <w:pPr>
        <w:pStyle w:val="TOC1"/>
        <w:tabs>
          <w:tab w:val="right" w:leader="dot" w:pos="8306"/>
        </w:tabs>
      </w:pPr>
      <w:hyperlink w:anchor="_Toc11241" w:history="1">
        <w:r>
          <w:rPr>
            <w:rFonts w:ascii="仿宋" w:eastAsia="仿宋" w:hAnsi="仿宋" w:cs="仿宋" w:hint="eastAsia"/>
            <w:lang w:eastAsia="zh-CN"/>
          </w:rPr>
          <w:t>九、专用油墨项目技术管理</w:t>
        </w:r>
        <w:r>
          <w:tab/>
        </w:r>
        <w:r>
          <w:fldChar w:fldCharType="begin"/>
        </w:r>
        <w:r>
          <w:instrText xml:space="preserve"> PAGEREF _Toc11241 \h </w:instrText>
        </w:r>
        <w:r>
          <w:fldChar w:fldCharType="separate"/>
        </w:r>
        <w:r>
          <w:t>31</w:t>
        </w:r>
        <w:r>
          <w:fldChar w:fldCharType="end"/>
        </w:r>
      </w:hyperlink>
    </w:p>
    <w:p>
      <w:pPr>
        <w:pStyle w:val="TOC2"/>
        <w:tabs>
          <w:tab w:val="right" w:leader="dot" w:pos="8306"/>
        </w:tabs>
      </w:pPr>
      <w:hyperlink w:anchor="_Toc2423" w:history="1">
        <w:r>
          <w:rPr>
            <w:rFonts w:ascii="仿宋" w:eastAsia="仿宋" w:hAnsi="仿宋" w:cs="仿宋" w:hint="eastAsia"/>
            <w:lang w:eastAsia="zh-CN"/>
          </w:rPr>
          <w:t>(一)、技术方案选用方向</w:t>
        </w:r>
        <w:r>
          <w:tab/>
        </w:r>
        <w:r>
          <w:fldChar w:fldCharType="begin"/>
        </w:r>
        <w:r>
          <w:instrText xml:space="preserve"> PAGEREF _Toc2423 \h </w:instrText>
        </w:r>
        <w:r>
          <w:fldChar w:fldCharType="separate"/>
        </w:r>
        <w:r>
          <w:t>31</w:t>
        </w:r>
        <w:r>
          <w:fldChar w:fldCharType="end"/>
        </w:r>
      </w:hyperlink>
    </w:p>
    <w:p>
      <w:pPr>
        <w:pStyle w:val="TOC2"/>
        <w:tabs>
          <w:tab w:val="right" w:leader="dot" w:pos="8306"/>
        </w:tabs>
      </w:pPr>
      <w:hyperlink w:anchor="_Toc16210" w:history="1">
        <w:r>
          <w:rPr>
            <w:rFonts w:ascii="仿宋" w:eastAsia="仿宋" w:hAnsi="仿宋" w:cs="仿宋" w:hint="eastAsia"/>
            <w:lang w:eastAsia="zh-CN"/>
          </w:rPr>
          <w:t>(二)、工艺技术方案选用原则</w:t>
        </w:r>
        <w:r>
          <w:tab/>
        </w:r>
        <w:r>
          <w:fldChar w:fldCharType="begin"/>
        </w:r>
        <w:r>
          <w:instrText xml:space="preserve"> PAGEREF _Toc16210 \h </w:instrText>
        </w:r>
        <w:r>
          <w:fldChar w:fldCharType="separate"/>
        </w:r>
        <w:r>
          <w:t>33</w:t>
        </w:r>
        <w:r>
          <w:fldChar w:fldCharType="end"/>
        </w:r>
      </w:hyperlink>
    </w:p>
    <w:p>
      <w:pPr>
        <w:pStyle w:val="TOC2"/>
        <w:tabs>
          <w:tab w:val="right" w:leader="dot" w:pos="8306"/>
        </w:tabs>
      </w:pPr>
      <w:hyperlink w:anchor="_Toc2915" w:history="1">
        <w:r>
          <w:rPr>
            <w:rFonts w:ascii="仿宋" w:eastAsia="仿宋" w:hAnsi="仿宋" w:cs="仿宋" w:hint="eastAsia"/>
            <w:lang w:eastAsia="zh-CN"/>
          </w:rPr>
          <w:t>(三)、工艺技术方案要求</w:t>
        </w:r>
        <w:r>
          <w:tab/>
        </w:r>
        <w:r>
          <w:fldChar w:fldCharType="begin"/>
        </w:r>
        <w:r>
          <w:instrText xml:space="preserve"> PAGEREF _Toc2915 \h </w:instrText>
        </w:r>
        <w:r>
          <w:fldChar w:fldCharType="separate"/>
        </w:r>
        <w:r>
          <w:t>35</w:t>
        </w:r>
        <w:r>
          <w:fldChar w:fldCharType="end"/>
        </w:r>
      </w:hyperlink>
    </w:p>
    <w:p>
      <w:pPr>
        <w:pStyle w:val="TOC1"/>
        <w:tabs>
          <w:tab w:val="right" w:leader="dot" w:pos="8306"/>
        </w:tabs>
      </w:pPr>
      <w:hyperlink w:anchor="_Toc4791" w:history="1">
        <w:r>
          <w:rPr>
            <w:rFonts w:ascii="仿宋" w:eastAsia="仿宋" w:hAnsi="仿宋" w:cs="仿宋" w:hint="eastAsia"/>
            <w:lang w:eastAsia="zh-CN"/>
          </w:rPr>
          <w:t>十、专用油墨项目人力资源管理</w:t>
        </w:r>
        <w:r>
          <w:tab/>
        </w:r>
        <w:r>
          <w:fldChar w:fldCharType="begin"/>
        </w:r>
        <w:r>
          <w:instrText xml:space="preserve"> PAGEREF _Toc4791 \h </w:instrText>
        </w:r>
        <w:r>
          <w:fldChar w:fldCharType="separate"/>
        </w:r>
        <w:r>
          <w:t>37</w:t>
        </w:r>
        <w:r>
          <w:fldChar w:fldCharType="end"/>
        </w:r>
      </w:hyperlink>
    </w:p>
    <w:p>
      <w:pPr>
        <w:pStyle w:val="TOC2"/>
        <w:tabs>
          <w:tab w:val="right" w:leader="dot" w:pos="8306"/>
        </w:tabs>
      </w:pPr>
      <w:hyperlink w:anchor="_Toc23760" w:history="1">
        <w:r>
          <w:rPr>
            <w:rFonts w:ascii="仿宋" w:eastAsia="仿宋" w:hAnsi="仿宋" w:cs="仿宋" w:hint="eastAsia"/>
            <w:lang w:eastAsia="zh-CN"/>
          </w:rPr>
          <w:t>(一)、建立健全的预算管理制度</w:t>
        </w:r>
        <w:r>
          <w:tab/>
        </w:r>
        <w:r>
          <w:fldChar w:fldCharType="begin"/>
        </w:r>
        <w:r>
          <w:instrText xml:space="preserve"> PAGEREF _Toc23760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78" w:history="1">
        <w:r>
          <w:rPr>
            <w:rFonts w:ascii="仿宋" w:eastAsia="仿宋" w:hAnsi="仿宋" w:cs="仿宋" w:hint="eastAsia"/>
            <w:lang w:eastAsia="zh-CN"/>
          </w:rPr>
          <w:t>(二)、加强资金流动监控</w:t>
        </w:r>
        <w:r>
          <w:tab/>
        </w:r>
        <w:r>
          <w:fldChar w:fldCharType="begin"/>
        </w:r>
        <w:r>
          <w:instrText xml:space="preserve"> PAGEREF _Toc13878 \h </w:instrText>
        </w:r>
        <w:r>
          <w:fldChar w:fldCharType="separate"/>
        </w:r>
        <w:r>
          <w:t>39</w:t>
        </w:r>
        <w:r>
          <w:fldChar w:fldCharType="end"/>
        </w:r>
      </w:hyperlink>
    </w:p>
    <w:p>
      <w:pPr>
        <w:pStyle w:val="TOC2"/>
        <w:tabs>
          <w:tab w:val="right" w:leader="dot" w:pos="8306"/>
        </w:tabs>
      </w:pPr>
      <w:hyperlink w:anchor="_Toc15139" w:history="1">
        <w:r>
          <w:rPr>
            <w:rFonts w:ascii="仿宋" w:eastAsia="仿宋" w:hAnsi="仿宋" w:cs="仿宋" w:hint="eastAsia"/>
            <w:lang w:eastAsia="zh-CN"/>
          </w:rPr>
          <w:t>(三)、制定完善的风险控制机制</w:t>
        </w:r>
        <w:r>
          <w:tab/>
        </w:r>
        <w:r>
          <w:fldChar w:fldCharType="begin"/>
        </w:r>
        <w:r>
          <w:instrText xml:space="preserve"> PAGEREF _Toc15139 \h </w:instrText>
        </w:r>
        <w:r>
          <w:fldChar w:fldCharType="separate"/>
        </w:r>
        <w:r>
          <w:t>40</w:t>
        </w:r>
        <w:r>
          <w:fldChar w:fldCharType="end"/>
        </w:r>
      </w:hyperlink>
    </w:p>
    <w:p>
      <w:pPr>
        <w:pStyle w:val="TOC2"/>
        <w:tabs>
          <w:tab w:val="right" w:leader="dot" w:pos="8306"/>
        </w:tabs>
      </w:pPr>
      <w:hyperlink w:anchor="_Toc4207" w:history="1">
        <w:r>
          <w:rPr>
            <w:rFonts w:ascii="仿宋" w:eastAsia="仿宋" w:hAnsi="仿宋" w:cs="仿宋" w:hint="eastAsia"/>
            <w:lang w:eastAsia="zh-CN"/>
          </w:rPr>
          <w:t>(四)、优化成本管理</w:t>
        </w:r>
        <w:r>
          <w:tab/>
        </w:r>
        <w:r>
          <w:fldChar w:fldCharType="begin"/>
        </w:r>
        <w:r>
          <w:instrText xml:space="preserve"> PAGEREF _Toc4207 \h </w:instrText>
        </w:r>
        <w:r>
          <w:fldChar w:fldCharType="separate"/>
        </w:r>
        <w:r>
          <w:t>41</w:t>
        </w:r>
        <w:r>
          <w:fldChar w:fldCharType="end"/>
        </w:r>
      </w:hyperlink>
    </w:p>
    <w:p>
      <w:pPr>
        <w:pStyle w:val="TOC1"/>
        <w:tabs>
          <w:tab w:val="right" w:leader="dot" w:pos="8306"/>
        </w:tabs>
      </w:pPr>
      <w:hyperlink w:anchor="_Toc24065" w:history="1">
        <w:r>
          <w:rPr>
            <w:rFonts w:ascii="仿宋" w:eastAsia="仿宋" w:hAnsi="仿宋" w:cs="仿宋" w:hint="eastAsia"/>
            <w:lang w:eastAsia="zh-CN"/>
          </w:rPr>
          <w:t>十一、专用油墨项目风险管理</w:t>
        </w:r>
        <w:r>
          <w:tab/>
        </w:r>
        <w:r>
          <w:fldChar w:fldCharType="begin"/>
        </w:r>
        <w:r>
          <w:instrText xml:space="preserve"> PAGEREF _Toc24065 \h </w:instrText>
        </w:r>
        <w:r>
          <w:fldChar w:fldCharType="separate"/>
        </w:r>
        <w:r>
          <w:t>43</w:t>
        </w:r>
        <w:r>
          <w:fldChar w:fldCharType="end"/>
        </w:r>
      </w:hyperlink>
    </w:p>
    <w:p>
      <w:pPr>
        <w:pStyle w:val="TOC2"/>
        <w:tabs>
          <w:tab w:val="right" w:leader="dot" w:pos="8306"/>
        </w:tabs>
      </w:pPr>
      <w:hyperlink w:anchor="_Toc24531" w:history="1">
        <w:r>
          <w:rPr>
            <w:rFonts w:ascii="仿宋" w:eastAsia="仿宋" w:hAnsi="仿宋" w:cs="仿宋" w:hint="eastAsia"/>
            <w:lang w:eastAsia="zh-CN"/>
          </w:rPr>
          <w:t>(一)、风险识别与评估</w:t>
        </w:r>
        <w:r>
          <w:tab/>
        </w:r>
        <w:r>
          <w:fldChar w:fldCharType="begin"/>
        </w:r>
        <w:r>
          <w:instrText xml:space="preserve"> PAGEREF _Toc24531 \h </w:instrText>
        </w:r>
        <w:r>
          <w:fldChar w:fldCharType="separate"/>
        </w:r>
        <w:r>
          <w:t>43</w:t>
        </w:r>
        <w:r>
          <w:fldChar w:fldCharType="end"/>
        </w:r>
      </w:hyperlink>
    </w:p>
    <w:p>
      <w:pPr>
        <w:pStyle w:val="TOC2"/>
        <w:tabs>
          <w:tab w:val="right" w:leader="dot" w:pos="8306"/>
        </w:tabs>
      </w:pPr>
      <w:hyperlink w:anchor="_Toc25077" w:history="1">
        <w:r>
          <w:rPr>
            <w:rFonts w:ascii="仿宋" w:eastAsia="仿宋" w:hAnsi="仿宋" w:cs="仿宋" w:hint="eastAsia"/>
            <w:lang w:eastAsia="zh-CN"/>
          </w:rPr>
          <w:t>(二)、风险应对策略</w:t>
        </w:r>
        <w:r>
          <w:tab/>
        </w:r>
        <w:r>
          <w:fldChar w:fldCharType="begin"/>
        </w:r>
        <w:r>
          <w:instrText xml:space="preserve"> PAGEREF _Toc25077 \h </w:instrText>
        </w:r>
        <w:r>
          <w:fldChar w:fldCharType="separate"/>
        </w:r>
        <w:r>
          <w:t>44</w:t>
        </w:r>
        <w:r>
          <w:fldChar w:fldCharType="end"/>
        </w:r>
      </w:hyperlink>
    </w:p>
    <w:p>
      <w:pPr>
        <w:pStyle w:val="TOC2"/>
        <w:tabs>
          <w:tab w:val="right" w:leader="dot" w:pos="8306"/>
        </w:tabs>
      </w:pPr>
      <w:hyperlink w:anchor="_Toc12088" w:history="1">
        <w:r>
          <w:rPr>
            <w:rFonts w:ascii="仿宋" w:eastAsia="仿宋" w:hAnsi="仿宋" w:cs="仿宋" w:hint="eastAsia"/>
            <w:lang w:eastAsia="zh-CN"/>
          </w:rPr>
          <w:t>(三)、风险监控与控制</w:t>
        </w:r>
        <w:r>
          <w:tab/>
        </w:r>
        <w:r>
          <w:fldChar w:fldCharType="begin"/>
        </w:r>
        <w:r>
          <w:instrText xml:space="preserve"> PAGEREF _Toc12088 \h </w:instrText>
        </w:r>
        <w:r>
          <w:fldChar w:fldCharType="separate"/>
        </w:r>
        <w:r>
          <w:t>46</w:t>
        </w:r>
        <w:r>
          <w:fldChar w:fldCharType="end"/>
        </w:r>
      </w:hyperlink>
    </w:p>
    <w:p>
      <w:pPr>
        <w:pStyle w:val="TOC1"/>
        <w:tabs>
          <w:tab w:val="right" w:leader="dot" w:pos="8306"/>
        </w:tabs>
      </w:pPr>
      <w:hyperlink w:anchor="_Toc19752" w:history="1">
        <w:r>
          <w:rPr>
            <w:rFonts w:ascii="仿宋" w:eastAsia="仿宋" w:hAnsi="仿宋" w:cs="仿宋" w:hint="eastAsia"/>
            <w:lang w:eastAsia="zh-CN"/>
          </w:rPr>
          <w:t>十二、专用油墨项目社会影响</w:t>
        </w:r>
        <w:r>
          <w:tab/>
        </w:r>
        <w:r>
          <w:fldChar w:fldCharType="begin"/>
        </w:r>
        <w:r>
          <w:instrText xml:space="preserve"> PAGEREF _Toc19752 \h </w:instrText>
        </w:r>
        <w:r>
          <w:fldChar w:fldCharType="separate"/>
        </w:r>
        <w:r>
          <w:t>47</w:t>
        </w:r>
        <w:r>
          <w:fldChar w:fldCharType="end"/>
        </w:r>
      </w:hyperlink>
    </w:p>
    <w:p>
      <w:pPr>
        <w:pStyle w:val="TOC2"/>
        <w:tabs>
          <w:tab w:val="right" w:leader="dot" w:pos="8306"/>
        </w:tabs>
      </w:pPr>
      <w:hyperlink w:anchor="_Toc8227" w:history="1">
        <w:r>
          <w:rPr>
            <w:rFonts w:ascii="仿宋" w:eastAsia="仿宋" w:hAnsi="仿宋" w:cs="仿宋" w:hint="eastAsia"/>
            <w:lang w:eastAsia="zh-CN"/>
          </w:rPr>
          <w:t>(一)、社会责任与义务</w:t>
        </w:r>
        <w:r>
          <w:tab/>
        </w:r>
        <w:r>
          <w:fldChar w:fldCharType="begin"/>
        </w:r>
        <w:r>
          <w:instrText xml:space="preserve"> PAGEREF _Toc8227 \h </w:instrText>
        </w:r>
        <w:r>
          <w:fldChar w:fldCharType="separate"/>
        </w:r>
        <w:r>
          <w:t>47</w:t>
        </w:r>
        <w:r>
          <w:fldChar w:fldCharType="end"/>
        </w:r>
      </w:hyperlink>
    </w:p>
    <w:p>
      <w:pPr>
        <w:pStyle w:val="TOC2"/>
        <w:tabs>
          <w:tab w:val="right" w:leader="dot" w:pos="8306"/>
        </w:tabs>
      </w:pPr>
      <w:hyperlink w:anchor="_Toc9983" w:history="1">
        <w:r>
          <w:rPr>
            <w:rFonts w:ascii="仿宋" w:eastAsia="仿宋" w:hAnsi="仿宋" w:cs="仿宋" w:hint="eastAsia"/>
            <w:lang w:eastAsia="zh-CN"/>
          </w:rPr>
          <w:t>(二)、社会参与与沟通</w:t>
        </w:r>
        <w:r>
          <w:tab/>
        </w:r>
        <w:r>
          <w:fldChar w:fldCharType="begin"/>
        </w:r>
        <w:r>
          <w:instrText xml:space="preserve"> PAGEREF _Toc9983 \h </w:instrText>
        </w:r>
        <w:r>
          <w:fldChar w:fldCharType="separate"/>
        </w:r>
        <w:r>
          <w:t>47</w:t>
        </w:r>
        <w:r>
          <w:fldChar w:fldCharType="end"/>
        </w:r>
      </w:hyperlink>
    </w:p>
    <w:p>
      <w:pPr>
        <w:pStyle w:val="TOC1"/>
        <w:tabs>
          <w:tab w:val="right" w:leader="dot" w:pos="8306"/>
        </w:tabs>
      </w:pPr>
      <w:hyperlink w:anchor="_Toc16502" w:history="1">
        <w:r>
          <w:rPr>
            <w:rFonts w:ascii="仿宋" w:eastAsia="仿宋" w:hAnsi="仿宋" w:cs="仿宋" w:hint="eastAsia"/>
            <w:lang w:eastAsia="zh-CN"/>
          </w:rPr>
          <w:t>十三、营销与推广策略</w:t>
        </w:r>
        <w:r>
          <w:tab/>
        </w:r>
        <w:r>
          <w:fldChar w:fldCharType="begin"/>
        </w:r>
        <w:r>
          <w:instrText xml:space="preserve"> PAGEREF _Toc16502 \h </w:instrText>
        </w:r>
        <w:r>
          <w:fldChar w:fldCharType="separate"/>
        </w:r>
        <w:r>
          <w:t>48</w:t>
        </w:r>
        <w:r>
          <w:fldChar w:fldCharType="end"/>
        </w:r>
      </w:hyperlink>
    </w:p>
    <w:p>
      <w:pPr>
        <w:pStyle w:val="TOC2"/>
        <w:tabs>
          <w:tab w:val="right" w:leader="dot" w:pos="8306"/>
        </w:tabs>
      </w:pPr>
      <w:hyperlink w:anchor="_Toc8610" w:history="1">
        <w:r>
          <w:rPr>
            <w:rFonts w:ascii="仿宋" w:eastAsia="仿宋" w:hAnsi="仿宋" w:cs="仿宋" w:hint="eastAsia"/>
            <w:lang w:eastAsia="zh-CN"/>
          </w:rPr>
          <w:t>(一)、产品/服务定位与特点</w:t>
        </w:r>
        <w:r>
          <w:tab/>
        </w:r>
        <w:r>
          <w:fldChar w:fldCharType="begin"/>
        </w:r>
        <w:r>
          <w:instrText xml:space="preserve"> PAGEREF _Toc8610 \h </w:instrText>
        </w:r>
        <w:r>
          <w:fldChar w:fldCharType="separate"/>
        </w:r>
        <w:r>
          <w:t>48</w:t>
        </w:r>
        <w:r>
          <w:fldChar w:fldCharType="end"/>
        </w:r>
      </w:hyperlink>
    </w:p>
    <w:p>
      <w:pPr>
        <w:pStyle w:val="TOC2"/>
        <w:tabs>
          <w:tab w:val="right" w:leader="dot" w:pos="8306"/>
        </w:tabs>
      </w:pPr>
      <w:hyperlink w:anchor="_Toc3671" w:history="1">
        <w:r>
          <w:rPr>
            <w:rFonts w:ascii="仿宋" w:eastAsia="仿宋" w:hAnsi="仿宋" w:cs="仿宋" w:hint="eastAsia"/>
            <w:lang w:eastAsia="zh-CN"/>
          </w:rPr>
          <w:t>(二)、市场定位与竞争分析</w:t>
        </w:r>
        <w:r>
          <w:tab/>
        </w:r>
        <w:r>
          <w:fldChar w:fldCharType="begin"/>
        </w:r>
        <w:r>
          <w:instrText xml:space="preserve"> PAGEREF _Toc3671 \h </w:instrText>
        </w:r>
        <w:r>
          <w:fldChar w:fldCharType="separate"/>
        </w:r>
        <w:r>
          <w:t>50</w:t>
        </w:r>
        <w:r>
          <w:fldChar w:fldCharType="end"/>
        </w:r>
      </w:hyperlink>
    </w:p>
    <w:p>
      <w:pPr>
        <w:pStyle w:val="TOC2"/>
        <w:tabs>
          <w:tab w:val="right" w:leader="dot" w:pos="8306"/>
        </w:tabs>
      </w:pPr>
      <w:hyperlink w:anchor="_Toc3254" w:history="1">
        <w:r>
          <w:rPr>
            <w:rFonts w:ascii="仿宋" w:eastAsia="仿宋" w:hAnsi="仿宋" w:cs="仿宋" w:hint="eastAsia"/>
            <w:lang w:eastAsia="zh-CN"/>
          </w:rPr>
          <w:t>(三)、营销渠道与策略</w:t>
        </w:r>
        <w:r>
          <w:tab/>
        </w:r>
        <w:r>
          <w:fldChar w:fldCharType="begin"/>
        </w:r>
        <w:r>
          <w:instrText xml:space="preserve"> PAGEREF _Toc3254 \h </w:instrText>
        </w:r>
        <w:r>
          <w:fldChar w:fldCharType="separate"/>
        </w:r>
        <w:r>
          <w:t>51</w:t>
        </w:r>
        <w:r>
          <w:fldChar w:fldCharType="end"/>
        </w:r>
      </w:hyperlink>
    </w:p>
    <w:p>
      <w:pPr>
        <w:pStyle w:val="TOC2"/>
        <w:tabs>
          <w:tab w:val="right" w:leader="dot" w:pos="8306"/>
        </w:tabs>
      </w:pPr>
      <w:hyperlink w:anchor="_Toc9362" w:history="1">
        <w:r>
          <w:rPr>
            <w:rFonts w:ascii="仿宋" w:eastAsia="仿宋" w:hAnsi="仿宋" w:cs="仿宋" w:hint="eastAsia"/>
            <w:lang w:eastAsia="zh-CN"/>
          </w:rPr>
          <w:t>(四)、推广与宣传活动</w:t>
        </w:r>
        <w:r>
          <w:tab/>
        </w:r>
        <w:r>
          <w:fldChar w:fldCharType="begin"/>
        </w:r>
        <w:r>
          <w:instrText xml:space="preserve"> PAGEREF _Toc9362 \h </w:instrText>
        </w:r>
        <w:r>
          <w:fldChar w:fldCharType="separate"/>
        </w:r>
        <w:r>
          <w:t>52</w:t>
        </w:r>
        <w:r>
          <w:fldChar w:fldCharType="end"/>
        </w:r>
      </w:hyperlink>
    </w:p>
    <w:p>
      <w:pPr>
        <w:pStyle w:val="TOC1"/>
        <w:tabs>
          <w:tab w:val="right" w:leader="dot" w:pos="8306"/>
        </w:tabs>
      </w:pPr>
      <w:hyperlink w:anchor="_Toc17094" w:history="1">
        <w:r>
          <w:rPr>
            <w:rFonts w:ascii="仿宋" w:eastAsia="仿宋" w:hAnsi="仿宋" w:cs="仿宋" w:hint="eastAsia"/>
            <w:lang w:eastAsia="zh-CN"/>
          </w:rPr>
          <w:t>十四、专用油墨项目实施时间节点</w:t>
        </w:r>
        <w:r>
          <w:tab/>
        </w:r>
        <w:r>
          <w:fldChar w:fldCharType="begin"/>
        </w:r>
        <w:r>
          <w:instrText xml:space="preserve"> PAGEREF _Toc17094 \h </w:instrText>
        </w:r>
        <w:r>
          <w:fldChar w:fldCharType="separate"/>
        </w:r>
        <w:r>
          <w:t>57</w:t>
        </w:r>
        <w:r>
          <w:fldChar w:fldCharType="end"/>
        </w:r>
      </w:hyperlink>
    </w:p>
    <w:p>
      <w:pPr>
        <w:pStyle w:val="TOC2"/>
        <w:tabs>
          <w:tab w:val="right" w:leader="dot" w:pos="8306"/>
        </w:tabs>
      </w:pPr>
      <w:hyperlink w:anchor="_Toc6849" w:history="1">
        <w:r>
          <w:rPr>
            <w:rFonts w:ascii="仿宋" w:eastAsia="仿宋" w:hAnsi="仿宋" w:cs="仿宋" w:hint="eastAsia"/>
            <w:lang w:eastAsia="zh-CN"/>
          </w:rPr>
          <w:t>(一)、专用油墨项目启动阶段时间节点</w:t>
        </w:r>
        <w:r>
          <w:tab/>
        </w:r>
        <w:r>
          <w:fldChar w:fldCharType="begin"/>
        </w:r>
        <w:r>
          <w:instrText xml:space="preserve"> PAGEREF _Toc6849 \h </w:instrText>
        </w:r>
        <w:r>
          <w:fldChar w:fldCharType="separate"/>
        </w:r>
        <w:r>
          <w:t>57</w:t>
        </w:r>
        <w:r>
          <w:fldChar w:fldCharType="end"/>
        </w:r>
      </w:hyperlink>
    </w:p>
    <w:p>
      <w:pPr>
        <w:pStyle w:val="TOC2"/>
        <w:tabs>
          <w:tab w:val="right" w:leader="dot" w:pos="8306"/>
        </w:tabs>
      </w:pPr>
      <w:hyperlink w:anchor="_Toc3899" w:history="1">
        <w:r>
          <w:rPr>
            <w:rFonts w:ascii="仿宋" w:eastAsia="仿宋" w:hAnsi="仿宋" w:cs="仿宋" w:hint="eastAsia"/>
            <w:lang w:eastAsia="zh-CN"/>
          </w:rPr>
          <w:t>(二)、专用油墨项目执行阶段时间节点</w:t>
        </w:r>
        <w:r>
          <w:tab/>
        </w:r>
        <w:r>
          <w:fldChar w:fldCharType="begin"/>
        </w:r>
        <w:r>
          <w:instrText xml:space="preserve"> PAGEREF _Toc3899 \h </w:instrText>
        </w:r>
        <w:r>
          <w:fldChar w:fldCharType="separate"/>
        </w:r>
        <w:r>
          <w:t>59</w:t>
        </w:r>
        <w:r>
          <w:fldChar w:fldCharType="end"/>
        </w:r>
      </w:hyperlink>
    </w:p>
    <w:p>
      <w:pPr>
        <w:pStyle w:val="TOC2"/>
        <w:tabs>
          <w:tab w:val="right" w:leader="dot" w:pos="8306"/>
        </w:tabs>
      </w:pPr>
      <w:hyperlink w:anchor="_Toc16381" w:history="1">
        <w:r>
          <w:rPr>
            <w:rFonts w:ascii="仿宋" w:eastAsia="仿宋" w:hAnsi="仿宋" w:cs="仿宋" w:hint="eastAsia"/>
            <w:lang w:eastAsia="zh-CN"/>
          </w:rPr>
          <w:t>(三)、专用油墨项目完成阶段时间节点</w:t>
        </w:r>
        <w:r>
          <w:tab/>
        </w:r>
        <w:r>
          <w:fldChar w:fldCharType="begin"/>
        </w:r>
        <w:r>
          <w:instrText xml:space="preserve"> PAGEREF _Toc16381 \h </w:instrText>
        </w:r>
        <w:r>
          <w:fldChar w:fldCharType="separate"/>
        </w:r>
        <w:r>
          <w:t>59</w:t>
        </w:r>
        <w:r>
          <w:fldChar w:fldCharType="end"/>
        </w:r>
      </w:hyperlink>
    </w:p>
    <w:p>
      <w:pPr>
        <w:pStyle w:val="TOC1"/>
        <w:tabs>
          <w:tab w:val="right" w:leader="dot" w:pos="8306"/>
        </w:tabs>
      </w:pPr>
      <w:hyperlink w:anchor="_Toc14547" w:history="1">
        <w:r>
          <w:rPr>
            <w:rFonts w:ascii="仿宋" w:eastAsia="仿宋" w:hAnsi="仿宋" w:cs="仿宋" w:hint="eastAsia"/>
            <w:lang w:eastAsia="zh-CN"/>
          </w:rPr>
          <w:t>十五、供应链管理</w:t>
        </w:r>
        <w:r>
          <w:tab/>
        </w:r>
        <w:r>
          <w:fldChar w:fldCharType="begin"/>
        </w:r>
        <w:r>
          <w:instrText xml:space="preserve"> PAGEREF _Toc14547 \h </w:instrText>
        </w:r>
        <w:r>
          <w:fldChar w:fldCharType="separate"/>
        </w:r>
        <w:r>
          <w:t>61</w:t>
        </w:r>
        <w:r>
          <w:fldChar w:fldCharType="end"/>
        </w:r>
      </w:hyperlink>
    </w:p>
    <w:p>
      <w:pPr>
        <w:pStyle w:val="TOC2"/>
        <w:tabs>
          <w:tab w:val="right" w:leader="dot" w:pos="8306"/>
        </w:tabs>
      </w:pPr>
      <w:hyperlink w:anchor="_Toc19440" w:history="1">
        <w:r>
          <w:rPr>
            <w:rFonts w:ascii="仿宋" w:eastAsia="仿宋" w:hAnsi="仿宋" w:cs="仿宋" w:hint="eastAsia"/>
            <w:lang w:eastAsia="zh-CN"/>
          </w:rPr>
          <w:t>(一)、供应链战略规划</w:t>
        </w:r>
        <w:r>
          <w:tab/>
        </w:r>
        <w:r>
          <w:fldChar w:fldCharType="begin"/>
        </w:r>
        <w:r>
          <w:instrText xml:space="preserve"> PAGEREF _Toc19440 \h </w:instrText>
        </w:r>
        <w:r>
          <w:fldChar w:fldCharType="separate"/>
        </w:r>
        <w:r>
          <w:t>61</w:t>
        </w:r>
        <w:r>
          <w:fldChar w:fldCharType="end"/>
        </w:r>
      </w:hyperlink>
    </w:p>
    <w:p>
      <w:pPr>
        <w:pStyle w:val="TOC2"/>
        <w:tabs>
          <w:tab w:val="right" w:leader="dot" w:pos="8306"/>
        </w:tabs>
      </w:pPr>
      <w:hyperlink w:anchor="_Toc31979" w:history="1">
        <w:r>
          <w:rPr>
            <w:rFonts w:ascii="仿宋" w:eastAsia="仿宋" w:hAnsi="仿宋" w:cs="仿宋" w:hint="eastAsia"/>
            <w:lang w:eastAsia="zh-CN"/>
          </w:rPr>
          <w:t>(二)、供应商选择与合作</w:t>
        </w:r>
        <w:r>
          <w:tab/>
        </w:r>
        <w:r>
          <w:fldChar w:fldCharType="begin"/>
        </w:r>
        <w:r>
          <w:instrText xml:space="preserve"> PAGEREF _Toc31979 \h </w:instrText>
        </w:r>
        <w:r>
          <w:fldChar w:fldCharType="separate"/>
        </w:r>
        <w:r>
          <w:t>62</w:t>
        </w:r>
        <w:r>
          <w:fldChar w:fldCharType="end"/>
        </w:r>
      </w:hyperlink>
    </w:p>
    <w:p>
      <w:pPr>
        <w:pStyle w:val="TOC2"/>
        <w:tabs>
          <w:tab w:val="right" w:leader="dot" w:pos="8306"/>
        </w:tabs>
      </w:pPr>
      <w:hyperlink w:anchor="_Toc16754" w:history="1">
        <w:r>
          <w:rPr>
            <w:rFonts w:ascii="仿宋" w:eastAsia="仿宋" w:hAnsi="仿宋" w:cs="仿宋" w:hint="eastAsia"/>
            <w:lang w:eastAsia="zh-CN"/>
          </w:rPr>
          <w:t>(三)、物流与库存管理</w:t>
        </w:r>
        <w:r>
          <w:tab/>
        </w:r>
        <w:r>
          <w:fldChar w:fldCharType="begin"/>
        </w:r>
        <w:r>
          <w:instrText xml:space="preserve"> PAGEREF _Toc16754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5"/>
      <w:r>
        <w:rPr>
          <w:rFonts w:ascii="仿宋" w:eastAsia="仿宋" w:hAnsi="仿宋" w:cs="仿宋" w:hint="eastAsia"/>
          <w:sz w:val="28"/>
          <w:lang w:eastAsia="zh-CN"/>
        </w:rPr>
        <w:t>一、专用油墨项目危机管理</w:t>
      </w:r>
      <w:bookmarkEnd w:id="2"/>
    </w:p>
    <w:p>
      <w:pPr>
        <w:pStyle w:val="Heading2"/>
        <w:rPr>
          <w:rFonts w:ascii="仿宋" w:eastAsia="仿宋" w:hAnsi="仿宋" w:cs="仿宋" w:hint="eastAsia"/>
          <w:lang w:eastAsia="zh-CN"/>
        </w:rPr>
      </w:pPr>
      <w:bookmarkStart w:id="3" w:name="_Toc252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危机管理中，危机预警与识别是确保专用油墨项目稳健运行的核心步骤。通过建立全面的监测机制，专用油墨项目团队旨在及时发现和理解潜在的风险和危机因素，以便采取及时的预防和应对措施，确保专用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首先，通过深入的风险评估，专用油墨项目团队全面分析了整个专用油墨项目和各个阶段可能存在的威胁。这包括准确评估每个潜在风险的发生概率和可能影响的程度，为后续危机预警提供了有力支持。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用油墨项目团队着重于明确定义专用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用油墨项目进展的持续监控，团队能够及时发现潜在问题并作出迅速反应。专用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在这一阶段，团队的专业素养和反应速度将发挥至关重要的作用，以确保潜在危机能够在初期得到有效的处理，最大程度地减轻负面影响。通过危机预警与识别，专用油墨项目得以更有序、可控地推进。</w:t>
      </w:r>
    </w:p>
    <w:p>
      <w:pPr>
        <w:pStyle w:val="Heading2"/>
        <w:ind w:firstLine="560" w:firstLineChars="200"/>
        <w:rPr>
          <w:rFonts w:ascii="仿宋" w:eastAsia="仿宋" w:hAnsi="仿宋" w:cs="仿宋" w:hint="eastAsia"/>
          <w:sz w:val="28"/>
          <w:lang w:eastAsia="zh-CN"/>
        </w:rPr>
      </w:pPr>
      <w:bookmarkStart w:id="4" w:name="_Toc118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在危机发生时，专用油墨项目团队立即行动，成立了应急小组。该小组的任务是迅速制定并实施紧急应对措施，以最小化潜在损失。以下是采取的主要措施：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暂停专用油墨项目进度：为遏制危机蔓延，专用油墨项目暂时停止进行，以便全面评估当前状况。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资源重新分配：重新评估专用油墨项目资源的分配，确保最大限度地减小损失。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实时沟通：与关键利益相关者建立实时沟通机制，向他们传递专用油墨项目危机的实际状况，保障专用油墨项目核心利益。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在紧急应对的同时，专用油墨项目团队强调了团队协作和有效沟通的重要性。以下是团队协作的关键举措：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信息共享机制：建立了信息共享平台，确保团队成员能够及时获取专用油墨项目危机的实时信息。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领导者沟通：专用油墨项目领导者通过定期会议和即时沟通工具，指导团队应对危机，保持团队稳定运行。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随着危机得到初步控制，专用油墨项目团队转向制定恢复计划，以确保专用油墨项目能够从中迅速恢复。主要恢复计划包括：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修复受损的进度计划：重新评估专用油墨项目进度，制定修复计划，确保专用油墨项目尽快回归正常进程。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重新调整资源分配：优化资源分配，确保专用油墨项目在有限资源下高效运转。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风险管理机制加强：对专用油墨项目风险进行全面评估，制定更强化的风险管理策略，以预防未来可能的危机。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2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27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专用油墨项目的主要产品是XXXX，预计年产值为XXX万元。这一产品在市场中占据着重要的地位，其广泛的应用范围使得该专用油墨项目的市场前景非常广阔。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用油墨项目的xxx产品作为重要的原材料之一，将在多个领域发挥关键作用。其在建筑、交通、能源等方面的广泛应用将为整个产业链提供强大的支持，形成产业协同效应。专用油墨项目的年产值XXX万XXX万XXX万万元不仅反映了其在市场上的巨大潜力，更预示着它对国民经济的积极贡献。这种关联度高、涉及面广的产业关系，使得该专用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46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总征地面积为XXXX平方米，相当于约XX.XX亩，其中净用地面积为XXXX平方米，红线范围内相当于约XX.XX亩。这一用地规模充分考虑了专用油墨项目的建设需求，保障了专用油墨项目在合适的空间内得以充分发展。专用油墨项目规划的总建筑面积为XXXX平方米，其中主体工程建设占XXXX平方米，计容建筑面积达XXXX平方米。预计建筑工程的投资将达到XXXX万元，为专用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购置的设备共计XXXX台（套），设备购置费用为XXXX万元。这一设备购置计划充分考虑到专用油墨项目的生产需求和技术要求，确保了专用油墨项目在生产运营中具备先进的技术装备和高效的生产能力。设备的合理配置将为专用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总投资为XXXX万元，预计年实现营业收入为XXXX万元。这一产能规模的设定旨在确保专用油墨项目能够在投资与回报之间取得平衡，实现长期可持续的发展。专用油墨项目的总投资充分考虑到各个方面的需求，包括用地建设、设备购置等多个环节，以确保专用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9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363"/>
      <w:r>
        <w:rPr>
          <w:rFonts w:ascii="仿宋" w:eastAsia="仿宋" w:hAnsi="仿宋" w:cs="仿宋" w:hint="eastAsia"/>
          <w:lang w:eastAsia="zh-CN"/>
        </w:rPr>
        <w:t>(一)、专用油墨行业分析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行业一直以来都是市场的关注焦点。行业内的发展趋势、竞争态势以及潜在机会都对专用油墨项目的推进产生深远的影响。通过深入研究行业的整体概貌，我们将更好地理解行业的核心特征，为专用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行业，技术一直是推动创新和发展的关键因素。我们将对当前技术趋势进行详尽分析，包括但不限于人工智能、大数据应用、先进制造技术等。这有助于专用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用油墨项目成功的基础。我们将对主要竞争对手进行深入研究，包括其市场份额、产品特点、市场定位等。通过全面了解竞争对手的优势和劣势，专用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331"/>
      <w:r>
        <w:rPr>
          <w:rFonts w:ascii="仿宋" w:eastAsia="仿宋" w:hAnsi="仿宋" w:cs="仿宋" w:hint="eastAsia"/>
          <w:sz w:val="28"/>
          <w:lang w:eastAsia="zh-CN"/>
        </w:rPr>
        <w:t>(二)、专用油墨市场分析预测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通过对市场规模的深入调研，我们将预测专用油墨市场未来的增长趋势。这包括市场的整体规模、各细分领域的发展趋势等。专用油墨项目可以根据市场的扩张速度和潜在机会，制定更符合市场需求的发展策略。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用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专用油墨项目实施过程中需要充分考虑的因素。我们将对市场风险进行全面评估，包括但不限于政策法规风险、市场竞争风险、技术变革风险等。通过对潜在风险的深入分析，专用油墨项目可以制定相应的风险缓解策略，降低不确定性对专用油墨项目的影响。</w:t>
      </w:r>
    </w:p>
    <w:p>
      <w:pPr>
        <w:pStyle w:val="Heading1"/>
        <w:ind w:firstLine="560" w:firstLineChars="200"/>
        <w:rPr>
          <w:rFonts w:ascii="仿宋" w:eastAsia="仿宋" w:hAnsi="仿宋" w:cs="仿宋" w:hint="eastAsia"/>
          <w:sz w:val="28"/>
          <w:lang w:eastAsia="zh-CN"/>
        </w:rPr>
      </w:pPr>
      <w:bookmarkStart w:id="11" w:name="_Toc2587"/>
      <w:r>
        <w:rPr>
          <w:rFonts w:ascii="仿宋" w:eastAsia="仿宋" w:hAnsi="仿宋" w:cs="仿宋" w:hint="eastAsia"/>
          <w:sz w:val="28"/>
          <w:lang w:eastAsia="zh-CN"/>
        </w:rPr>
        <w:t>四、专用油墨项目建设背景及必要性分析</w:t>
      </w:r>
      <w:bookmarkEnd w:id="11"/>
    </w:p>
    <w:p>
      <w:pPr>
        <w:pStyle w:val="Heading2"/>
        <w:rPr>
          <w:rFonts w:ascii="仿宋" w:eastAsia="仿宋" w:hAnsi="仿宋" w:cs="仿宋" w:hint="eastAsia"/>
          <w:lang w:eastAsia="zh-CN"/>
        </w:rPr>
      </w:pPr>
      <w:bookmarkStart w:id="12" w:name="_Toc24967"/>
      <w:r>
        <w:rPr>
          <w:rFonts w:ascii="仿宋" w:eastAsia="仿宋" w:hAnsi="仿宋" w:cs="仿宋" w:hint="eastAsia"/>
          <w:lang w:eastAsia="zh-CN"/>
        </w:rPr>
        <w:t>(一)、专用油墨项目背景分析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用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用油墨项目在这个潮流中的定位。同时，我们将关注行业内涌现的新兴机遇，以便专用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专用油墨项目提供了强大的发展动力。我们将聚焦于行业内最新的技术发展趋势，包括但不限于人工智能、大数据分析、物联网等领域。通过深度的技术研究，我们将确保专用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用油墨项目发展的源泉。我们将投入更多的精力对市场需求进行深入剖析，超越表面的需求，深入挖掘潜在的市场痛点和机遇。通过对市场需求的细致了解，专用油墨项目将更有针对性地设计解决方案，满足市场的多样化需求，从而更好地促进专用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用油墨项目战略至关重要。我们将对竞争态势进行更为深入的分析，包括但不限于市场份额、产品特点、客户满意度等多个维度。通过深度的竞争分析，专用油墨项目将能够更准确地把握市场脉搏，制定具有竞争力的专用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用油墨项目的发展具有直接的影响。我们将进行更为全面的法规和政策分析，了解行业发展中的潜在法律风险和合规挑战。通过充分了解和遵守相关法规，专用油墨项目将确保在法律框架内合法合规运营，为专用油墨项目的稳健发展提供有力支持。</w:t>
      </w:r>
    </w:p>
    <w:p>
      <w:pPr>
        <w:pStyle w:val="Heading2"/>
        <w:ind w:firstLine="560" w:firstLineChars="200"/>
        <w:rPr>
          <w:rFonts w:ascii="仿宋" w:eastAsia="仿宋" w:hAnsi="仿宋" w:cs="仿宋" w:hint="eastAsia"/>
          <w:sz w:val="28"/>
          <w:lang w:eastAsia="zh-CN"/>
        </w:rPr>
      </w:pPr>
      <w:bookmarkStart w:id="13" w:name="_Toc5814"/>
      <w:r>
        <w:rPr>
          <w:rFonts w:ascii="仿宋" w:eastAsia="仿宋" w:hAnsi="仿宋" w:cs="仿宋" w:hint="eastAsia"/>
          <w:sz w:val="28"/>
          <w:lang w:eastAsia="zh-CN"/>
        </w:rPr>
        <w:t>(二)、专用油墨项目建设必要性分析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的迫切性源于对行业发展趋势的深刻洞察。我们正处于一个行业变革的时代，科技创新、数字化转型成为企业发展的关键动力。专用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不仅仅是为了跟上潮流，更是为了通过技术创新推动企业的持续发展。通过引入先进的技术和解决方案，专用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用油墨项目的建设成为必然选择，通过提高产品质量、拓展服务领域，从而在竞争中获得更多的机会。专用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用油墨项目建设的必要性体现在对客户需求更精准的满足。通过专用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的背后是对企业持续创新的追求。只有通过不断创新，企业才能在竞争中立于不败之地。专用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708"/>
      <w:r>
        <w:rPr>
          <w:rFonts w:ascii="仿宋" w:eastAsia="仿宋" w:hAnsi="仿宋" w:cs="仿宋" w:hint="eastAsia"/>
          <w:sz w:val="28"/>
          <w:lang w:eastAsia="zh-CN"/>
        </w:rPr>
        <w:t>五、专用油墨项目土建工程</w:t>
      </w:r>
      <w:bookmarkEnd w:id="14"/>
    </w:p>
    <w:p>
      <w:pPr>
        <w:pStyle w:val="Heading2"/>
        <w:rPr>
          <w:rFonts w:ascii="仿宋" w:eastAsia="仿宋" w:hAnsi="仿宋" w:cs="仿宋" w:hint="eastAsia"/>
          <w:lang w:eastAsia="zh-CN"/>
        </w:rPr>
      </w:pPr>
      <w:bookmarkStart w:id="15" w:name="_Toc1484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在专用油墨项目的建筑工程设计中，我们将秉承一系列重要的设计原则，以确保专用油墨项目建筑在功能、美观、可持续性等方面达到最佳效果。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首要原则是确保建筑的功能性得到最大化的发挥。我们将充分理解专用油墨项目的实际需求，合理布局各个功能区域，保证建筑在满足业务需求的同时，提供高效的工作环境。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在建筑设计中，我们将综合考虑建设和运营成本。通过精细的经济效益分析，确保设计方案在高效利用资源的同时，对专用油墨项目的长期盈利能力有积极的贡献。</w:t>
      </w:r>
    </w:p>
    <w:p>
      <w:pPr>
        <w:pStyle w:val="Heading2"/>
        <w:ind w:firstLine="560" w:firstLineChars="200"/>
        <w:rPr>
          <w:rFonts w:ascii="仿宋" w:eastAsia="仿宋" w:hAnsi="仿宋" w:cs="仿宋" w:hint="eastAsia"/>
          <w:sz w:val="28"/>
          <w:lang w:eastAsia="zh-CN"/>
        </w:rPr>
      </w:pPr>
      <w:bookmarkStart w:id="16" w:name="_Toc1578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的土建工程设计中，我们将精准设定设计年限，结合专用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用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33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专用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用油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用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651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本期工程专用油墨项目预计总建筑面积XXX平方米，其中：计容建筑面积XXX平方米，计划建筑工程投资XX万元，占专用油墨项目总投资的XX%。</w:t>
      </w:r>
    </w:p>
    <w:p>
      <w:pPr>
        <w:pStyle w:val="Heading1"/>
        <w:ind w:firstLine="560" w:firstLineChars="200"/>
        <w:rPr>
          <w:rFonts w:ascii="仿宋" w:eastAsia="仿宋" w:hAnsi="仿宋" w:cs="仿宋" w:hint="eastAsia"/>
          <w:sz w:val="28"/>
          <w:lang w:eastAsia="zh-CN"/>
        </w:rPr>
      </w:pPr>
      <w:bookmarkStart w:id="19" w:name="_Toc18714"/>
      <w:r>
        <w:rPr>
          <w:rFonts w:ascii="仿宋" w:eastAsia="仿宋" w:hAnsi="仿宋" w:cs="仿宋" w:hint="eastAsia"/>
          <w:sz w:val="28"/>
          <w:lang w:eastAsia="zh-CN"/>
        </w:rPr>
        <w:t>六、专用油墨项目建设单位说明</w:t>
      </w:r>
      <w:bookmarkEnd w:id="19"/>
    </w:p>
    <w:p>
      <w:pPr>
        <w:pStyle w:val="Heading2"/>
        <w:rPr>
          <w:rFonts w:ascii="仿宋" w:eastAsia="仿宋" w:hAnsi="仿宋" w:cs="仿宋" w:hint="eastAsia"/>
          <w:lang w:eastAsia="zh-CN"/>
        </w:rPr>
      </w:pPr>
      <w:bookmarkStart w:id="20" w:name="_Toc28309"/>
      <w:r>
        <w:rPr>
          <w:rFonts w:ascii="仿宋" w:eastAsia="仿宋" w:hAnsi="仿宋" w:cs="仿宋" w:hint="eastAsia"/>
          <w:lang w:eastAsia="zh-CN"/>
        </w:rPr>
        <w:t>(一)、专用油墨项目承办单位基本情况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2752"/>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用油墨项目承办单位的XXXX，我们着眼于实现可持续的经济效益。通过技术创新和解决方案的提供，公司预计在专用油墨项目执行期间将获得可观的收入增长。这一收入来源主要包括专用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同时，我们注重成本控制和效率提升，以确保专用油墨项目的可持续盈利。透过精细的管理和资源优化，公司期望实现专用油墨项目利润最大化。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用油墨项目实施进行全面的投资评估，包括专用油墨项目启动阶段的资金投入和后续运营成本。通过对专用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用油墨项目实施过程中具备足够的资金流动性，公司将进行详尽的现金流分析。这包括资金需求的合理预测、专用油墨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https://d.book118.com/107042161046006034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27BFC"/>
    <w:rsid w:val="53E27B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4216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2024-01-19T02:09:00Z</dcterms:created>
  <dcterms:modified xsi:type="dcterms:W3CDTF">2024-01-19T02:09:52Z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C3601BC1965C4B26B46D816A30E5AE82_11</vt:lpwstr>
  </property>
  <property fmtid="{D5CDD505-2E9C-101B-9397-08002B2CF9AE}" pid="3" name="KSOProductBuildVer">
    <vt:lpwstr>2052-12.1.0.16120</vt:lpwstr>
  </property>
</Properties>
</file>