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shd w:val="clear" w:color="auto" w:fill="auto"/>
        <w:jc w:val="center"/>
        <w:rPr>
          <w:rFonts w:ascii="方正小标宋_GBK" w:eastAsia="方正小标宋_GBK" w:hAnsi="方正小标宋_GBK" w:cs="方正小标宋_GBK" w:hint="eastAsia"/>
          <w:b w:val="0"/>
          <w:bCs/>
          <w:i w:val="0"/>
          <w:iCs w:val="0"/>
          <w:sz w:val="48"/>
          <w:szCs w:val="48"/>
          <w:highlight w:val="none"/>
        </w:rPr>
      </w:pPr>
      <w:bookmarkStart w:id="0" w:name="_GoBack"/>
      <w:bookmarkEnd w:id="0"/>
      <w:r>
        <w:rPr>
          <w:rFonts w:ascii="方正小标宋_GBK" w:eastAsia="方正小标宋_GBK" w:hAnsi="方正小标宋_GBK" w:cs="方正小标宋_GBK" w:hint="eastAsia"/>
          <w:b/>
          <w:bCs w:val="0"/>
          <w:i w:val="0"/>
          <w:iCs w:val="0"/>
          <w:sz w:val="48"/>
          <w:szCs w:val="48"/>
          <w:highlight w:val="none"/>
          <w:lang w:val="en-US" w:eastAsia="zh-CN"/>
        </w:rPr>
        <w:t>园区项目解决方案</w:t>
      </w:r>
    </w:p>
    <w:p>
      <w:pPr>
        <w:pStyle w:val="Heading1"/>
        <w:shd w:val="clear" w:color="auto" w:fil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 xml:space="preserve"> </w:t>
      </w:r>
      <w:bookmarkStart w:id="1" w:name="_Toc32696"/>
      <w:bookmarkStart w:id="2" w:name="_Toc32290"/>
      <w:r>
        <w:rPr>
          <w:rFonts w:ascii="宋体" w:eastAsia="宋体" w:hAnsi="宋体" w:cs="宋体" w:hint="eastAsia"/>
          <w:i w:val="0"/>
          <w:iCs w:val="0"/>
          <w:sz w:val="24"/>
          <w:szCs w:val="24"/>
          <w:highlight w:val="none"/>
        </w:rPr>
        <w:t>概述</w:t>
      </w:r>
      <w:bookmarkEnd w:id="1"/>
      <w:bookmarkEnd w:id="2"/>
    </w:p>
    <w:p>
      <w:pPr>
        <w:pStyle w:val="Heading2"/>
        <w:numPr>
          <w:ilvl w:val="1"/>
          <w:numId w:val="5"/>
        </w:numPr>
        <w:shd w:val="clear" w:color="auto" w:fill="auto"/>
        <w:ind w:left="992" w:hanging="567" w:leftChars="0" w:firstLineChars="0"/>
        <w:rPr>
          <w:rFonts w:ascii="宋体" w:eastAsia="宋体" w:hAnsi="宋体" w:cs="宋体" w:hint="eastAsia"/>
          <w:i w:val="0"/>
          <w:iCs w:val="0"/>
          <w:sz w:val="24"/>
          <w:szCs w:val="24"/>
          <w:highlight w:val="none"/>
        </w:rPr>
      </w:pPr>
      <w:bookmarkStart w:id="3" w:name="_Toc6614"/>
      <w:bookmarkStart w:id="4" w:name="_Toc29403"/>
      <w:r>
        <w:rPr>
          <w:rFonts w:ascii="宋体" w:eastAsia="宋体" w:hAnsi="宋体" w:cs="宋体" w:hint="eastAsia"/>
          <w:i w:val="0"/>
          <w:iCs w:val="0"/>
          <w:sz w:val="24"/>
          <w:szCs w:val="24"/>
          <w:highlight w:val="none"/>
        </w:rPr>
        <w:t>项目目标</w:t>
      </w:r>
      <w:bookmarkEnd w:id="3"/>
      <w:bookmarkEnd w:id="4"/>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通过项目的</w:t>
      </w:r>
      <w:r>
        <w:rPr>
          <w:rFonts w:ascii="宋体" w:eastAsia="宋体" w:hAnsi="宋体" w:cs="宋体" w:hint="eastAsia"/>
          <w:i w:val="0"/>
          <w:iCs w:val="0"/>
          <w:sz w:val="24"/>
          <w:szCs w:val="24"/>
          <w:highlight w:val="none"/>
          <w:lang w:eastAsia="zh-CN"/>
        </w:rPr>
        <w:t>信息化</w:t>
      </w:r>
      <w:r>
        <w:rPr>
          <w:rFonts w:ascii="宋体" w:eastAsia="宋体" w:hAnsi="宋体" w:cs="宋体" w:hint="eastAsia"/>
          <w:i w:val="0"/>
          <w:iCs w:val="0"/>
          <w:sz w:val="24"/>
          <w:szCs w:val="24"/>
          <w:highlight w:val="none"/>
        </w:rPr>
        <w:t>建设，加强</w:t>
      </w:r>
      <w:r>
        <w:rPr>
          <w:rFonts w:ascii="宋体" w:eastAsia="宋体" w:hAnsi="宋体" w:cs="宋体" w:hint="eastAsia"/>
          <w:i w:val="0"/>
          <w:iCs w:val="0"/>
          <w:sz w:val="24"/>
          <w:szCs w:val="24"/>
          <w:highlight w:val="none"/>
          <w:lang w:eastAsia="zh-CN"/>
        </w:rPr>
        <w:t>园区管理</w:t>
      </w:r>
      <w:r>
        <w:rPr>
          <w:rFonts w:ascii="宋体" w:eastAsia="宋体" w:hAnsi="宋体" w:cs="宋体" w:hint="eastAsia"/>
          <w:i w:val="0"/>
          <w:iCs w:val="0"/>
          <w:sz w:val="24"/>
          <w:szCs w:val="24"/>
          <w:highlight w:val="none"/>
        </w:rPr>
        <w:t>，促进资源整合，</w:t>
      </w:r>
      <w:r>
        <w:rPr>
          <w:rFonts w:ascii="宋体" w:eastAsia="宋体" w:hAnsi="宋体" w:cs="宋体" w:hint="eastAsia"/>
          <w:i w:val="0"/>
          <w:iCs w:val="0"/>
          <w:sz w:val="24"/>
          <w:szCs w:val="24"/>
          <w:highlight w:val="none"/>
          <w:lang w:eastAsia="zh-CN"/>
        </w:rPr>
        <w:t>提升风控能力，</w:t>
      </w:r>
      <w:r>
        <w:rPr>
          <w:rFonts w:ascii="宋体" w:eastAsia="宋体" w:hAnsi="宋体" w:cs="宋体" w:hint="eastAsia"/>
          <w:i w:val="0"/>
          <w:iCs w:val="0"/>
          <w:sz w:val="24"/>
          <w:szCs w:val="24"/>
          <w:highlight w:val="none"/>
        </w:rPr>
        <w:t>提高</w:t>
      </w:r>
      <w:r>
        <w:rPr>
          <w:rFonts w:ascii="宋体" w:eastAsia="宋体" w:hAnsi="宋体" w:cs="宋体" w:hint="eastAsia"/>
          <w:i w:val="0"/>
          <w:iCs w:val="0"/>
          <w:sz w:val="24"/>
          <w:szCs w:val="24"/>
          <w:highlight w:val="none"/>
          <w:lang w:eastAsia="zh-CN"/>
        </w:rPr>
        <w:t>文</w:t>
      </w:r>
      <w:r>
        <w:rPr>
          <w:rFonts w:ascii="宋体" w:eastAsia="宋体" w:hAnsi="宋体" w:cs="宋体" w:hint="eastAsia"/>
          <w:i w:val="0"/>
          <w:iCs w:val="0"/>
          <w:sz w:val="24"/>
          <w:szCs w:val="24"/>
          <w:highlight w:val="none"/>
        </w:rPr>
        <w:t>化内涵的</w:t>
      </w:r>
      <w:r>
        <w:rPr>
          <w:rFonts w:ascii="宋体" w:eastAsia="宋体" w:hAnsi="宋体" w:cs="宋体" w:hint="eastAsia"/>
          <w:i w:val="0"/>
          <w:iCs w:val="0"/>
          <w:sz w:val="24"/>
          <w:szCs w:val="24"/>
          <w:highlight w:val="none"/>
          <w:lang w:eastAsia="zh-CN"/>
        </w:rPr>
        <w:t>形成和</w:t>
      </w:r>
      <w:r>
        <w:rPr>
          <w:rFonts w:ascii="宋体" w:eastAsia="宋体" w:hAnsi="宋体" w:cs="宋体" w:hint="eastAsia"/>
          <w:i w:val="0"/>
          <w:iCs w:val="0"/>
          <w:sz w:val="24"/>
          <w:szCs w:val="24"/>
          <w:highlight w:val="none"/>
        </w:rPr>
        <w:t>呈现，提供一站式平台服务。通过智慧</w:t>
      </w:r>
      <w:r>
        <w:rPr>
          <w:rFonts w:ascii="宋体" w:eastAsia="宋体" w:hAnsi="宋体" w:cs="宋体" w:hint="eastAsia"/>
          <w:i w:val="0"/>
          <w:iCs w:val="0"/>
          <w:sz w:val="24"/>
          <w:szCs w:val="24"/>
          <w:highlight w:val="none"/>
          <w:lang w:eastAsia="zh-CN"/>
        </w:rPr>
        <w:t>园区</w:t>
      </w:r>
      <w:r>
        <w:rPr>
          <w:rFonts w:ascii="宋体" w:eastAsia="宋体" w:hAnsi="宋体" w:cs="宋体" w:hint="eastAsia"/>
          <w:i w:val="0"/>
          <w:iCs w:val="0"/>
          <w:sz w:val="24"/>
          <w:szCs w:val="24"/>
          <w:highlight w:val="none"/>
        </w:rPr>
        <w:t>项目建设，做好</w:t>
      </w:r>
      <w:r>
        <w:rPr>
          <w:rFonts w:ascii="宋体" w:eastAsia="宋体" w:hAnsi="宋体" w:cs="宋体" w:hint="eastAsia"/>
          <w:i w:val="0"/>
          <w:iCs w:val="0"/>
          <w:sz w:val="24"/>
          <w:szCs w:val="24"/>
          <w:highlight w:val="none"/>
          <w:lang w:eastAsia="zh-CN"/>
        </w:rPr>
        <w:t>管理和</w:t>
      </w:r>
      <w:r>
        <w:rPr>
          <w:rFonts w:ascii="宋体" w:eastAsia="宋体" w:hAnsi="宋体" w:cs="宋体" w:hint="eastAsia"/>
          <w:i w:val="0"/>
          <w:iCs w:val="0"/>
          <w:sz w:val="24"/>
          <w:szCs w:val="24"/>
          <w:highlight w:val="none"/>
        </w:rPr>
        <w:t>服务，</w:t>
      </w:r>
      <w:r>
        <w:rPr>
          <w:rFonts w:ascii="宋体" w:eastAsia="宋体" w:hAnsi="宋体" w:cs="宋体" w:hint="eastAsia"/>
          <w:i w:val="0"/>
          <w:iCs w:val="0"/>
          <w:sz w:val="24"/>
          <w:szCs w:val="24"/>
          <w:highlight w:val="none"/>
          <w:lang w:eastAsia="zh-CN"/>
        </w:rPr>
        <w:t>做到可全员追踪、可全程追溯、可切实操作、可个体纠正、可科学统计及可全面分析。</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项目总体目标：</w:t>
      </w:r>
    </w:p>
    <w:p>
      <w:pPr>
        <w:keepNext w:val="0"/>
        <w:keepLines w:val="0"/>
        <w:pageBreakBefore w:val="0"/>
        <w:widowControl w:val="0"/>
        <w:numPr>
          <w:ilvl w:val="0"/>
          <w:numId w:val="6"/>
        </w:numPr>
        <w:shd w:val="clear" w:color="auto" w:fill="auto"/>
        <w:kinsoku/>
        <w:wordWrap/>
        <w:overflowPunct/>
        <w:topLinePunct w:val="0"/>
        <w:autoSpaceDE/>
        <w:autoSpaceDN/>
        <w:bidi w:val="0"/>
        <w:adjustRightInd/>
        <w:snapToGrid/>
        <w:spacing w:line="480" w:lineRule="auto"/>
        <w:ind w:left="845" w:hanging="425"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建立安全、</w:t>
      </w:r>
      <w:r>
        <w:rPr>
          <w:rFonts w:ascii="宋体" w:eastAsia="宋体" w:hAnsi="宋体" w:cs="宋体" w:hint="eastAsia"/>
          <w:i w:val="0"/>
          <w:iCs w:val="0"/>
          <w:sz w:val="24"/>
          <w:szCs w:val="24"/>
          <w:highlight w:val="none"/>
          <w:lang w:eastAsia="zh-CN"/>
        </w:rPr>
        <w:t>低碳、</w:t>
      </w:r>
      <w:r>
        <w:rPr>
          <w:rFonts w:ascii="宋体" w:eastAsia="宋体" w:hAnsi="宋体" w:cs="宋体" w:hint="eastAsia"/>
          <w:i w:val="0"/>
          <w:iCs w:val="0"/>
          <w:sz w:val="24"/>
          <w:szCs w:val="24"/>
          <w:highlight w:val="none"/>
        </w:rPr>
        <w:t>规范、高效、经济的</w:t>
      </w:r>
      <w:r>
        <w:rPr>
          <w:rFonts w:ascii="宋体" w:eastAsia="宋体" w:hAnsi="宋体" w:cs="宋体" w:hint="eastAsia"/>
          <w:i w:val="0"/>
          <w:iCs w:val="0"/>
          <w:sz w:val="24"/>
          <w:szCs w:val="24"/>
          <w:highlight w:val="none"/>
          <w:lang w:eastAsia="zh-CN"/>
        </w:rPr>
        <w:t>智慧园区运行</w:t>
      </w:r>
      <w:r>
        <w:rPr>
          <w:rFonts w:ascii="宋体" w:eastAsia="宋体" w:hAnsi="宋体" w:cs="宋体" w:hint="eastAsia"/>
          <w:i w:val="0"/>
          <w:iCs w:val="0"/>
          <w:sz w:val="24"/>
          <w:szCs w:val="24"/>
          <w:highlight w:val="none"/>
        </w:rPr>
        <w:t>体系；</w:t>
      </w:r>
    </w:p>
    <w:p>
      <w:pPr>
        <w:keepNext w:val="0"/>
        <w:keepLines w:val="0"/>
        <w:pageBreakBefore w:val="0"/>
        <w:widowControl w:val="0"/>
        <w:numPr>
          <w:ilvl w:val="0"/>
          <w:numId w:val="6"/>
        </w:numPr>
        <w:shd w:val="clear" w:color="auto" w:fill="auto"/>
        <w:kinsoku/>
        <w:wordWrap/>
        <w:overflowPunct/>
        <w:topLinePunct w:val="0"/>
        <w:autoSpaceDE/>
        <w:autoSpaceDN/>
        <w:bidi w:val="0"/>
        <w:adjustRightInd/>
        <w:snapToGrid/>
        <w:spacing w:line="480" w:lineRule="auto"/>
        <w:ind w:left="845" w:hanging="425"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建立</w:t>
      </w:r>
      <w:r>
        <w:rPr>
          <w:rFonts w:ascii="宋体" w:eastAsia="宋体" w:hAnsi="宋体" w:cs="宋体" w:hint="eastAsia"/>
          <w:i w:val="0"/>
          <w:iCs w:val="0"/>
          <w:sz w:val="24"/>
          <w:szCs w:val="24"/>
          <w:highlight w:val="none"/>
          <w:lang w:eastAsia="zh-CN"/>
        </w:rPr>
        <w:t>园区</w:t>
      </w:r>
      <w:r>
        <w:rPr>
          <w:rFonts w:ascii="宋体" w:eastAsia="宋体" w:hAnsi="宋体" w:cs="宋体" w:hint="eastAsia"/>
          <w:i w:val="0"/>
          <w:iCs w:val="0"/>
          <w:sz w:val="24"/>
          <w:szCs w:val="24"/>
          <w:highlight w:val="none"/>
        </w:rPr>
        <w:t>资源信息的</w:t>
      </w:r>
      <w:r>
        <w:rPr>
          <w:rFonts w:ascii="宋体" w:eastAsia="宋体" w:hAnsi="宋体" w:cs="宋体" w:hint="eastAsia"/>
          <w:i w:val="0"/>
          <w:iCs w:val="0"/>
          <w:sz w:val="24"/>
          <w:szCs w:val="24"/>
          <w:highlight w:val="none"/>
          <w:lang w:eastAsia="zh-CN"/>
        </w:rPr>
        <w:t>交换、</w:t>
      </w:r>
      <w:r>
        <w:rPr>
          <w:rFonts w:ascii="宋体" w:eastAsia="宋体" w:hAnsi="宋体" w:cs="宋体" w:hint="eastAsia"/>
          <w:i w:val="0"/>
          <w:iCs w:val="0"/>
          <w:sz w:val="24"/>
          <w:szCs w:val="24"/>
          <w:highlight w:val="none"/>
        </w:rPr>
        <w:t>共享、</w:t>
      </w:r>
      <w:r>
        <w:rPr>
          <w:rFonts w:ascii="宋体" w:eastAsia="宋体" w:hAnsi="宋体" w:cs="宋体" w:hint="eastAsia"/>
          <w:i w:val="0"/>
          <w:iCs w:val="0"/>
          <w:sz w:val="24"/>
          <w:szCs w:val="24"/>
          <w:highlight w:val="none"/>
          <w:lang w:eastAsia="zh-CN"/>
        </w:rPr>
        <w:t>挖掘</w:t>
      </w:r>
      <w:r>
        <w:rPr>
          <w:rFonts w:ascii="宋体" w:eastAsia="宋体" w:hAnsi="宋体" w:cs="宋体" w:hint="eastAsia"/>
          <w:i w:val="0"/>
          <w:iCs w:val="0"/>
          <w:sz w:val="24"/>
          <w:szCs w:val="24"/>
          <w:highlight w:val="none"/>
        </w:rPr>
        <w:t>系统</w:t>
      </w:r>
      <w:r>
        <w:rPr>
          <w:rFonts w:ascii="宋体" w:eastAsia="宋体" w:hAnsi="宋体" w:cs="宋体" w:hint="eastAsia"/>
          <w:i w:val="0"/>
          <w:iCs w:val="0"/>
          <w:sz w:val="24"/>
          <w:szCs w:val="24"/>
          <w:highlight w:val="none"/>
          <w:lang w:eastAsia="zh-CN"/>
        </w:rPr>
        <w:t>，实现数据可视化管理</w:t>
      </w:r>
      <w:r>
        <w:rPr>
          <w:rFonts w:ascii="宋体" w:eastAsia="宋体" w:hAnsi="宋体" w:cs="宋体" w:hint="eastAsia"/>
          <w:i w:val="0"/>
          <w:iCs w:val="0"/>
          <w:sz w:val="24"/>
          <w:szCs w:val="24"/>
          <w:highlight w:val="none"/>
        </w:rPr>
        <w:t>；</w:t>
      </w:r>
    </w:p>
    <w:p>
      <w:pPr>
        <w:keepNext w:val="0"/>
        <w:keepLines w:val="0"/>
        <w:pageBreakBefore w:val="0"/>
        <w:widowControl w:val="0"/>
        <w:numPr>
          <w:ilvl w:val="0"/>
          <w:numId w:val="6"/>
        </w:numPr>
        <w:shd w:val="clear" w:color="auto" w:fill="auto"/>
        <w:kinsoku/>
        <w:wordWrap/>
        <w:overflowPunct/>
        <w:topLinePunct w:val="0"/>
        <w:autoSpaceDE/>
        <w:autoSpaceDN/>
        <w:bidi w:val="0"/>
        <w:adjustRightInd/>
        <w:snapToGrid/>
        <w:spacing w:line="480" w:lineRule="auto"/>
        <w:ind w:left="845" w:hanging="425"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eastAsia="zh-CN"/>
        </w:rPr>
        <w:t>运营：绿色节能、智能化、高效管理。</w:t>
      </w:r>
    </w:p>
    <w:p>
      <w:pPr>
        <w:pStyle w:val="Heading2"/>
        <w:numPr>
          <w:ilvl w:val="1"/>
          <w:numId w:val="5"/>
        </w:numPr>
        <w:shd w:val="clear" w:color="auto" w:fill="auto"/>
        <w:ind w:left="992" w:hanging="567" w:leftChars="0" w:firstLineChars="0"/>
        <w:rPr>
          <w:rFonts w:ascii="宋体" w:eastAsia="宋体" w:hAnsi="宋体" w:cs="宋体" w:hint="eastAsia"/>
          <w:i w:val="0"/>
          <w:iCs w:val="0"/>
          <w:sz w:val="24"/>
          <w:szCs w:val="24"/>
          <w:highlight w:val="none"/>
        </w:rPr>
      </w:pPr>
      <w:bookmarkStart w:id="5" w:name="_Toc19842"/>
      <w:r>
        <w:rPr>
          <w:rFonts w:ascii="宋体" w:eastAsia="宋体" w:hAnsi="宋体" w:cs="宋体" w:hint="eastAsia"/>
          <w:i w:val="0"/>
          <w:iCs w:val="0"/>
          <w:sz w:val="24"/>
          <w:szCs w:val="24"/>
          <w:highlight w:val="none"/>
        </w:rPr>
        <w:t>项目</w:t>
      </w:r>
      <w:r>
        <w:rPr>
          <w:rFonts w:ascii="宋体" w:eastAsia="宋体" w:hAnsi="宋体" w:cs="宋体" w:hint="eastAsia"/>
          <w:i w:val="0"/>
          <w:iCs w:val="0"/>
          <w:sz w:val="24"/>
          <w:szCs w:val="24"/>
          <w:highlight w:val="none"/>
          <w:lang w:val="en-US" w:eastAsia="zh-CN"/>
        </w:rPr>
        <w:t>实施范围</w:t>
      </w:r>
      <w:bookmarkEnd w:id="5"/>
    </w:p>
    <w:p>
      <w:pPr>
        <w:keepNext w:val="0"/>
        <w:keepLines w:val="0"/>
        <w:pageBreakBefore w:val="0"/>
        <w:widowControl w:val="0"/>
        <w:numPr>
          <w:ilvl w:val="0"/>
          <w:numId w:val="7"/>
        </w:numPr>
        <w:shd w:val="clear" w:color="auto" w:fill="auto"/>
        <w:kinsoku/>
        <w:wordWrap/>
        <w:overflowPunct/>
        <w:topLinePunct w:val="0"/>
        <w:autoSpaceDE/>
        <w:autoSpaceDN/>
        <w:bidi w:val="0"/>
        <w:adjustRightInd/>
        <w:snapToGrid/>
        <w:spacing w:line="480" w:lineRule="auto"/>
        <w:ind w:left="845" w:hanging="425"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组织范围：</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eastAsia="zh-CN"/>
        </w:rPr>
        <w:t>园区</w:t>
      </w:r>
      <w:r>
        <w:rPr>
          <w:rFonts w:ascii="宋体" w:eastAsia="宋体" w:hAnsi="宋体" w:cs="宋体" w:hint="eastAsia"/>
          <w:i w:val="0"/>
          <w:iCs w:val="0"/>
          <w:sz w:val="24"/>
          <w:szCs w:val="24"/>
          <w:highlight w:val="none"/>
          <w:lang w:val="en-US" w:eastAsia="zh-CN"/>
        </w:rPr>
        <w:t>。</w:t>
      </w:r>
    </w:p>
    <w:p>
      <w:pPr>
        <w:keepNext w:val="0"/>
        <w:keepLines w:val="0"/>
        <w:pageBreakBefore w:val="0"/>
        <w:widowControl w:val="0"/>
        <w:numPr>
          <w:ilvl w:val="0"/>
          <w:numId w:val="7"/>
        </w:numPr>
        <w:shd w:val="clear" w:color="auto" w:fill="auto"/>
        <w:kinsoku/>
        <w:wordWrap/>
        <w:overflowPunct/>
        <w:topLinePunct w:val="0"/>
        <w:autoSpaceDE/>
        <w:autoSpaceDN/>
        <w:bidi w:val="0"/>
        <w:adjustRightInd/>
        <w:snapToGrid/>
        <w:spacing w:line="480" w:lineRule="auto"/>
        <w:ind w:left="845" w:hanging="425"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实施功能范围：</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本期实施</w:t>
      </w:r>
      <w:r>
        <w:rPr>
          <w:rFonts w:ascii="宋体" w:eastAsia="宋体" w:hAnsi="宋体" w:cs="宋体" w:hint="eastAsia"/>
          <w:i w:val="0"/>
          <w:iCs w:val="0"/>
          <w:sz w:val="24"/>
          <w:szCs w:val="24"/>
          <w:highlight w:val="none"/>
          <w:lang w:val="en-US" w:eastAsia="zh-CN"/>
        </w:rPr>
        <w:t>智慧园区管理平台</w:t>
      </w:r>
      <w:r>
        <w:rPr>
          <w:rFonts w:ascii="宋体" w:eastAsia="宋体" w:hAnsi="宋体" w:cs="宋体" w:hint="eastAsia"/>
          <w:i w:val="0"/>
          <w:iCs w:val="0"/>
          <w:sz w:val="24"/>
          <w:szCs w:val="24"/>
          <w:highlight w:val="none"/>
        </w:rPr>
        <w:t>，主要包括建设园区基础管理（监控、门禁）、员工考勤管理、车辆进出管理（停车管理）、智慧路灯（升级改造）、园区监控、食堂刷卡系统（接入厂家）、智慧宿舍（水电、空调）</w:t>
      </w:r>
      <w:r>
        <w:rPr>
          <w:rFonts w:ascii="宋体" w:eastAsia="宋体" w:hAnsi="宋体" w:cs="宋体" w:hint="eastAsia"/>
          <w:i w:val="0"/>
          <w:iCs w:val="0"/>
          <w:sz w:val="24"/>
          <w:szCs w:val="24"/>
          <w:highlight w:val="none"/>
          <w:lang w:val="en-US" w:eastAsia="zh-CN"/>
        </w:rPr>
        <w:t>等</w:t>
      </w:r>
      <w:r>
        <w:rPr>
          <w:rFonts w:ascii="宋体" w:eastAsia="宋体" w:hAnsi="宋体" w:cs="宋体" w:hint="eastAsia"/>
          <w:i w:val="0"/>
          <w:iCs w:val="0"/>
          <w:sz w:val="24"/>
          <w:szCs w:val="24"/>
          <w:highlight w:val="none"/>
        </w:rPr>
        <w:t>。</w:t>
      </w:r>
    </w:p>
    <w:p>
      <w:pPr>
        <w:keepNext w:val="0"/>
        <w:keepLines w:val="0"/>
        <w:pageBreakBefore w:val="0"/>
        <w:widowControl w:val="0"/>
        <w:numPr>
          <w:ilvl w:val="0"/>
          <w:numId w:val="7"/>
        </w:numPr>
        <w:shd w:val="clear" w:color="auto" w:fill="auto"/>
        <w:kinsoku/>
        <w:wordWrap/>
        <w:overflowPunct/>
        <w:topLinePunct w:val="0"/>
        <w:autoSpaceDE/>
        <w:autoSpaceDN/>
        <w:bidi w:val="0"/>
        <w:adjustRightInd/>
        <w:snapToGrid/>
        <w:spacing w:line="480" w:lineRule="auto"/>
        <w:ind w:left="845" w:hanging="425"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val="en-US" w:eastAsia="zh-CN"/>
        </w:rPr>
        <w:t>对象范围</w:t>
      </w:r>
      <w:r>
        <w:rPr>
          <w:rFonts w:ascii="宋体" w:eastAsia="宋体" w:hAnsi="宋体" w:cs="宋体" w:hint="eastAsia"/>
          <w:i w:val="0"/>
          <w:iCs w:val="0"/>
          <w:sz w:val="24"/>
          <w:szCs w:val="24"/>
          <w:highlight w:val="none"/>
        </w:rPr>
        <w:t>：</w:t>
      </w:r>
    </w:p>
    <w:p>
      <w:pPr>
        <w:shd w:val="clear" w:color="auto" w:fill="auto"/>
        <w:spacing w:line="360" w:lineRule="auto"/>
        <w:ind w:firstLine="420" w:firstLineChars="0"/>
        <w:rPr>
          <w:rFonts w:ascii="宋体" w:eastAsia="宋体" w:hAnsi="宋体" w:cs="宋体" w:hint="eastAsia"/>
          <w:i w:val="0"/>
          <w:iCs w:val="0"/>
          <w:sz w:val="24"/>
          <w:szCs w:val="24"/>
          <w:highlight w:val="none"/>
        </w:rPr>
        <w:sectPr>
          <w:headerReference w:type="default" r:id="rId5"/>
          <w:footerReference w:type="default" r:id="rId6"/>
          <w:pgSz w:w="11906" w:h="16838"/>
          <w:pgMar w:top="1440" w:right="1800" w:bottom="1440" w:left="1800" w:header="851" w:footer="992" w:gutter="0"/>
          <w:pgNumType w:fmt="decimal"/>
          <w:cols w:num="1" w:space="425"/>
          <w:docGrid w:type="lines" w:linePitch="312" w:charSpace="0"/>
        </w:sectPr>
      </w:pPr>
      <w:r>
        <w:rPr>
          <w:rFonts w:ascii="宋体" w:eastAsia="宋体" w:hAnsi="宋体" w:cs="宋体" w:hint="eastAsia"/>
          <w:i w:val="0"/>
          <w:iCs w:val="0"/>
          <w:sz w:val="24"/>
          <w:szCs w:val="24"/>
          <w:highlight w:val="none"/>
          <w:lang w:val="en-US" w:eastAsia="zh-CN"/>
        </w:rPr>
        <w:t>有关园区单位。</w:t>
      </w:r>
    </w:p>
    <w:p>
      <w:pPr>
        <w:pStyle w:val="Heading2"/>
        <w:numPr>
          <w:ilvl w:val="1"/>
          <w:numId w:val="5"/>
        </w:numPr>
        <w:shd w:val="clear" w:color="auto" w:fill="auto"/>
        <w:ind w:left="992" w:hanging="567" w:leftChars="0" w:firstLineChars="0"/>
        <w:rPr>
          <w:rFonts w:ascii="宋体" w:eastAsia="宋体" w:hAnsi="宋体" w:cs="宋体" w:hint="eastAsia"/>
          <w:i w:val="0"/>
          <w:iCs w:val="0"/>
          <w:sz w:val="24"/>
          <w:szCs w:val="24"/>
          <w:highlight w:val="none"/>
        </w:rPr>
      </w:pPr>
      <w:bookmarkStart w:id="6" w:name="_Toc20613"/>
      <w:r>
        <w:rPr>
          <w:rFonts w:ascii="宋体" w:eastAsia="宋体" w:hAnsi="宋体" w:cs="宋体" w:hint="eastAsia"/>
          <w:i w:val="0"/>
          <w:iCs w:val="0"/>
          <w:sz w:val="24"/>
          <w:szCs w:val="24"/>
          <w:highlight w:val="none"/>
        </w:rPr>
        <w:t>项目</w:t>
      </w:r>
      <w:r>
        <w:rPr>
          <w:rFonts w:ascii="宋体" w:eastAsia="宋体" w:hAnsi="宋体" w:cs="宋体" w:hint="eastAsia"/>
          <w:i w:val="0"/>
          <w:iCs w:val="0"/>
          <w:sz w:val="24"/>
          <w:szCs w:val="24"/>
          <w:highlight w:val="none"/>
          <w:lang w:val="en-US" w:eastAsia="zh-CN"/>
        </w:rPr>
        <w:t>建设周期</w:t>
      </w:r>
      <w:bookmarkEnd w:id="6"/>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val="en-US" w:eastAsia="zh-CN"/>
        </w:rPr>
        <w:t>建设周期预计2年，</w:t>
      </w:r>
      <w:r>
        <w:rPr>
          <w:rFonts w:ascii="宋体" w:eastAsia="宋体" w:hAnsi="宋体" w:cs="宋体" w:hint="eastAsia"/>
          <w:i w:val="0"/>
          <w:iCs w:val="0"/>
          <w:sz w:val="24"/>
          <w:szCs w:val="24"/>
          <w:highlight w:val="none"/>
        </w:rPr>
        <w:t>项目建设前期主要工作包括：项目建议书、可行性研究报告和初步设计的编制和评审、项目招投标，项目建设期主要工作包括：建设实施阶段、人员培训及试运行阶段、</w:t>
      </w:r>
      <w:bookmarkStart w:id="7" w:name="_bookmark384"/>
      <w:bookmarkEnd w:id="7"/>
      <w:bookmarkStart w:id="8" w:name="_bookmark385"/>
      <w:bookmarkEnd w:id="8"/>
      <w:r>
        <w:rPr>
          <w:rFonts w:ascii="宋体" w:eastAsia="宋体" w:hAnsi="宋体" w:cs="宋体" w:hint="eastAsia"/>
          <w:i w:val="0"/>
          <w:iCs w:val="0"/>
          <w:sz w:val="24"/>
          <w:szCs w:val="24"/>
          <w:highlight w:val="none"/>
        </w:rPr>
        <w:t>项目验收阶段。</w:t>
      </w:r>
    </w:p>
    <w:p>
      <w:pPr>
        <w:pStyle w:val="Heading2"/>
        <w:numPr>
          <w:ilvl w:val="1"/>
          <w:numId w:val="5"/>
        </w:numPr>
        <w:shd w:val="clear" w:color="auto" w:fill="auto"/>
        <w:ind w:left="992" w:hanging="567" w:leftChars="0" w:firstLineChars="0"/>
        <w:rPr>
          <w:rFonts w:ascii="宋体" w:eastAsia="宋体" w:hAnsi="宋体" w:cs="宋体" w:hint="eastAsia"/>
          <w:i w:val="0"/>
          <w:iCs w:val="0"/>
          <w:sz w:val="24"/>
          <w:szCs w:val="24"/>
          <w:highlight w:val="none"/>
        </w:rPr>
      </w:pPr>
      <w:bookmarkStart w:id="9" w:name="_Toc500763488"/>
      <w:bookmarkStart w:id="10" w:name="_Toc27480"/>
      <w:r>
        <w:rPr>
          <w:rFonts w:ascii="宋体" w:eastAsia="宋体" w:hAnsi="宋体" w:cs="宋体" w:hint="eastAsia"/>
          <w:i w:val="0"/>
          <w:iCs w:val="0"/>
          <w:sz w:val="24"/>
          <w:szCs w:val="24"/>
          <w:highlight w:val="none"/>
          <w:lang w:val="en-US" w:eastAsia="zh-CN"/>
        </w:rPr>
        <w:t>项目需求</w:t>
      </w:r>
      <w:r>
        <w:rPr>
          <w:rFonts w:ascii="宋体" w:eastAsia="宋体" w:hAnsi="宋体" w:cs="宋体" w:hint="eastAsia"/>
          <w:i w:val="0"/>
          <w:iCs w:val="0"/>
          <w:sz w:val="24"/>
          <w:szCs w:val="24"/>
          <w:highlight w:val="none"/>
        </w:rPr>
        <w:t>分析</w:t>
      </w:r>
      <w:bookmarkEnd w:id="9"/>
      <w:bookmarkEnd w:id="10"/>
    </w:p>
    <w:p>
      <w:pPr>
        <w:pStyle w:val="Heading3"/>
        <w:keepNext/>
        <w:keepLines/>
        <w:pageBreakBefore w:val="0"/>
        <w:widowControl w:val="0"/>
        <w:numPr>
          <w:ilvl w:val="2"/>
          <w:numId w:val="5"/>
        </w:numPr>
        <w:shd w:val="clear" w:color="auto" w:fill="auto"/>
        <w:kinsoku/>
        <w:wordWrap/>
        <w:overflowPunct/>
        <w:topLinePunct w:val="0"/>
        <w:autoSpaceDE/>
        <w:autoSpaceDN/>
        <w:bidi w:val="0"/>
        <w:adjustRightInd/>
        <w:snapToGrid/>
        <w:spacing w:before="0" w:after="0" w:line="416" w:lineRule="auto"/>
        <w:ind w:left="1418" w:hanging="567" w:leftChars="0" w:firstLineChars="0"/>
        <w:textAlignment w:val="auto"/>
        <w:rPr>
          <w:rFonts w:ascii="宋体" w:eastAsia="宋体" w:hAnsi="宋体" w:cs="宋体" w:hint="eastAsia"/>
          <w:i w:val="0"/>
          <w:iCs w:val="0"/>
          <w:sz w:val="24"/>
          <w:szCs w:val="24"/>
          <w:highlight w:val="none"/>
        </w:rPr>
      </w:pPr>
      <w:bookmarkStart w:id="11" w:name="_Toc500763489"/>
      <w:bookmarkStart w:id="12" w:name="_Toc30075"/>
      <w:r>
        <w:rPr>
          <w:rFonts w:ascii="宋体" w:eastAsia="宋体" w:hAnsi="宋体" w:cs="宋体" w:hint="eastAsia"/>
          <w:i w:val="0"/>
          <w:iCs w:val="0"/>
          <w:sz w:val="24"/>
          <w:szCs w:val="24"/>
          <w:highlight w:val="none"/>
        </w:rPr>
        <w:t>功能需求</w:t>
      </w:r>
      <w:bookmarkEnd w:id="11"/>
      <w:bookmarkEnd w:id="12"/>
    </w:p>
    <w:p>
      <w:pPr>
        <w:keepNext w:val="0"/>
        <w:keepLines w:val="0"/>
        <w:pageBreakBefore w:val="0"/>
        <w:widowControl w:val="0"/>
        <w:numPr>
          <w:ilvl w:val="0"/>
          <w:numId w:val="8"/>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各功能模块设计合理，符合用户的操作习惯。</w:t>
      </w:r>
    </w:p>
    <w:p>
      <w:pPr>
        <w:keepNext w:val="0"/>
        <w:keepLines w:val="0"/>
        <w:pageBreakBefore w:val="0"/>
        <w:widowControl w:val="0"/>
        <w:numPr>
          <w:ilvl w:val="0"/>
          <w:numId w:val="8"/>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功能界面设计合理，展现新颖，图标符合功能释义。</w:t>
      </w:r>
    </w:p>
    <w:p>
      <w:pPr>
        <w:keepNext w:val="0"/>
        <w:keepLines w:val="0"/>
        <w:pageBreakBefore w:val="0"/>
        <w:widowControl w:val="0"/>
        <w:numPr>
          <w:ilvl w:val="0"/>
          <w:numId w:val="8"/>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功能模块命名具有标识性，禁止出现歧义的命名规则。</w:t>
      </w:r>
    </w:p>
    <w:p>
      <w:pPr>
        <w:keepNext w:val="0"/>
        <w:keepLines w:val="0"/>
        <w:pageBreakBefore w:val="0"/>
        <w:widowControl w:val="0"/>
        <w:numPr>
          <w:ilvl w:val="0"/>
          <w:numId w:val="8"/>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分类系统、标签系统命名要具有代表性，禁止随意的命名分类、标签，影响用户理解。</w:t>
      </w:r>
    </w:p>
    <w:p>
      <w:pPr>
        <w:keepNext w:val="0"/>
        <w:keepLines w:val="0"/>
        <w:pageBreakBefore w:val="0"/>
        <w:widowControl w:val="0"/>
        <w:numPr>
          <w:ilvl w:val="0"/>
          <w:numId w:val="8"/>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不同角色用户权限要明确区分并实现控制。</w:t>
      </w:r>
    </w:p>
    <w:p>
      <w:pPr>
        <w:pStyle w:val="Heading3"/>
        <w:keepNext/>
        <w:keepLines/>
        <w:pageBreakBefore w:val="0"/>
        <w:widowControl w:val="0"/>
        <w:numPr>
          <w:ilvl w:val="2"/>
          <w:numId w:val="5"/>
        </w:numPr>
        <w:shd w:val="clear" w:color="auto" w:fill="auto"/>
        <w:kinsoku/>
        <w:wordWrap/>
        <w:overflowPunct/>
        <w:topLinePunct w:val="0"/>
        <w:autoSpaceDE/>
        <w:autoSpaceDN/>
        <w:bidi w:val="0"/>
        <w:adjustRightInd/>
        <w:snapToGrid/>
        <w:spacing w:before="0" w:after="0" w:line="416" w:lineRule="auto"/>
        <w:ind w:left="1418" w:hanging="567" w:leftChars="0" w:firstLineChars="0"/>
        <w:textAlignment w:val="auto"/>
        <w:rPr>
          <w:rFonts w:ascii="宋体" w:eastAsia="宋体" w:hAnsi="宋体" w:cs="宋体" w:hint="eastAsia"/>
          <w:i w:val="0"/>
          <w:iCs w:val="0"/>
          <w:sz w:val="24"/>
          <w:szCs w:val="24"/>
          <w:highlight w:val="none"/>
        </w:rPr>
      </w:pPr>
      <w:bookmarkStart w:id="13" w:name="_Toc500763490"/>
      <w:bookmarkStart w:id="14" w:name="_Toc13486"/>
      <w:r>
        <w:rPr>
          <w:rFonts w:ascii="宋体" w:eastAsia="宋体" w:hAnsi="宋体" w:cs="宋体" w:hint="eastAsia"/>
          <w:i w:val="0"/>
          <w:iCs w:val="0"/>
          <w:sz w:val="24"/>
          <w:szCs w:val="24"/>
          <w:highlight w:val="none"/>
        </w:rPr>
        <w:t>性能需求</w:t>
      </w:r>
      <w:bookmarkEnd w:id="13"/>
      <w:bookmarkEnd w:id="14"/>
    </w:p>
    <w:p>
      <w:pPr>
        <w:keepNext w:val="0"/>
        <w:keepLines w:val="0"/>
        <w:pageBreakBefore w:val="0"/>
        <w:widowControl w:val="0"/>
        <w:numPr>
          <w:ilvl w:val="0"/>
          <w:numId w:val="9"/>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稳定性是系统第一考虑的因素，直接关系到用户能不能使用。从系统设计、编码实施、测试、发布等各环节都要考虑系统的稳定性，负载均衡、数据容灾备份等都是</w:t>
      </w:r>
      <w:r>
        <w:rPr>
          <w:rFonts w:ascii="宋体" w:eastAsia="宋体" w:hAnsi="宋体" w:cs="宋体" w:hint="eastAsia"/>
          <w:sz w:val="24"/>
          <w:szCs w:val="24"/>
          <w:highlight w:val="none"/>
          <w:lang w:val="en-US" w:eastAsia="zh-CN"/>
        </w:rPr>
        <w:t>很好</w:t>
      </w:r>
      <w:r>
        <w:rPr>
          <w:rFonts w:ascii="宋体" w:eastAsia="宋体" w:hAnsi="宋体" w:cs="宋体" w:hint="eastAsia"/>
          <w:sz w:val="24"/>
          <w:szCs w:val="24"/>
          <w:highlight w:val="none"/>
        </w:rPr>
        <w:t>的</w:t>
      </w:r>
      <w:r>
        <w:rPr>
          <w:rFonts w:ascii="宋体" w:eastAsia="宋体" w:hAnsi="宋体" w:cs="宋体" w:hint="eastAsia"/>
          <w:sz w:val="24"/>
          <w:szCs w:val="24"/>
          <w:highlight w:val="none"/>
          <w:lang w:val="en-US" w:eastAsia="zh-CN"/>
        </w:rPr>
        <w:t>解决方法</w:t>
      </w:r>
      <w:r>
        <w:rPr>
          <w:rFonts w:ascii="宋体" w:eastAsia="宋体" w:hAnsi="宋体" w:cs="宋体" w:hint="eastAsia"/>
          <w:sz w:val="24"/>
          <w:szCs w:val="24"/>
          <w:highlight w:val="none"/>
        </w:rPr>
        <w:t>。尤其是在系统进入正式运行阶段，更要制定好系统以及数据出现问题时的应对措施，避免出现不可恢复的“灾难”。</w:t>
      </w:r>
    </w:p>
    <w:p>
      <w:pPr>
        <w:keepNext w:val="0"/>
        <w:keepLines w:val="0"/>
        <w:pageBreakBefore w:val="0"/>
        <w:widowControl w:val="0"/>
        <w:numPr>
          <w:ilvl w:val="0"/>
          <w:numId w:val="9"/>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sectPr>
          <w:headerReference w:type="default" r:id="rId7"/>
          <w:footerReference w:type="default" r:id="rId8"/>
          <w:type w:val="nextPage"/>
          <w:pgSz w:w="11906" w:h="16838"/>
          <w:pgMar w:top="1440" w:right="1800" w:bottom="1440" w:left="1800" w:header="851" w:footer="992" w:gutter="0"/>
          <w:pgNumType w:fmt="decimal" w:start="2"/>
          <w:cols w:num="1" w:space="425"/>
          <w:titlePg w:val="0"/>
          <w:docGrid w:type="lines" w:linePitch="312" w:charSpace="0"/>
        </w:sectPr>
      </w:pPr>
      <w:r>
        <w:rPr>
          <w:rFonts w:ascii="宋体" w:eastAsia="宋体" w:hAnsi="宋体" w:cs="宋体" w:hint="eastAsia"/>
          <w:sz w:val="24"/>
          <w:szCs w:val="24"/>
          <w:highlight w:val="none"/>
        </w:rPr>
        <w:t>时间响应性是系统的灵魂，几乎任何一个操作都是在操作数据。在网络允许的情况下，应尽量保证操作数据响应时间在用户的感官视觉时间范围内。</w:t>
      </w:r>
    </w:p>
    <w:p>
      <w:pPr>
        <w:keepNext w:val="0"/>
        <w:keepLines w:val="0"/>
        <w:pageBreakBefore w:val="0"/>
        <w:widowControl w:val="0"/>
        <w:numPr>
          <w:ilvl w:val="0"/>
          <w:numId w:val="9"/>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精确性</w:t>
      </w:r>
      <w:r>
        <w:rPr>
          <w:rFonts w:ascii="宋体" w:eastAsia="宋体" w:hAnsi="宋体" w:cs="宋体" w:hint="eastAsia"/>
          <w:sz w:val="24"/>
          <w:szCs w:val="24"/>
          <w:highlight w:val="none"/>
          <w:lang w:eastAsia="zh-CN"/>
        </w:rPr>
        <w:t>，</w:t>
      </w:r>
      <w:r>
        <w:rPr>
          <w:rFonts w:ascii="宋体" w:eastAsia="宋体" w:hAnsi="宋体" w:cs="宋体" w:hint="eastAsia"/>
          <w:sz w:val="24"/>
          <w:szCs w:val="24"/>
          <w:highlight w:val="none"/>
        </w:rPr>
        <w:t>在从数据库中读取数据时，要求数据定位准确；在向数据库写入数据时，要求对录入数据进行校验。</w:t>
      </w:r>
    </w:p>
    <w:p>
      <w:pPr>
        <w:keepNext w:val="0"/>
        <w:keepLines w:val="0"/>
        <w:pageBreakBefore w:val="0"/>
        <w:widowControl w:val="0"/>
        <w:numPr>
          <w:ilvl w:val="0"/>
          <w:numId w:val="9"/>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灵活性</w:t>
      </w:r>
      <w:r>
        <w:rPr>
          <w:rFonts w:ascii="宋体" w:eastAsia="宋体" w:hAnsi="宋体" w:cs="宋体" w:hint="eastAsia"/>
          <w:sz w:val="24"/>
          <w:szCs w:val="24"/>
          <w:highlight w:val="none"/>
          <w:lang w:eastAsia="zh-CN"/>
        </w:rPr>
        <w:t>，</w:t>
      </w:r>
      <w:r>
        <w:rPr>
          <w:rFonts w:ascii="宋体" w:eastAsia="宋体" w:hAnsi="宋体" w:cs="宋体" w:hint="eastAsia"/>
          <w:sz w:val="24"/>
          <w:szCs w:val="24"/>
          <w:highlight w:val="none"/>
        </w:rPr>
        <w:t>当需求发生某些变化时，系统整体设计以及实现基本不发生变化，只需通过简单配置便可满足要求。</w:t>
      </w:r>
    </w:p>
    <w:p>
      <w:pPr>
        <w:pStyle w:val="Heading3"/>
        <w:keepNext/>
        <w:keepLines/>
        <w:pageBreakBefore w:val="0"/>
        <w:widowControl w:val="0"/>
        <w:numPr>
          <w:ilvl w:val="2"/>
          <w:numId w:val="5"/>
        </w:numPr>
        <w:shd w:val="clear" w:color="auto" w:fill="auto"/>
        <w:kinsoku/>
        <w:wordWrap/>
        <w:overflowPunct/>
        <w:topLinePunct w:val="0"/>
        <w:autoSpaceDE/>
        <w:autoSpaceDN/>
        <w:bidi w:val="0"/>
        <w:adjustRightInd/>
        <w:snapToGrid/>
        <w:spacing w:before="0" w:after="0" w:line="416" w:lineRule="auto"/>
        <w:ind w:left="1418" w:hanging="567" w:leftChars="0" w:firstLineChars="0"/>
        <w:textAlignment w:val="auto"/>
        <w:rPr>
          <w:rFonts w:ascii="宋体" w:eastAsia="宋体" w:hAnsi="宋体" w:cs="宋体" w:hint="eastAsia"/>
          <w:i w:val="0"/>
          <w:iCs w:val="0"/>
          <w:sz w:val="24"/>
          <w:szCs w:val="24"/>
          <w:highlight w:val="none"/>
        </w:rPr>
      </w:pPr>
      <w:bookmarkStart w:id="15" w:name="_Toc500763491"/>
      <w:bookmarkStart w:id="16" w:name="_Toc22006"/>
      <w:r>
        <w:rPr>
          <w:rFonts w:ascii="宋体" w:eastAsia="宋体" w:hAnsi="宋体" w:cs="宋体" w:hint="eastAsia"/>
          <w:i w:val="0"/>
          <w:iCs w:val="0"/>
          <w:sz w:val="24"/>
          <w:szCs w:val="24"/>
          <w:highlight w:val="none"/>
        </w:rPr>
        <w:t>数据需求</w:t>
      </w:r>
      <w:bookmarkEnd w:id="15"/>
      <w:bookmarkEnd w:id="16"/>
    </w:p>
    <w:p>
      <w:pPr>
        <w:keepNext w:val="0"/>
        <w:keepLines w:val="0"/>
        <w:pageBreakBefore w:val="0"/>
        <w:widowControl w:val="0"/>
        <w:numPr>
          <w:ilvl w:val="0"/>
          <w:numId w:val="10"/>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时效性</w:t>
      </w:r>
      <w:r>
        <w:rPr>
          <w:rFonts w:ascii="宋体" w:eastAsia="宋体" w:hAnsi="宋体" w:cs="宋体" w:hint="eastAsia"/>
          <w:sz w:val="24"/>
          <w:szCs w:val="24"/>
          <w:highlight w:val="none"/>
          <w:lang w:val="en-US" w:eastAsia="zh-CN"/>
        </w:rPr>
        <w:t>,</w:t>
      </w:r>
      <w:r>
        <w:rPr>
          <w:rFonts w:ascii="宋体" w:eastAsia="宋体" w:hAnsi="宋体" w:cs="宋体" w:hint="eastAsia"/>
          <w:sz w:val="24"/>
          <w:szCs w:val="24"/>
          <w:highlight w:val="none"/>
        </w:rPr>
        <w:t>为了保证数据的时效性，需制定合理的数据周期，严格按照周期更新数据，才能使系统提供的服务保持动态特性。</w:t>
      </w:r>
    </w:p>
    <w:p>
      <w:pPr>
        <w:keepNext w:val="0"/>
        <w:keepLines w:val="0"/>
        <w:pageBreakBefore w:val="0"/>
        <w:widowControl w:val="0"/>
        <w:numPr>
          <w:ilvl w:val="0"/>
          <w:numId w:val="10"/>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安全性</w:t>
      </w:r>
      <w:r>
        <w:rPr>
          <w:rFonts w:ascii="宋体" w:eastAsia="宋体" w:hAnsi="宋体" w:cs="宋体" w:hint="eastAsia"/>
          <w:sz w:val="24"/>
          <w:szCs w:val="24"/>
          <w:highlight w:val="none"/>
          <w:lang w:eastAsia="zh-CN"/>
        </w:rPr>
        <w:t>，</w:t>
      </w:r>
      <w:r>
        <w:rPr>
          <w:rFonts w:ascii="宋体" w:eastAsia="宋体" w:hAnsi="宋体" w:cs="宋体" w:hint="eastAsia"/>
          <w:sz w:val="24"/>
          <w:szCs w:val="24"/>
          <w:highlight w:val="none"/>
        </w:rPr>
        <w:t>在数据传输过程中</w:t>
      </w:r>
      <w:r>
        <w:rPr>
          <w:rFonts w:ascii="宋体" w:eastAsia="宋体" w:hAnsi="宋体" w:cs="宋体" w:hint="eastAsia"/>
          <w:sz w:val="24"/>
          <w:szCs w:val="24"/>
          <w:highlight w:val="none"/>
          <w:lang w:val="en-US" w:eastAsia="zh-CN"/>
        </w:rPr>
        <w:t>进行加密</w:t>
      </w:r>
      <w:r>
        <w:rPr>
          <w:rFonts w:ascii="宋体" w:eastAsia="宋体" w:hAnsi="宋体" w:cs="宋体" w:hint="eastAsia"/>
          <w:sz w:val="24"/>
          <w:szCs w:val="24"/>
          <w:highlight w:val="none"/>
        </w:rPr>
        <w:t>。对敏感信息的展示进行</w:t>
      </w:r>
      <w:r>
        <w:rPr>
          <w:rFonts w:ascii="宋体" w:eastAsia="宋体" w:hAnsi="宋体" w:cs="宋体" w:hint="eastAsia"/>
          <w:sz w:val="24"/>
          <w:szCs w:val="24"/>
          <w:highlight w:val="none"/>
          <w:lang w:val="en-US" w:eastAsia="zh-CN"/>
        </w:rPr>
        <w:t>脱敏</w:t>
      </w:r>
      <w:r>
        <w:rPr>
          <w:rFonts w:ascii="宋体" w:eastAsia="宋体" w:hAnsi="宋体" w:cs="宋体" w:hint="eastAsia"/>
          <w:sz w:val="24"/>
          <w:szCs w:val="24"/>
          <w:highlight w:val="none"/>
        </w:rPr>
        <w:t>。</w:t>
      </w:r>
    </w:p>
    <w:p>
      <w:pPr>
        <w:pStyle w:val="Heading3"/>
        <w:keepNext/>
        <w:keepLines/>
        <w:pageBreakBefore w:val="0"/>
        <w:widowControl w:val="0"/>
        <w:numPr>
          <w:ilvl w:val="2"/>
          <w:numId w:val="5"/>
        </w:numPr>
        <w:shd w:val="clear" w:color="auto" w:fill="auto"/>
        <w:kinsoku/>
        <w:wordWrap/>
        <w:overflowPunct/>
        <w:topLinePunct w:val="0"/>
        <w:autoSpaceDE/>
        <w:autoSpaceDN/>
        <w:bidi w:val="0"/>
        <w:adjustRightInd/>
        <w:snapToGrid/>
        <w:spacing w:before="0" w:after="0" w:line="416" w:lineRule="auto"/>
        <w:ind w:left="1418" w:hanging="567" w:leftChars="0" w:firstLineChars="0"/>
        <w:textAlignment w:val="auto"/>
        <w:rPr>
          <w:rFonts w:ascii="宋体" w:eastAsia="宋体" w:hAnsi="宋体" w:cs="宋体" w:hint="eastAsia"/>
          <w:i w:val="0"/>
          <w:iCs w:val="0"/>
          <w:sz w:val="24"/>
          <w:szCs w:val="24"/>
          <w:highlight w:val="none"/>
        </w:rPr>
      </w:pPr>
      <w:bookmarkStart w:id="17" w:name="_Toc11880"/>
      <w:bookmarkStart w:id="18" w:name="_Toc500763492"/>
      <w:r>
        <w:rPr>
          <w:rFonts w:ascii="宋体" w:eastAsia="宋体" w:hAnsi="宋体" w:cs="宋体" w:hint="eastAsia"/>
          <w:i w:val="0"/>
          <w:iCs w:val="0"/>
          <w:sz w:val="24"/>
          <w:szCs w:val="24"/>
          <w:highlight w:val="none"/>
        </w:rPr>
        <w:t>其他需求</w:t>
      </w:r>
      <w:bookmarkEnd w:id="17"/>
      <w:bookmarkEnd w:id="18"/>
    </w:p>
    <w:p>
      <w:pPr>
        <w:keepNext w:val="0"/>
        <w:keepLines w:val="0"/>
        <w:pageBreakBefore w:val="0"/>
        <w:widowControl w:val="0"/>
        <w:numPr>
          <w:ilvl w:val="0"/>
          <w:numId w:val="11"/>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网络需求</w:t>
      </w:r>
      <w:r>
        <w:rPr>
          <w:rFonts w:ascii="宋体" w:eastAsia="宋体" w:hAnsi="宋体" w:cs="宋体" w:hint="eastAsia"/>
          <w:sz w:val="24"/>
          <w:szCs w:val="24"/>
          <w:highlight w:val="none"/>
          <w:lang w:eastAsia="zh-CN"/>
        </w:rPr>
        <w:t>：</w:t>
      </w:r>
      <w:r>
        <w:rPr>
          <w:rFonts w:ascii="宋体" w:eastAsia="宋体" w:hAnsi="宋体" w:cs="宋体" w:hint="eastAsia"/>
          <w:sz w:val="24"/>
          <w:szCs w:val="24"/>
          <w:highlight w:val="none"/>
          <w:lang w:val="en-US" w:eastAsia="zh-CN"/>
        </w:rPr>
        <w:t>互联</w:t>
      </w:r>
      <w:r>
        <w:rPr>
          <w:rFonts w:ascii="宋体" w:eastAsia="宋体" w:hAnsi="宋体" w:cs="宋体" w:hint="eastAsia"/>
          <w:sz w:val="24"/>
          <w:szCs w:val="24"/>
          <w:highlight w:val="none"/>
        </w:rPr>
        <w:t>网环境。</w:t>
      </w:r>
    </w:p>
    <w:p>
      <w:pPr>
        <w:keepNext w:val="0"/>
        <w:keepLines w:val="0"/>
        <w:pageBreakBefore w:val="0"/>
        <w:widowControl w:val="0"/>
        <w:numPr>
          <w:ilvl w:val="0"/>
          <w:numId w:val="11"/>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存储需求</w:t>
      </w:r>
      <w:r>
        <w:rPr>
          <w:rFonts w:ascii="宋体" w:eastAsia="宋体" w:hAnsi="宋体" w:cs="宋体" w:hint="eastAsia"/>
          <w:sz w:val="24"/>
          <w:szCs w:val="24"/>
          <w:highlight w:val="none"/>
          <w:lang w:eastAsia="zh-CN"/>
        </w:rPr>
        <w:t>：</w:t>
      </w:r>
      <w:r>
        <w:rPr>
          <w:rFonts w:ascii="宋体" w:eastAsia="宋体" w:hAnsi="宋体" w:cs="宋体" w:hint="eastAsia"/>
          <w:sz w:val="24"/>
          <w:szCs w:val="24"/>
          <w:highlight w:val="none"/>
        </w:rPr>
        <w:t>随着数据的定期更新、积累，数据量将不断增加，必须保证足够的存储空间。</w:t>
      </w:r>
    </w:p>
    <w:p>
      <w:pPr>
        <w:keepNext w:val="0"/>
        <w:keepLines w:val="0"/>
        <w:pageBreakBefore w:val="0"/>
        <w:widowControl w:val="0"/>
        <w:numPr>
          <w:ilvl w:val="0"/>
          <w:numId w:val="11"/>
        </w:numPr>
        <w:shd w:val="clear" w:color="auto" w:fill="auto"/>
        <w:kinsoku/>
        <w:wordWrap/>
        <w:overflowPunct/>
        <w:topLinePunct w:val="0"/>
        <w:autoSpaceDE/>
        <w:autoSpaceDN/>
        <w:bidi w:val="0"/>
        <w:adjustRightInd/>
        <w:snapToGrid/>
        <w:spacing w:line="480" w:lineRule="auto"/>
        <w:ind w:left="1264" w:hanging="425" w:leftChars="0" w:firstLineChars="0"/>
        <w:textAlignment w:val="auto"/>
        <w:rPr>
          <w:rFonts w:ascii="宋体" w:eastAsia="宋体" w:hAnsi="宋体" w:cs="宋体" w:hint="eastAsia"/>
          <w:sz w:val="24"/>
          <w:szCs w:val="24"/>
          <w:highlight w:val="none"/>
        </w:rPr>
      </w:pPr>
      <w:r>
        <w:rPr>
          <w:rFonts w:ascii="宋体" w:eastAsia="宋体" w:hAnsi="宋体" w:cs="宋体" w:hint="eastAsia"/>
          <w:sz w:val="24"/>
          <w:szCs w:val="24"/>
          <w:highlight w:val="none"/>
        </w:rPr>
        <w:t>服务器需求</w:t>
      </w:r>
      <w:r>
        <w:rPr>
          <w:rFonts w:ascii="宋体" w:eastAsia="宋体" w:hAnsi="宋体" w:cs="宋体" w:hint="eastAsia"/>
          <w:sz w:val="24"/>
          <w:szCs w:val="24"/>
          <w:highlight w:val="none"/>
          <w:lang w:eastAsia="zh-CN"/>
        </w:rPr>
        <w:t>：</w:t>
      </w:r>
      <w:r>
        <w:rPr>
          <w:rFonts w:ascii="宋体" w:eastAsia="宋体" w:hAnsi="宋体" w:cs="宋体" w:hint="eastAsia"/>
          <w:sz w:val="24"/>
          <w:szCs w:val="24"/>
          <w:highlight w:val="none"/>
        </w:rPr>
        <w:t>足够数量和相应配置的服务器。</w:t>
      </w:r>
    </w:p>
    <w:p>
      <w:pPr>
        <w:pStyle w:val="Heading2"/>
        <w:numPr>
          <w:ilvl w:val="1"/>
          <w:numId w:val="5"/>
        </w:numPr>
        <w:shd w:val="clear" w:color="auto" w:fill="auto"/>
        <w:ind w:left="992" w:hanging="567" w:leftChars="0" w:firstLineChars="0"/>
        <w:rPr>
          <w:rFonts w:ascii="宋体" w:eastAsia="宋体" w:hAnsi="宋体" w:cs="宋体" w:hint="eastAsia"/>
          <w:i w:val="0"/>
          <w:iCs w:val="0"/>
          <w:sz w:val="24"/>
          <w:szCs w:val="24"/>
          <w:highlight w:val="none"/>
        </w:rPr>
      </w:pPr>
      <w:bookmarkStart w:id="19" w:name="_Toc13541"/>
      <w:bookmarkStart w:id="20" w:name="_Toc9568"/>
      <w:r>
        <w:rPr>
          <w:rFonts w:ascii="宋体" w:eastAsia="宋体" w:hAnsi="宋体" w:cs="宋体" w:hint="eastAsia"/>
          <w:i w:val="0"/>
          <w:iCs w:val="0"/>
          <w:sz w:val="24"/>
          <w:szCs w:val="24"/>
          <w:highlight w:val="none"/>
        </w:rPr>
        <w:t>项目实施原则</w:t>
      </w:r>
      <w:bookmarkEnd w:id="19"/>
      <w:bookmarkEnd w:id="20"/>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eastAsia="zh-CN" w:bidi="ar"/>
        </w:rPr>
        <w:t>（</w:t>
      </w:r>
      <w:r>
        <w:rPr>
          <w:rFonts w:ascii="宋体" w:eastAsia="宋体" w:hAnsi="宋体" w:cs="宋体" w:hint="eastAsia"/>
          <w:i w:val="0"/>
          <w:iCs w:val="0"/>
          <w:sz w:val="24"/>
          <w:szCs w:val="24"/>
          <w:highlight w:val="none"/>
          <w:lang w:val="en-US" w:eastAsia="zh-CN" w:bidi="ar"/>
        </w:rPr>
        <w:t>1</w:t>
      </w:r>
      <w:r>
        <w:rPr>
          <w:rFonts w:ascii="宋体" w:eastAsia="宋体" w:hAnsi="宋体" w:cs="宋体" w:hint="eastAsia"/>
          <w:i w:val="0"/>
          <w:iCs w:val="0"/>
          <w:sz w:val="24"/>
          <w:szCs w:val="24"/>
          <w:highlight w:val="none"/>
          <w:lang w:eastAsia="zh-CN" w:bidi="ar"/>
        </w:rPr>
        <w:t>）</w:t>
      </w:r>
      <w:r>
        <w:rPr>
          <w:rFonts w:ascii="宋体" w:eastAsia="宋体" w:hAnsi="宋体" w:cs="宋体" w:hint="eastAsia"/>
          <w:i w:val="0"/>
          <w:iCs w:val="0"/>
          <w:sz w:val="24"/>
          <w:szCs w:val="24"/>
          <w:highlight w:val="none"/>
          <w:lang w:bidi="ar"/>
        </w:rPr>
        <w:t>统一规划，分步实施、逐步完善的原则。为了使系统具有系统性、完整性、实现资源共享，系统的实施按照统一规划，分步实施、逐步完善的原则进行。</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bidi="ar"/>
        </w:rPr>
        <w:t>（2）实用与先进性统一原则。为了使系统具有较强的生命力，能够保持较长的生命周期，系统的设计和开发将会采用行业中先进的软件技术、标准、中间件和数据库产品。但是在使用先进技术和产品应一切从实用出发。</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sectPr>
          <w:headerReference w:type="default" r:id="rId9"/>
          <w:footerReference w:type="default" r:id="rId10"/>
          <w:type w:val="nextPage"/>
          <w:pgSz w:w="11906" w:h="16838"/>
          <w:pgMar w:top="1440" w:right="1800" w:bottom="1440" w:left="1800" w:header="851" w:footer="992" w:gutter="0"/>
          <w:pgNumType w:fmt="decimal" w:start="3"/>
          <w:cols w:num="1" w:space="425"/>
          <w:titlePg w:val="0"/>
          <w:docGrid w:type="lines" w:linePitch="312" w:charSpace="0"/>
        </w:sectPr>
      </w:pPr>
      <w:r>
        <w:rPr>
          <w:rFonts w:ascii="宋体" w:eastAsia="宋体" w:hAnsi="宋体" w:cs="宋体" w:hint="eastAsia"/>
          <w:i w:val="0"/>
          <w:iCs w:val="0"/>
          <w:sz w:val="24"/>
          <w:szCs w:val="24"/>
          <w:highlight w:val="none"/>
          <w:lang w:bidi="ar"/>
        </w:rPr>
        <w:t>（3）针对性原则。系统应紧密围绕街道社会管理创新业务，针对其业务特点、工作方式、业务流程及其信息需求，进行系统设计。</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bidi="ar"/>
        </w:rPr>
        <w:t>（4）易用性原则。应用系统的界面友好，需要充分考虑录入人员的特点，使数据处理工作简单、方便、快捷，业务流程清晰，符合常规业务处理习惯，系统数据维护方便，备份及数据恢复快速简单。</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bidi="ar"/>
        </w:rPr>
        <w:t>（5）开放性和标准化原则。采用SOA的架构思想，数据交换标准采用XML，软件接口采用Web Service技术。系统采用开放的、基于MVC标准的设计方案，保证了应用系统的跨平台的要求。支持Unix、Linux、Windows等多种操作系统。</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bidi="ar"/>
        </w:rPr>
        <w:t>（6）可扩充性原则。采用面向对象、面向服务的设计思想，按不同的网络、不同的功能、不同的职能划分成各种功能组件，各功能组件既可以独立形成系统又可以组成一个综合系统，方便实现从子系统到综合系统、从综合系统到独立系统的升级过渡，保护用户的投资。良好的扩充性和可维护性，实现在快速搭建总体框架的基础上分业务、分任务的逐渐充实整个系统，使系统具备可持续升级的基础。</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lang w:bidi="ar"/>
        </w:rPr>
      </w:pPr>
      <w:r>
        <w:rPr>
          <w:rFonts w:ascii="宋体" w:eastAsia="宋体" w:hAnsi="宋体" w:cs="宋体" w:hint="eastAsia"/>
          <w:i w:val="0"/>
          <w:iCs w:val="0"/>
          <w:sz w:val="24"/>
          <w:szCs w:val="24"/>
          <w:highlight w:val="none"/>
          <w:lang w:bidi="ar"/>
        </w:rPr>
        <w:t>（7）可维护性原则。支持通用的开发语言进行二次开发，系统维护和管理的人员可以自行二次开发能力。为了方便计算机系统维护和管理人员的使用，采用简单、直观的图形化界面和多种输入方式，维护人员可以轻松地完成对整个系统的配置、管理。</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bidi="ar"/>
        </w:rPr>
        <w:t>（8）兼容性原则。整个系统使用基于先进的语言开发技术，保证了系统对硬件平台、操作系统的兼容性；系统使用数据访问中间件，保证了系统对各种不同数据库的兼容性。</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sectPr>
          <w:headerReference w:type="default" r:id="rId11"/>
          <w:footerReference w:type="default" r:id="rId12"/>
          <w:type w:val="nextPage"/>
          <w:pgSz w:w="11906" w:h="16838"/>
          <w:pgMar w:top="1440" w:right="1800" w:bottom="1440" w:left="1800" w:header="851" w:footer="992" w:gutter="0"/>
          <w:pgNumType w:fmt="decimal" w:start="4"/>
          <w:cols w:num="1" w:space="425"/>
          <w:titlePg w:val="0"/>
          <w:docGrid w:type="lines" w:linePitch="312" w:charSpace="0"/>
        </w:sectPr>
      </w:pPr>
      <w:r>
        <w:rPr>
          <w:rFonts w:ascii="宋体" w:eastAsia="宋体" w:hAnsi="宋体" w:cs="宋体" w:hint="eastAsia"/>
          <w:i w:val="0"/>
          <w:iCs w:val="0"/>
          <w:sz w:val="24"/>
          <w:szCs w:val="24"/>
          <w:highlight w:val="none"/>
          <w:lang w:bidi="ar"/>
        </w:rPr>
        <w:t>（9）安全保密原则。采用一整套的安全保密技术和策略：建立了一套完整、合理的用户授权管理系统，对访问系统的用户进行身份认证，确保身份的真实性。可以在敏感信息的传送中采用数字签名和加密技术，保证信息传送过程中的安全。</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bidi="ar"/>
        </w:rPr>
        <w:t>（10）可靠性原则。系统应提供了一整套的安全保障措施，为系统的可靠运行提供保证。系统提供了对网络、服务器、数据库性能的监控和故障恢复策略，保证系统物理层的高度可靠。为确保网络正常运行，通过网络管理系统可以监控每个网络节点的运行情况，确保网络每个节点的通畅和安全。采用防病毒墙、防火墙，加密机，入侵监测系统等技术手段，保证系统中的网络、服务器、数据库、信息等的安全可靠。系统采用流行、成熟、稳定、先进的操作系统、数据库、网络协议、中间件等，保证系统的稳定性。</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bidi="ar"/>
        </w:rPr>
        <w:t>（11）规范性：系统开发应严格遵照国家软件工程规范进行，采用结构化和面向对象相结合的开发方法，根据开发进度及时提供有关开发文档。</w:t>
      </w:r>
    </w:p>
    <w:p>
      <w:pPr>
        <w:pStyle w:val="Heading2"/>
        <w:numPr>
          <w:ilvl w:val="1"/>
          <w:numId w:val="24"/>
        </w:numPr>
        <w:shd w:val="clear" w:color="auto" w:fill="auto"/>
        <w:ind w:left="992" w:hanging="567" w:leftChars="0" w:firstLineChars="0"/>
        <w:rPr>
          <w:rFonts w:ascii="宋体" w:eastAsia="宋体" w:hAnsi="宋体" w:cs="宋体" w:hint="eastAsia"/>
          <w:i w:val="0"/>
          <w:iCs w:val="0"/>
          <w:sz w:val="24"/>
          <w:szCs w:val="24"/>
          <w:highlight w:val="none"/>
        </w:rPr>
      </w:pPr>
      <w:bookmarkStart w:id="21" w:name="_Toc32232"/>
      <w:bookmarkStart w:id="22" w:name="_Toc24575"/>
      <w:r>
        <w:rPr>
          <w:rFonts w:ascii="宋体" w:eastAsia="宋体" w:hAnsi="宋体" w:cs="宋体" w:hint="eastAsia"/>
          <w:i w:val="0"/>
          <w:iCs w:val="0"/>
          <w:sz w:val="24"/>
          <w:szCs w:val="24"/>
          <w:highlight w:val="none"/>
        </w:rPr>
        <w:t>项目实施模式</w:t>
      </w:r>
      <w:bookmarkEnd w:id="21"/>
      <w:bookmarkEnd w:id="22"/>
    </w:p>
    <w:p>
      <w:pPr>
        <w:shd w:val="clear" w:color="auto" w:fill="auto"/>
        <w:ind w:firstLine="420" w:firstLineChars="0"/>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val="en-US" w:eastAsia="zh-CN"/>
        </w:rPr>
        <w:t>通过</w:t>
      </w:r>
      <w:r>
        <w:rPr>
          <w:rFonts w:ascii="宋体" w:eastAsia="宋体" w:hAnsi="宋体" w:cs="宋体" w:hint="eastAsia"/>
          <w:i w:val="0"/>
          <w:iCs w:val="0"/>
          <w:sz w:val="24"/>
          <w:szCs w:val="24"/>
          <w:highlight w:val="none"/>
        </w:rPr>
        <w:t>软硬件相结合</w:t>
      </w:r>
      <w:r>
        <w:rPr>
          <w:rFonts w:ascii="宋体" w:eastAsia="宋体" w:hAnsi="宋体" w:cs="宋体" w:hint="eastAsia"/>
          <w:i w:val="0"/>
          <w:iCs w:val="0"/>
          <w:sz w:val="24"/>
          <w:szCs w:val="24"/>
          <w:highlight w:val="none"/>
          <w:lang w:val="en-US" w:eastAsia="zh-CN"/>
        </w:rPr>
        <w:t>，</w:t>
      </w:r>
      <w:r>
        <w:rPr>
          <w:rFonts w:ascii="宋体" w:eastAsia="宋体" w:hAnsi="宋体" w:cs="宋体" w:hint="eastAsia"/>
          <w:i w:val="0"/>
          <w:iCs w:val="0"/>
          <w:sz w:val="24"/>
          <w:szCs w:val="24"/>
          <w:highlight w:val="none"/>
        </w:rPr>
        <w:t>完成</w:t>
      </w:r>
      <w:r>
        <w:rPr>
          <w:rFonts w:ascii="宋体" w:eastAsia="宋体" w:hAnsi="宋体" w:cs="宋体" w:hint="eastAsia"/>
          <w:i w:val="0"/>
          <w:iCs w:val="0"/>
          <w:sz w:val="24"/>
          <w:szCs w:val="24"/>
          <w:highlight w:val="none"/>
          <w:lang w:eastAsia="zh-CN"/>
        </w:rPr>
        <w:t>园区</w:t>
      </w:r>
      <w:r>
        <w:rPr>
          <w:rFonts w:ascii="宋体" w:eastAsia="宋体" w:hAnsi="宋体" w:cs="宋体" w:hint="eastAsia"/>
          <w:i w:val="0"/>
          <w:iCs w:val="0"/>
          <w:sz w:val="24"/>
          <w:szCs w:val="24"/>
          <w:highlight w:val="none"/>
          <w:lang w:val="en-US" w:eastAsia="zh-CN"/>
        </w:rPr>
        <w:t>基础设施建设和配套服务等</w:t>
      </w:r>
      <w:r>
        <w:rPr>
          <w:rFonts w:ascii="宋体" w:eastAsia="宋体" w:hAnsi="宋体" w:cs="宋体" w:hint="eastAsia"/>
          <w:i w:val="0"/>
          <w:iCs w:val="0"/>
          <w:sz w:val="24"/>
          <w:szCs w:val="24"/>
          <w:highlight w:val="none"/>
        </w:rPr>
        <w:t>。</w:t>
      </w:r>
    </w:p>
    <w:p>
      <w:pPr>
        <w:pStyle w:val="Heading1"/>
        <w:shd w:val="clear" w:color="auto" w:fill="auto"/>
        <w:rPr>
          <w:rFonts w:ascii="宋体" w:eastAsia="宋体" w:hAnsi="宋体" w:cs="宋体" w:hint="eastAsia"/>
          <w:i w:val="0"/>
          <w:iCs w:val="0"/>
          <w:sz w:val="24"/>
          <w:szCs w:val="24"/>
          <w:highlight w:val="none"/>
        </w:rPr>
      </w:pPr>
      <w:bookmarkStart w:id="23" w:name="_Toc30910"/>
      <w:r>
        <w:rPr>
          <w:rFonts w:ascii="宋体" w:eastAsia="宋体" w:hAnsi="宋体" w:cs="宋体" w:hint="eastAsia"/>
          <w:i w:val="0"/>
          <w:iCs w:val="0"/>
          <w:sz w:val="24"/>
          <w:szCs w:val="24"/>
          <w:highlight w:val="none"/>
          <w:lang w:val="en-US" w:eastAsia="zh-CN"/>
        </w:rPr>
        <w:t xml:space="preserve"> </w:t>
      </w:r>
      <w:bookmarkStart w:id="24" w:name="_Toc12348"/>
      <w:r>
        <w:rPr>
          <w:rFonts w:ascii="宋体" w:eastAsia="宋体" w:hAnsi="宋体" w:cs="宋体" w:hint="eastAsia"/>
          <w:i w:val="0"/>
          <w:iCs w:val="0"/>
          <w:sz w:val="24"/>
          <w:szCs w:val="24"/>
          <w:highlight w:val="none"/>
        </w:rPr>
        <w:t>系统建设</w:t>
      </w:r>
      <w:bookmarkEnd w:id="23"/>
      <w:r>
        <w:rPr>
          <w:rFonts w:ascii="宋体" w:eastAsia="宋体" w:hAnsi="宋体" w:cs="宋体" w:hint="eastAsia"/>
          <w:i w:val="0"/>
          <w:iCs w:val="0"/>
          <w:sz w:val="24"/>
          <w:szCs w:val="24"/>
          <w:highlight w:val="none"/>
          <w:lang w:val="en-US" w:eastAsia="zh-CN"/>
        </w:rPr>
        <w:t>思路</w:t>
      </w:r>
      <w:bookmarkEnd w:id="24"/>
    </w:p>
    <w:p>
      <w:pPr>
        <w:pStyle w:val="ListParagraph"/>
        <w:keepNext/>
        <w:keepLines/>
        <w:numPr>
          <w:ilvl w:val="0"/>
          <w:numId w:val="12"/>
        </w:numPr>
        <w:shd w:val="clear" w:color="auto" w:fill="auto"/>
        <w:spacing w:before="260" w:after="260" w:line="416" w:lineRule="auto"/>
        <w:ind w:left="425" w:hanging="425" w:leftChars="0" w:firstLineChars="0"/>
        <w:outlineLvl w:val="1"/>
        <w:rPr>
          <w:rFonts w:ascii="宋体" w:eastAsia="宋体" w:hAnsi="宋体" w:cs="宋体" w:hint="eastAsia"/>
          <w:b/>
          <w:bCs/>
          <w:i w:val="0"/>
          <w:iCs w:val="0"/>
          <w:vanish/>
          <w:sz w:val="24"/>
          <w:szCs w:val="24"/>
          <w:highlight w:val="none"/>
        </w:rPr>
      </w:pPr>
      <w:bookmarkStart w:id="25" w:name="_Toc25586"/>
      <w:bookmarkEnd w:id="25"/>
      <w:bookmarkStart w:id="26" w:name="_Toc531075342"/>
      <w:bookmarkEnd w:id="26"/>
      <w:bookmarkStart w:id="27" w:name="_Toc22383"/>
      <w:bookmarkEnd w:id="27"/>
      <w:bookmarkStart w:id="28" w:name="_Toc520099767"/>
      <w:bookmarkEnd w:id="28"/>
      <w:bookmarkStart w:id="29" w:name="_Toc520099997"/>
      <w:bookmarkEnd w:id="29"/>
    </w:p>
    <w:p>
      <w:pPr>
        <w:pStyle w:val="ListParagraph"/>
        <w:keepNext/>
        <w:keepLines/>
        <w:numPr>
          <w:ilvl w:val="0"/>
          <w:numId w:val="12"/>
        </w:numPr>
        <w:shd w:val="clear" w:color="auto" w:fill="auto"/>
        <w:spacing w:before="260" w:after="260" w:line="416" w:lineRule="auto"/>
        <w:ind w:left="425" w:hanging="425" w:leftChars="0" w:firstLineChars="0"/>
        <w:outlineLvl w:val="1"/>
        <w:rPr>
          <w:rFonts w:ascii="宋体" w:eastAsia="宋体" w:hAnsi="宋体" w:cs="宋体" w:hint="eastAsia"/>
          <w:b/>
          <w:bCs/>
          <w:i w:val="0"/>
          <w:iCs w:val="0"/>
          <w:vanish/>
          <w:sz w:val="24"/>
          <w:szCs w:val="24"/>
          <w:highlight w:val="none"/>
        </w:rPr>
      </w:pPr>
      <w:bookmarkStart w:id="30" w:name="_Toc31830"/>
      <w:bookmarkEnd w:id="30"/>
      <w:bookmarkStart w:id="31" w:name="_Toc531075343"/>
      <w:bookmarkEnd w:id="31"/>
      <w:bookmarkStart w:id="32" w:name="_Toc18540"/>
      <w:bookmarkEnd w:id="32"/>
      <w:bookmarkStart w:id="33" w:name="_Toc520099768"/>
      <w:bookmarkEnd w:id="33"/>
      <w:bookmarkStart w:id="34" w:name="_Toc520099998"/>
      <w:bookmarkEnd w:id="34"/>
    </w:p>
    <w:p>
      <w:pPr>
        <w:pStyle w:val="Heading2"/>
        <w:numPr>
          <w:ilvl w:val="1"/>
          <w:numId w:val="13"/>
        </w:numPr>
        <w:shd w:val="clear" w:color="auto" w:fill="auto"/>
        <w:ind w:left="567" w:hanging="567" w:leftChars="0" w:firstLineChars="0"/>
        <w:rPr>
          <w:rFonts w:ascii="宋体" w:eastAsia="宋体" w:hAnsi="宋体" w:cs="宋体" w:hint="eastAsia"/>
          <w:i w:val="0"/>
          <w:iCs w:val="0"/>
          <w:sz w:val="24"/>
          <w:szCs w:val="24"/>
          <w:highlight w:val="none"/>
        </w:rPr>
      </w:pPr>
      <w:bookmarkStart w:id="35" w:name="_Toc23226"/>
      <w:bookmarkStart w:id="36" w:name="_Toc25387"/>
      <w:r>
        <w:rPr>
          <w:rFonts w:ascii="宋体" w:eastAsia="宋体" w:hAnsi="宋体" w:cs="宋体" w:hint="eastAsia"/>
          <w:i w:val="0"/>
          <w:iCs w:val="0"/>
          <w:sz w:val="24"/>
          <w:szCs w:val="24"/>
          <w:highlight w:val="none"/>
        </w:rPr>
        <w:t>系统建设内容</w:t>
      </w:r>
      <w:bookmarkEnd w:id="35"/>
      <w:bookmarkEnd w:id="36"/>
    </w:p>
    <w:p>
      <w:pPr>
        <w:keepNext w:val="0"/>
        <w:keepLines w:val="0"/>
        <w:pageBreakBefore w:val="0"/>
        <w:widowControl w:val="0"/>
        <w:numPr>
          <w:ilvl w:val="0"/>
          <w:numId w:val="14"/>
        </w:numPr>
        <w:shd w:val="clear" w:color="auto" w:fill="auto"/>
        <w:kinsoku/>
        <w:wordWrap/>
        <w:overflowPunct/>
        <w:topLinePunct w:val="0"/>
        <w:autoSpaceDE/>
        <w:autoSpaceDN/>
        <w:bidi w:val="0"/>
        <w:adjustRightInd/>
        <w:snapToGrid/>
        <w:spacing w:line="480" w:lineRule="auto"/>
        <w:ind w:left="420" w:firstLine="0"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建设一个统一的园区运营管理平台，统一管理、统一运营、统一数据；</w:t>
      </w:r>
    </w:p>
    <w:p>
      <w:pPr>
        <w:keepNext w:val="0"/>
        <w:keepLines w:val="0"/>
        <w:pageBreakBefore w:val="0"/>
        <w:widowControl w:val="0"/>
        <w:numPr>
          <w:ilvl w:val="0"/>
          <w:numId w:val="14"/>
        </w:numPr>
        <w:shd w:val="clear" w:color="auto" w:fill="auto"/>
        <w:kinsoku/>
        <w:wordWrap/>
        <w:overflowPunct/>
        <w:topLinePunct w:val="0"/>
        <w:autoSpaceDE/>
        <w:autoSpaceDN/>
        <w:bidi w:val="0"/>
        <w:adjustRightInd/>
        <w:snapToGrid/>
        <w:spacing w:line="480" w:lineRule="auto"/>
        <w:ind w:left="420" w:firstLine="0"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在建设过程中借鉴</w:t>
      </w:r>
      <w:r>
        <w:rPr>
          <w:rFonts w:ascii="宋体" w:eastAsia="宋体" w:hAnsi="宋体" w:cs="宋体" w:hint="eastAsia"/>
          <w:i w:val="0"/>
          <w:iCs w:val="0"/>
          <w:sz w:val="24"/>
          <w:szCs w:val="24"/>
          <w:highlight w:val="none"/>
          <w:lang w:val="en-US" w:eastAsia="zh-CN"/>
        </w:rPr>
        <w:t>先进</w:t>
      </w:r>
      <w:r>
        <w:rPr>
          <w:rFonts w:ascii="宋体" w:eastAsia="宋体" w:hAnsi="宋体" w:cs="宋体" w:hint="eastAsia"/>
          <w:i w:val="0"/>
          <w:iCs w:val="0"/>
          <w:sz w:val="24"/>
          <w:szCs w:val="24"/>
          <w:highlight w:val="none"/>
        </w:rPr>
        <w:t>智慧园区经验，整合相关资源形成园区商业模式；</w:t>
      </w:r>
    </w:p>
    <w:p>
      <w:pPr>
        <w:keepNext w:val="0"/>
        <w:keepLines w:val="0"/>
        <w:pageBreakBefore w:val="0"/>
        <w:widowControl w:val="0"/>
        <w:numPr>
          <w:ilvl w:val="0"/>
          <w:numId w:val="14"/>
        </w:numPr>
        <w:shd w:val="clear" w:color="auto" w:fill="auto"/>
        <w:kinsoku/>
        <w:wordWrap/>
        <w:overflowPunct/>
        <w:topLinePunct w:val="0"/>
        <w:autoSpaceDE/>
        <w:autoSpaceDN/>
        <w:bidi w:val="0"/>
        <w:adjustRightInd/>
        <w:snapToGrid/>
        <w:spacing w:line="480" w:lineRule="auto"/>
        <w:ind w:left="420" w:firstLine="0"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以移动互联网为依托，综合企业、政务、居民等方面全面再现</w:t>
      </w:r>
      <w:r>
        <w:rPr>
          <w:rFonts w:ascii="宋体" w:eastAsia="宋体" w:hAnsi="宋体" w:cs="宋体" w:hint="eastAsia"/>
          <w:i w:val="0"/>
          <w:iCs w:val="0"/>
          <w:sz w:val="24"/>
          <w:szCs w:val="24"/>
          <w:highlight w:val="none"/>
          <w:lang w:val="en-US" w:eastAsia="zh-CN"/>
        </w:rPr>
        <w:t>国际智慧</w:t>
      </w:r>
      <w:r>
        <w:rPr>
          <w:rFonts w:ascii="宋体" w:eastAsia="宋体" w:hAnsi="宋体" w:cs="宋体" w:hint="eastAsia"/>
          <w:i w:val="0"/>
          <w:iCs w:val="0"/>
          <w:sz w:val="24"/>
          <w:szCs w:val="24"/>
          <w:highlight w:val="none"/>
        </w:rPr>
        <w:t>园区；</w:t>
      </w:r>
    </w:p>
    <w:p>
      <w:pPr>
        <w:keepNext w:val="0"/>
        <w:keepLines w:val="0"/>
        <w:pageBreakBefore w:val="0"/>
        <w:widowControl w:val="0"/>
        <w:numPr>
          <w:ilvl w:val="0"/>
          <w:numId w:val="14"/>
        </w:numPr>
        <w:shd w:val="clear" w:color="auto" w:fill="auto"/>
        <w:kinsoku/>
        <w:wordWrap/>
        <w:overflowPunct/>
        <w:topLinePunct w:val="0"/>
        <w:autoSpaceDE/>
        <w:autoSpaceDN/>
        <w:bidi w:val="0"/>
        <w:adjustRightInd/>
        <w:snapToGrid/>
        <w:spacing w:line="480" w:lineRule="auto"/>
        <w:ind w:left="420" w:firstLine="0" w:leftChars="0" w:firstLineChars="0"/>
        <w:textAlignment w:val="auto"/>
        <w:rPr>
          <w:rFonts w:ascii="宋体" w:eastAsia="宋体" w:hAnsi="宋体" w:cs="宋体" w:hint="eastAsia"/>
          <w:i w:val="0"/>
          <w:iCs w:val="0"/>
          <w:sz w:val="24"/>
          <w:szCs w:val="24"/>
          <w:highlight w:val="none"/>
        </w:rPr>
        <w:sectPr>
          <w:headerReference w:type="default" r:id="rId13"/>
          <w:footerReference w:type="default" r:id="rId14"/>
          <w:type w:val="nextPage"/>
          <w:pgSz w:w="11906" w:h="16838"/>
          <w:pgMar w:top="1440" w:right="1800" w:bottom="1440" w:left="1800" w:header="851" w:footer="992" w:gutter="0"/>
          <w:pgNumType w:fmt="decimal" w:start="5"/>
          <w:cols w:num="1" w:space="425"/>
          <w:titlePg w:val="0"/>
          <w:docGrid w:type="lines" w:linePitch="312" w:charSpace="0"/>
        </w:sectPr>
      </w:pPr>
      <w:r>
        <w:rPr>
          <w:rFonts w:ascii="宋体" w:eastAsia="宋体" w:hAnsi="宋体" w:cs="宋体" w:hint="eastAsia"/>
          <w:i w:val="0"/>
          <w:iCs w:val="0"/>
          <w:sz w:val="24"/>
          <w:szCs w:val="24"/>
          <w:highlight w:val="none"/>
        </w:rPr>
        <w:t>园区建设是一个创新性的工作，促进园区各系统间的数据共享，实现业务协同和决策支持，提高园区管理者的决策能力。</w:t>
      </w:r>
    </w:p>
    <w:p>
      <w:pPr>
        <w:pStyle w:val="Heading2"/>
        <w:numPr>
          <w:ilvl w:val="1"/>
          <w:numId w:val="13"/>
        </w:numPr>
        <w:shd w:val="clear" w:color="auto" w:fill="auto"/>
        <w:ind w:left="567" w:hanging="567" w:leftChars="0" w:firstLineChars="0"/>
        <w:rPr>
          <w:rFonts w:ascii="宋体" w:eastAsia="宋体" w:hAnsi="宋体" w:cs="宋体" w:hint="eastAsia"/>
          <w:i w:val="0"/>
          <w:iCs w:val="0"/>
          <w:sz w:val="24"/>
          <w:szCs w:val="24"/>
          <w:highlight w:val="none"/>
        </w:rPr>
      </w:pPr>
      <w:bookmarkStart w:id="37" w:name="_Toc13207"/>
      <w:bookmarkStart w:id="38" w:name="_Toc2640"/>
      <w:r>
        <w:rPr>
          <w:rFonts w:ascii="宋体" w:eastAsia="宋体" w:hAnsi="宋体" w:cs="宋体" w:hint="eastAsia"/>
          <w:i w:val="0"/>
          <w:iCs w:val="0"/>
          <w:sz w:val="24"/>
          <w:szCs w:val="24"/>
          <w:highlight w:val="none"/>
        </w:rPr>
        <w:t>系统主要用户</w:t>
      </w:r>
      <w:bookmarkEnd w:id="37"/>
      <w:bookmarkEnd w:id="38"/>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val="en-US" w:eastAsia="zh-CN"/>
        </w:rPr>
        <w:t>园区领导及</w:t>
      </w:r>
      <w:r>
        <w:rPr>
          <w:rFonts w:ascii="宋体" w:eastAsia="宋体" w:hAnsi="宋体" w:cs="宋体" w:hint="eastAsia"/>
          <w:i w:val="0"/>
          <w:iCs w:val="0"/>
          <w:sz w:val="24"/>
          <w:szCs w:val="24"/>
          <w:highlight w:val="none"/>
        </w:rPr>
        <w:t>工作人员</w:t>
      </w:r>
      <w:r>
        <w:rPr>
          <w:rFonts w:ascii="宋体" w:eastAsia="宋体" w:hAnsi="宋体" w:cs="宋体" w:hint="eastAsia"/>
          <w:i w:val="0"/>
          <w:iCs w:val="0"/>
          <w:sz w:val="24"/>
          <w:szCs w:val="24"/>
          <w:highlight w:val="none"/>
          <w:lang w:eastAsia="zh-CN"/>
        </w:rPr>
        <w:t>、</w:t>
      </w:r>
      <w:r>
        <w:rPr>
          <w:rFonts w:ascii="宋体" w:eastAsia="宋体" w:hAnsi="宋体" w:cs="宋体" w:hint="eastAsia"/>
          <w:i w:val="0"/>
          <w:iCs w:val="0"/>
          <w:sz w:val="24"/>
          <w:szCs w:val="24"/>
          <w:highlight w:val="none"/>
          <w:lang w:val="en-US" w:eastAsia="zh-CN"/>
        </w:rPr>
        <w:t>入驻企业、物业管理人</w:t>
      </w:r>
      <w:r>
        <w:rPr>
          <w:rFonts w:ascii="宋体" w:eastAsia="宋体" w:hAnsi="宋体" w:cs="宋体" w:hint="eastAsia"/>
          <w:i w:val="0"/>
          <w:iCs w:val="0"/>
          <w:sz w:val="24"/>
          <w:szCs w:val="24"/>
          <w:highlight w:val="none"/>
        </w:rPr>
        <w:t>员</w:t>
      </w:r>
      <w:r>
        <w:rPr>
          <w:rFonts w:ascii="宋体" w:eastAsia="宋体" w:hAnsi="宋体" w:cs="宋体" w:hint="eastAsia"/>
          <w:i w:val="0"/>
          <w:iCs w:val="0"/>
          <w:sz w:val="24"/>
          <w:szCs w:val="24"/>
          <w:highlight w:val="none"/>
          <w:lang w:eastAsia="zh-CN"/>
        </w:rPr>
        <w:t>。</w:t>
      </w:r>
    </w:p>
    <w:p>
      <w:pPr>
        <w:pStyle w:val="Heading2"/>
        <w:numPr>
          <w:ilvl w:val="1"/>
          <w:numId w:val="13"/>
        </w:numPr>
        <w:shd w:val="clear" w:color="auto" w:fill="auto"/>
        <w:ind w:left="567" w:hanging="567" w:leftChars="0" w:firstLineChars="0"/>
        <w:rPr>
          <w:rFonts w:ascii="宋体" w:eastAsia="宋体" w:hAnsi="宋体" w:cs="宋体" w:hint="eastAsia"/>
          <w:i w:val="0"/>
          <w:iCs w:val="0"/>
          <w:sz w:val="24"/>
          <w:szCs w:val="24"/>
          <w:highlight w:val="none"/>
        </w:rPr>
      </w:pPr>
      <w:bookmarkStart w:id="39" w:name="_Toc30352"/>
      <w:bookmarkStart w:id="40" w:name="_Toc18965"/>
      <w:r>
        <w:rPr>
          <w:rFonts w:ascii="宋体" w:eastAsia="宋体" w:hAnsi="宋体" w:cs="宋体" w:hint="eastAsia"/>
          <w:i w:val="0"/>
          <w:iCs w:val="0"/>
          <w:sz w:val="24"/>
          <w:szCs w:val="24"/>
          <w:highlight w:val="none"/>
        </w:rPr>
        <w:t>建设遵循标准</w:t>
      </w:r>
      <w:bookmarkEnd w:id="39"/>
      <w:bookmarkEnd w:id="40"/>
    </w:p>
    <w:p>
      <w:pPr>
        <w:pStyle w:val="Normal16"/>
        <w:numPr>
          <w:ilvl w:val="0"/>
          <w:numId w:val="15"/>
        </w:numPr>
        <w:spacing w:before="281"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《公共安全视频监控联网系统信息传输、交换、控制技术要（GB/T28181-2016）</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《公共安全视频监控联网信息安全技术要求》（GB35114-2017）</w:t>
      </w:r>
    </w:p>
    <w:p>
      <w:pPr>
        <w:pStyle w:val="Normal16"/>
        <w:numPr>
          <w:ilvl w:val="0"/>
          <w:numId w:val="15"/>
        </w:numPr>
        <w:spacing w:before="237"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《公共安全视频监控数字视音频编解码技术要求》（GB/T25724-2017）</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《公共安全重点区域视频图像信息采集规范》（GB37300-2018）</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《公安视频图像信息应用系统第1部分：通用技术要求》（GAT1400.1-2017）</w:t>
      </w:r>
    </w:p>
    <w:p>
      <w:pPr>
        <w:pStyle w:val="Normal16"/>
        <w:numPr>
          <w:ilvl w:val="0"/>
          <w:numId w:val="15"/>
        </w:numPr>
        <w:spacing w:before="237"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《公安视频图像信息应用系统第2部分：应用平台技术要（GAT1400.2-2017）</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《公安视频图像信息应用系统第3部分：数据库技术要求》（GA1400.3-2017）</w:t>
      </w:r>
    </w:p>
    <w:p>
      <w:pPr>
        <w:pStyle w:val="Normal16"/>
        <w:numPr>
          <w:ilvl w:val="0"/>
          <w:numId w:val="15"/>
        </w:numPr>
        <w:spacing w:before="237"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《公安视频图像信息应用系统第4部分：接口协议要求》（GAT1400.4-2017）</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《视频安防监控系统技术要求》（GA/T367-2001）</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《信息技术软件维护》（GB/T20157-2006）</w:t>
      </w:r>
    </w:p>
    <w:p>
      <w:pPr>
        <w:pStyle w:val="Normal16"/>
        <w:numPr>
          <w:ilvl w:val="0"/>
          <w:numId w:val="15"/>
        </w:numPr>
        <w:spacing w:before="237"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《信息技术软件生存周期过程》（GB/T8566-2007）</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《计算机软件测试规范》（GB/T15532-2008）</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《计算机软件需求规格说明规范》（GB/T9385-2008）</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《非结构化数据访问接口规范》（GB/T32908-2016）</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《建筑与建筑群综合布线系统工程设计规范》GB30511-2000</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《安全防范工程程序与要求》（GA/T75-94）</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《安全防范工程技术规范》（GB50348-2004）</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《安全防范系统雷电浪涌防护技术要求》（GA/T 670-2006）</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《安全防范系统验收规则》（GA308-2001）</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《安全防范系统通用图形符号》（GA/T74-2000）</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sectPr>
          <w:headerReference w:type="default" r:id="rId15"/>
          <w:footerReference w:type="default" r:id="rId16"/>
          <w:type w:val="nextPage"/>
          <w:pgSz w:w="11906" w:h="16838"/>
          <w:pgMar w:top="1440" w:right="1800" w:bottom="1440" w:left="1800" w:header="851" w:footer="992" w:gutter="0"/>
          <w:pgNumType w:fmt="decimal" w:start="6"/>
          <w:cols w:num="1" w:space="425"/>
          <w:titlePg w:val="0"/>
          <w:docGrid w:type="lines" w:linePitch="312" w:charSpace="0"/>
        </w:sectPr>
      </w:pPr>
      <w:r>
        <w:rPr>
          <w:rFonts w:ascii="宋体" w:eastAsia="宋体" w:hAnsi="宋体" w:cs="宋体" w:hint="eastAsia"/>
          <w:kern w:val="2"/>
          <w:sz w:val="24"/>
          <w:szCs w:val="24"/>
          <w:lang w:eastAsia="zh-CN"/>
        </w:rPr>
        <w:t>《计算机软件开发规范》[GB8566-88] </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《IEEE802.3 10/100Basr-T以太网规范》 </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《低压配电装置及线路设计规范》[GBJ54-83] </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《工业电视系统工程设计规范》（GBJ115-87）</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《民用闭路监视系统工程技术规范》（GB50198-</w:t>
      </w:r>
      <w:r>
        <w:rPr>
          <w:rFonts w:ascii="宋体" w:eastAsia="宋体" w:hAnsi="宋体" w:cs="宋体" w:hint="eastAsia"/>
          <w:kern w:val="2"/>
          <w:sz w:val="24"/>
          <w:szCs w:val="24"/>
          <w:lang w:val="en-US" w:eastAsia="zh-CN"/>
        </w:rPr>
        <w:t>2011</w:t>
      </w:r>
      <w:r>
        <w:rPr>
          <w:rFonts w:ascii="宋体" w:eastAsia="宋体" w:hAnsi="宋体" w:cs="宋体" w:hint="eastAsia"/>
          <w:kern w:val="2"/>
          <w:sz w:val="24"/>
          <w:szCs w:val="24"/>
          <w:lang w:eastAsia="zh-CN"/>
        </w:rPr>
        <w:t>）</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《工业企业通信设计规范》（GBJ42-81）</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《汽车号牌视频自动识别系统》（JT-T604-2004）</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《机动车号牌图像自动识别技术规范》（GA T833-20</w:t>
      </w:r>
      <w:r>
        <w:rPr>
          <w:rFonts w:ascii="宋体" w:eastAsia="宋体" w:hAnsi="宋体" w:cs="宋体" w:hint="eastAsia"/>
          <w:kern w:val="2"/>
          <w:sz w:val="24"/>
          <w:szCs w:val="24"/>
          <w:lang w:val="en-US" w:eastAsia="zh-CN"/>
        </w:rPr>
        <w:t>16</w:t>
      </w:r>
      <w:r>
        <w:rPr>
          <w:rFonts w:ascii="宋体" w:eastAsia="宋体" w:hAnsi="宋体" w:cs="宋体" w:hint="eastAsia"/>
          <w:kern w:val="2"/>
          <w:sz w:val="24"/>
          <w:szCs w:val="24"/>
          <w:lang w:eastAsia="zh-CN"/>
        </w:rPr>
        <w:t>）</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《信息交换用汉字编码字符集基本集》（GB2312-80）</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《电工电子产品基本环境试验规程》（GB/T 2423.1-10）</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《公路车辆智能监测记录系统通用技术条件》（GA/T497-2009）</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《机动车号牌图像自动识别技术规范》（GA/T833-2009）</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《报警图像信号有线传输装置》（GBJ115-87）</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《建筑物电子信息系统防雷技术规范》（GB50343-20</w:t>
      </w:r>
      <w:r>
        <w:rPr>
          <w:rFonts w:ascii="宋体" w:eastAsia="宋体" w:hAnsi="宋体" w:cs="宋体" w:hint="eastAsia"/>
          <w:kern w:val="2"/>
          <w:sz w:val="24"/>
          <w:szCs w:val="24"/>
          <w:lang w:val="en-US" w:eastAsia="zh-CN"/>
        </w:rPr>
        <w:t>12</w:t>
      </w:r>
      <w:r>
        <w:rPr>
          <w:rFonts w:ascii="宋体" w:eastAsia="宋体" w:hAnsi="宋体" w:cs="宋体" w:hint="eastAsia"/>
          <w:kern w:val="2"/>
          <w:sz w:val="24"/>
          <w:szCs w:val="24"/>
          <w:lang w:eastAsia="zh-CN"/>
        </w:rPr>
        <w:t>）</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《交通电视监视系统工程验收规范》（GA/T 514-2004）</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《电气装置安装工程施工及验收规范》（GB50257-96）</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《停车库（场）安全管理系统技术要求》（GAT 761-2008）</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《智能建筑设计标准》（</w:t>
      </w:r>
      <w:r>
        <w:rPr>
          <w:rFonts w:ascii="宋体" w:eastAsia="宋体" w:hAnsi="宋体" w:cs="宋体" w:hint="eastAsia"/>
          <w:kern w:val="2"/>
          <w:sz w:val="24"/>
          <w:szCs w:val="24"/>
          <w:lang w:val="en-US" w:eastAsia="zh-CN"/>
        </w:rPr>
        <w:t>GB</w:t>
      </w:r>
      <w:r>
        <w:rPr>
          <w:rFonts w:ascii="宋体" w:eastAsia="宋体" w:hAnsi="宋体" w:cs="宋体" w:hint="eastAsia"/>
          <w:kern w:val="2"/>
          <w:sz w:val="24"/>
          <w:szCs w:val="24"/>
          <w:lang w:eastAsia="zh-CN"/>
        </w:rPr>
        <w:t>50314-2017）</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《民用建筑电气设计规范》（JGJ-</w:t>
      </w:r>
      <w:r>
        <w:rPr>
          <w:rFonts w:ascii="宋体" w:eastAsia="宋体" w:hAnsi="宋体" w:cs="宋体" w:hint="eastAsia"/>
          <w:kern w:val="2"/>
          <w:sz w:val="24"/>
          <w:szCs w:val="24"/>
          <w:lang w:val="en-US" w:eastAsia="zh-CN"/>
        </w:rPr>
        <w:t>2008</w:t>
      </w:r>
      <w:r>
        <w:rPr>
          <w:rFonts w:ascii="宋体" w:eastAsia="宋体" w:hAnsi="宋体" w:cs="宋体" w:hint="eastAsia"/>
          <w:kern w:val="2"/>
          <w:sz w:val="24"/>
          <w:szCs w:val="24"/>
          <w:lang w:eastAsia="zh-CN"/>
        </w:rPr>
        <w:t>）</w:t>
      </w:r>
    </w:p>
    <w:p>
      <w:pPr>
        <w:pStyle w:val="Normal16"/>
        <w:numPr>
          <w:ilvl w:val="0"/>
          <w:numId w:val="15"/>
        </w:numPr>
        <w:spacing w:before="240" w:after="0" w:line="250" w:lineRule="exact"/>
        <w:ind w:left="845" w:hanging="425" w:leftChars="0" w:firstLine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《商用建筑线缆标准》（EIA/TIA-569） </w:t>
      </w:r>
    </w:p>
    <w:p>
      <w:pPr>
        <w:pStyle w:val="Normal16"/>
        <w:numPr>
          <w:ilvl w:val="0"/>
          <w:numId w:val="0"/>
        </w:numPr>
        <w:spacing w:before="240" w:after="0" w:line="250" w:lineRule="exact"/>
        <w:ind w:left="420" w:leftChars="0"/>
        <w:jc w:val="left"/>
        <w:rPr>
          <w:rFonts w:ascii="宋体" w:eastAsia="宋体" w:hAnsi="宋体" w:cs="宋体" w:hint="eastAsia"/>
          <w:kern w:val="2"/>
          <w:sz w:val="24"/>
          <w:szCs w:val="24"/>
          <w:lang w:eastAsia="zh-CN"/>
        </w:rPr>
      </w:pPr>
      <w:r>
        <w:rPr>
          <w:rFonts w:ascii="宋体" w:eastAsia="宋体" w:hAnsi="宋体" w:cs="宋体" w:hint="eastAsia"/>
          <w:kern w:val="2"/>
          <w:sz w:val="24"/>
          <w:szCs w:val="24"/>
          <w:lang w:eastAsia="zh-CN"/>
        </w:rPr>
        <w:t>除上述规范以外的遵循国家现行的其它相关规范和标准要求。</w:t>
      </w:r>
    </w:p>
    <w:p>
      <w:pPr>
        <w:pStyle w:val="Heading2"/>
        <w:numPr>
          <w:ilvl w:val="1"/>
          <w:numId w:val="13"/>
        </w:numPr>
        <w:shd w:val="clear" w:color="auto" w:fill="auto"/>
        <w:ind w:left="567" w:hanging="567" w:leftChars="0" w:firstLineChars="0"/>
        <w:rPr>
          <w:rFonts w:ascii="宋体" w:eastAsia="宋体" w:hAnsi="宋体" w:cs="宋体" w:hint="eastAsia"/>
          <w:i w:val="0"/>
          <w:iCs w:val="0"/>
          <w:sz w:val="24"/>
          <w:szCs w:val="24"/>
          <w:highlight w:val="none"/>
        </w:rPr>
      </w:pPr>
      <w:bookmarkStart w:id="41" w:name="_Toc24386"/>
      <w:bookmarkStart w:id="42" w:name="_Toc25862"/>
      <w:bookmarkStart w:id="43" w:name="_Toc31708"/>
      <w:r>
        <w:rPr>
          <w:rFonts w:ascii="宋体" w:eastAsia="宋体" w:hAnsi="宋体" w:cs="宋体" w:hint="eastAsia"/>
          <w:i w:val="0"/>
          <w:iCs w:val="0"/>
          <w:sz w:val="24"/>
          <w:szCs w:val="24"/>
          <w:highlight w:val="none"/>
        </w:rPr>
        <w:t>安全</w:t>
      </w:r>
      <w:r>
        <w:rPr>
          <w:rFonts w:ascii="宋体" w:eastAsia="宋体" w:hAnsi="宋体" w:cs="宋体" w:hint="eastAsia"/>
          <w:i w:val="0"/>
          <w:iCs w:val="0"/>
          <w:sz w:val="24"/>
          <w:szCs w:val="24"/>
          <w:highlight w:val="none"/>
          <w:lang w:val="en-US" w:eastAsia="zh-CN"/>
        </w:rPr>
        <w:t>建设</w:t>
      </w:r>
      <w:r>
        <w:rPr>
          <w:rFonts w:ascii="宋体" w:eastAsia="宋体" w:hAnsi="宋体" w:cs="宋体" w:hint="eastAsia"/>
          <w:i w:val="0"/>
          <w:iCs w:val="0"/>
          <w:sz w:val="24"/>
          <w:szCs w:val="24"/>
          <w:highlight w:val="none"/>
        </w:rPr>
        <w:t>原则</w:t>
      </w:r>
      <w:bookmarkEnd w:id="41"/>
      <w:bookmarkEnd w:id="42"/>
    </w:p>
    <w:p>
      <w:pPr>
        <w:pStyle w:val="GXSJPoint1"/>
        <w:numPr>
          <w:ilvl w:val="0"/>
          <w:numId w:val="16"/>
        </w:numPr>
        <w:tabs>
          <w:tab w:val="clear" w:pos="0"/>
        </w:tabs>
        <w:ind w:firstLine="480" w:firstLineChars="200"/>
        <w:outlineLvl w:val="9"/>
        <w:rPr>
          <w:rFonts w:cs="宋体" w:hint="eastAsia"/>
          <w:sz w:val="24"/>
          <w:szCs w:val="24"/>
        </w:rPr>
      </w:pPr>
      <w:r>
        <w:rPr>
          <w:rFonts w:ascii="宋体" w:eastAsia="宋体" w:hAnsi="宋体" w:cs="宋体" w:hint="eastAsia"/>
          <w:sz w:val="24"/>
          <w:szCs w:val="24"/>
        </w:rPr>
        <w:t>木桶原则</w:t>
      </w:r>
    </w:p>
    <w:p>
      <w:pPr>
        <w:pStyle w:val="GXSJContent"/>
        <w:ind w:firstLine="560"/>
        <w:outlineLvl w:val="9"/>
        <w:rPr>
          <w:rFonts w:cs="宋体" w:hint="eastAsia"/>
          <w:sz w:val="24"/>
          <w:szCs w:val="24"/>
        </w:rPr>
      </w:pPr>
      <w:r>
        <w:rPr>
          <w:rFonts w:ascii="宋体" w:eastAsia="宋体" w:hAnsi="宋体" w:cs="宋体" w:hint="eastAsia"/>
          <w:sz w:val="24"/>
          <w:szCs w:val="24"/>
        </w:rPr>
        <w:t>安全系统的建设需对信息均衡、全面的进行保护。</w:t>
      </w:r>
    </w:p>
    <w:p>
      <w:pPr>
        <w:pStyle w:val="GXSJPoint1"/>
        <w:numPr>
          <w:ilvl w:val="0"/>
          <w:numId w:val="0"/>
        </w:numPr>
        <w:ind w:firstLine="480" w:firstLineChars="200"/>
        <w:outlineLvl w:val="9"/>
        <w:rPr>
          <w:rFonts w:cs="宋体" w:hint="eastAsia"/>
          <w:sz w:val="24"/>
          <w:szCs w:val="24"/>
        </w:rPr>
      </w:pPr>
      <w:r>
        <w:rPr>
          <w:rFonts w:ascii="宋体" w:eastAsia="宋体" w:hAnsi="宋体" w:cs="宋体" w:hint="eastAsia"/>
          <w:sz w:val="24"/>
          <w:szCs w:val="24"/>
        </w:rPr>
        <w:t>（2）有效性性原则</w:t>
      </w:r>
    </w:p>
    <w:p>
      <w:pPr>
        <w:pStyle w:val="GXSJContent"/>
        <w:ind w:firstLine="560"/>
        <w:outlineLvl w:val="9"/>
        <w:rPr>
          <w:rFonts w:cs="宋体" w:hint="eastAsia"/>
          <w:sz w:val="24"/>
          <w:szCs w:val="24"/>
        </w:rPr>
      </w:pPr>
      <w:r>
        <w:rPr>
          <w:rFonts w:ascii="宋体" w:eastAsia="宋体" w:hAnsi="宋体" w:cs="宋体" w:hint="eastAsia"/>
          <w:sz w:val="24"/>
          <w:szCs w:val="24"/>
        </w:rPr>
        <w:t>网络发生被攻击、破坏事件的情况下，必须尽可能地快速恢复网络信息中心的服务，减少损失。</w:t>
      </w:r>
    </w:p>
    <w:p>
      <w:pPr>
        <w:pStyle w:val="GXSJPoint1"/>
        <w:numPr>
          <w:ilvl w:val="0"/>
          <w:numId w:val="0"/>
        </w:numPr>
        <w:ind w:firstLine="480" w:firstLineChars="200"/>
        <w:outlineLvl w:val="9"/>
        <w:rPr>
          <w:rFonts w:cs="宋体" w:hint="eastAsia"/>
          <w:sz w:val="24"/>
          <w:szCs w:val="24"/>
        </w:rPr>
      </w:pPr>
      <w:r>
        <w:rPr>
          <w:rFonts w:ascii="宋体" w:eastAsia="宋体" w:hAnsi="宋体" w:cs="宋体" w:hint="eastAsia"/>
          <w:sz w:val="24"/>
          <w:szCs w:val="24"/>
        </w:rPr>
        <w:t>（3）实用性原则</w:t>
      </w:r>
    </w:p>
    <w:p>
      <w:pPr>
        <w:pStyle w:val="GXSJContent"/>
        <w:ind w:firstLine="560"/>
        <w:outlineLvl w:val="9"/>
        <w:rPr>
          <w:rFonts w:cs="宋体" w:hint="eastAsia"/>
          <w:sz w:val="24"/>
          <w:szCs w:val="24"/>
        </w:rPr>
        <w:sectPr>
          <w:headerReference w:type="default" r:id="rId17"/>
          <w:footerReference w:type="default" r:id="rId18"/>
          <w:type w:val="nextPage"/>
          <w:pgSz w:w="11906" w:h="16838"/>
          <w:pgMar w:top="1440" w:right="1800" w:bottom="1440" w:left="1800" w:header="851" w:footer="992" w:gutter="0"/>
          <w:pgNumType w:fmt="decimal" w:start="7"/>
          <w:cols w:num="1" w:space="425"/>
          <w:titlePg w:val="0"/>
          <w:docGrid w:type="lines" w:linePitch="312" w:charSpace="0"/>
        </w:sectPr>
      </w:pPr>
      <w:r>
        <w:rPr>
          <w:rFonts w:ascii="宋体" w:eastAsia="宋体" w:hAnsi="宋体" w:cs="宋体" w:hint="eastAsia"/>
          <w:sz w:val="24"/>
          <w:szCs w:val="24"/>
        </w:rPr>
        <w:t>安全系统的建设不能影响系统的正常运行和合法用户的操作活动。</w:t>
      </w:r>
    </w:p>
    <w:p>
      <w:pPr>
        <w:pStyle w:val="GXSJPoint1"/>
        <w:numPr>
          <w:ilvl w:val="0"/>
          <w:numId w:val="0"/>
        </w:numPr>
        <w:ind w:firstLine="480" w:firstLineChars="200"/>
        <w:outlineLvl w:val="9"/>
        <w:rPr>
          <w:rFonts w:cs="宋体" w:hint="eastAsia"/>
          <w:sz w:val="24"/>
          <w:szCs w:val="24"/>
        </w:rPr>
      </w:pPr>
      <w:r>
        <w:rPr>
          <w:rFonts w:ascii="宋体" w:eastAsia="宋体" w:hAnsi="宋体" w:cs="宋体" w:hint="eastAsia"/>
          <w:sz w:val="24"/>
          <w:szCs w:val="24"/>
        </w:rPr>
        <w:t>（4）标准化原则</w:t>
      </w:r>
    </w:p>
    <w:p>
      <w:pPr>
        <w:pStyle w:val="GXSJContent"/>
        <w:ind w:firstLine="560"/>
        <w:outlineLvl w:val="9"/>
        <w:rPr>
          <w:rFonts w:cs="宋体" w:hint="eastAsia"/>
          <w:sz w:val="24"/>
          <w:szCs w:val="24"/>
        </w:rPr>
      </w:pPr>
      <w:r>
        <w:rPr>
          <w:rFonts w:ascii="宋体" w:eastAsia="宋体" w:hAnsi="宋体" w:cs="宋体" w:hint="eastAsia"/>
          <w:sz w:val="24"/>
          <w:szCs w:val="24"/>
        </w:rPr>
        <w:t>安全系统的建设必须遵循国家标准，符合安全规划。</w:t>
      </w:r>
    </w:p>
    <w:p>
      <w:pPr>
        <w:pStyle w:val="GXSJPoint1"/>
        <w:numPr>
          <w:ilvl w:val="0"/>
          <w:numId w:val="0"/>
        </w:numPr>
        <w:ind w:firstLine="480" w:firstLineChars="200"/>
        <w:outlineLvl w:val="9"/>
        <w:rPr>
          <w:rFonts w:cs="宋体" w:hint="eastAsia"/>
          <w:sz w:val="24"/>
          <w:szCs w:val="24"/>
        </w:rPr>
      </w:pPr>
      <w:r>
        <w:rPr>
          <w:rFonts w:ascii="宋体" w:eastAsia="宋体" w:hAnsi="宋体" w:cs="宋体" w:hint="eastAsia"/>
          <w:sz w:val="24"/>
          <w:szCs w:val="24"/>
        </w:rPr>
        <w:t>（5）等级性原则</w:t>
      </w:r>
    </w:p>
    <w:p>
      <w:pPr>
        <w:pStyle w:val="GXSJContent"/>
        <w:ind w:firstLine="560"/>
        <w:outlineLvl w:val="9"/>
        <w:rPr>
          <w:rFonts w:cs="宋体" w:hint="eastAsia"/>
          <w:sz w:val="24"/>
          <w:szCs w:val="24"/>
        </w:rPr>
      </w:pPr>
      <w:r>
        <w:rPr>
          <w:rFonts w:ascii="宋体" w:eastAsia="宋体" w:hAnsi="宋体" w:cs="宋体" w:hint="eastAsia"/>
          <w:sz w:val="24"/>
          <w:szCs w:val="24"/>
        </w:rPr>
        <w:t>安全系统的建设需分为不同等级，包括对信息保密程度分级、对用户操作权限分级，对网络安全程度分级，对系统实现结构分级。从而针对不同级别的安全对象，提供全面、可选的安全算法和安全体制。</w:t>
      </w:r>
    </w:p>
    <w:p>
      <w:pPr>
        <w:pStyle w:val="Heading2"/>
        <w:keepNext/>
        <w:keepLines/>
        <w:pageBreakBefore w:val="0"/>
        <w:widowControl w:val="0"/>
        <w:numPr>
          <w:ilvl w:val="1"/>
          <w:numId w:val="13"/>
        </w:numPr>
        <w:shd w:val="clear" w:color="auto" w:fill="auto"/>
        <w:kinsoku/>
        <w:wordWrap/>
        <w:overflowPunct/>
        <w:topLinePunct w:val="0"/>
        <w:autoSpaceDE/>
        <w:autoSpaceDN/>
        <w:bidi w:val="0"/>
        <w:adjustRightInd/>
        <w:snapToGrid/>
        <w:spacing w:after="0" w:line="416" w:lineRule="auto"/>
        <w:ind w:left="567" w:hanging="567" w:leftChars="0" w:firstLineChars="0"/>
        <w:textAlignment w:val="auto"/>
        <w:rPr>
          <w:rFonts w:ascii="宋体" w:eastAsia="宋体" w:hAnsi="宋体" w:cs="宋体" w:hint="eastAsia"/>
          <w:i w:val="0"/>
          <w:iCs w:val="0"/>
          <w:sz w:val="24"/>
          <w:szCs w:val="24"/>
          <w:highlight w:val="none"/>
        </w:rPr>
      </w:pPr>
      <w:bookmarkStart w:id="44" w:name="_Toc22500"/>
      <w:r>
        <w:rPr>
          <w:rFonts w:ascii="宋体" w:eastAsia="宋体" w:hAnsi="宋体" w:cs="宋体" w:hint="eastAsia"/>
          <w:i w:val="0"/>
          <w:iCs w:val="0"/>
          <w:sz w:val="24"/>
          <w:szCs w:val="24"/>
          <w:highlight w:val="none"/>
        </w:rPr>
        <w:t>主体建设思路</w:t>
      </w:r>
      <w:bookmarkEnd w:id="43"/>
      <w:bookmarkEnd w:id="44"/>
      <w:r>
        <w:rPr>
          <w:rFonts w:ascii="宋体" w:eastAsia="宋体" w:hAnsi="宋体" w:cs="宋体" w:hint="eastAsia"/>
          <w:i w:val="0"/>
          <w:iCs w:val="0"/>
          <w:sz w:val="24"/>
          <w:szCs w:val="24"/>
          <w:highlight w:val="none"/>
        </w:rPr>
        <w:tab/>
      </w:r>
    </w:p>
    <w:p>
      <w:pPr>
        <w:pStyle w:val="Heading3"/>
        <w:keepNext/>
        <w:keepLines/>
        <w:pageBreakBefore w:val="0"/>
        <w:widowControl w:val="0"/>
        <w:numPr>
          <w:ilvl w:val="2"/>
          <w:numId w:val="13"/>
        </w:numPr>
        <w:shd w:val="clear" w:color="auto" w:fill="auto"/>
        <w:kinsoku/>
        <w:wordWrap/>
        <w:overflowPunct/>
        <w:topLinePunct w:val="0"/>
        <w:autoSpaceDE/>
        <w:autoSpaceDN/>
        <w:bidi w:val="0"/>
        <w:adjustRightInd/>
        <w:snapToGrid/>
        <w:spacing w:after="0" w:line="416" w:lineRule="auto"/>
        <w:ind w:left="567" w:hanging="567" w:leftChars="0" w:firstLineChars="0"/>
        <w:textAlignment w:val="auto"/>
        <w:rPr>
          <w:rFonts w:ascii="宋体" w:eastAsia="宋体" w:hAnsi="宋体" w:cs="宋体" w:hint="eastAsia"/>
          <w:i w:val="0"/>
          <w:iCs w:val="0"/>
          <w:sz w:val="24"/>
          <w:szCs w:val="24"/>
          <w:highlight w:val="none"/>
        </w:rPr>
      </w:pPr>
      <w:bookmarkStart w:id="45" w:name="_Toc22379"/>
      <w:r>
        <w:rPr>
          <w:rFonts w:ascii="宋体" w:eastAsia="宋体" w:hAnsi="宋体" w:cs="宋体" w:hint="eastAsia"/>
          <w:i w:val="0"/>
          <w:iCs w:val="0"/>
          <w:sz w:val="24"/>
          <w:szCs w:val="24"/>
          <w:highlight w:val="none"/>
        </w:rPr>
        <w:t>新一代信息基础设施</w:t>
      </w:r>
      <w:bookmarkEnd w:id="45"/>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通过构建新一代信息基础设施，为园区内的组织和个人提供安全、高速、便捷的网络环境，实现园区内的部件、人员随时随地接入网络，奠定了泛在感知的网络基础。新一代的信息基础设主要包括两个层面，全面覆盖的感知层和泛在的传输网络层。</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全面覆盖的感知层由各种传感器以及传感器网关构成，不同区域、不同行业采用的感知方式也不尽相同。通过感知网络的全面建设，实现对园区全面覆盖，使得园区各元素的各类信息均可接入到传输网络层。</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泛在的传输网络层建设以泛在接入、高速传输、安全融合为目的，高标准、高起点、集约化规划和建设面向未来的网络，大规模部署高速无线宽带覆盖，促进</w:t>
      </w:r>
      <w:r>
        <w:rPr>
          <w:rFonts w:ascii="宋体" w:eastAsia="宋体" w:hAnsi="宋体" w:cs="宋体" w:hint="eastAsia"/>
          <w:i w:val="0"/>
          <w:iCs w:val="0"/>
          <w:sz w:val="24"/>
          <w:szCs w:val="24"/>
          <w:highlight w:val="none"/>
          <w:lang w:eastAsia="zh-CN"/>
        </w:rPr>
        <w:t>XX</w:t>
      </w:r>
      <w:r>
        <w:rPr>
          <w:rFonts w:ascii="宋体" w:eastAsia="宋体" w:hAnsi="宋体" w:cs="宋体" w:hint="eastAsia"/>
          <w:i w:val="0"/>
          <w:iCs w:val="0"/>
          <w:sz w:val="24"/>
          <w:szCs w:val="24"/>
          <w:highlight w:val="none"/>
        </w:rPr>
        <w:t>网、互联网融合，构建大宽带、全业务融合的有线无线高速的全覆盖网络，实现多种方式随时随地接入。</w:t>
      </w:r>
    </w:p>
    <w:p>
      <w:pPr>
        <w:pStyle w:val="Heading3"/>
        <w:keepNext/>
        <w:keepLines/>
        <w:pageBreakBefore w:val="0"/>
        <w:widowControl w:val="0"/>
        <w:numPr>
          <w:ilvl w:val="2"/>
          <w:numId w:val="13"/>
        </w:numPr>
        <w:shd w:val="clear" w:color="auto" w:fill="auto"/>
        <w:kinsoku/>
        <w:wordWrap/>
        <w:overflowPunct/>
        <w:topLinePunct w:val="0"/>
        <w:autoSpaceDE/>
        <w:autoSpaceDN/>
        <w:bidi w:val="0"/>
        <w:adjustRightInd/>
        <w:snapToGrid/>
        <w:spacing w:after="0" w:line="416" w:lineRule="auto"/>
        <w:ind w:left="567" w:hanging="567" w:leftChars="0" w:firstLineChars="0"/>
        <w:textAlignment w:val="auto"/>
        <w:rPr>
          <w:rFonts w:ascii="宋体" w:eastAsia="宋体" w:hAnsi="宋体" w:cs="宋体" w:hint="eastAsia"/>
          <w:i w:val="0"/>
          <w:iCs w:val="0"/>
          <w:sz w:val="24"/>
          <w:szCs w:val="24"/>
          <w:highlight w:val="none"/>
        </w:rPr>
      </w:pPr>
      <w:bookmarkStart w:id="46" w:name="_Toc9949"/>
      <w:r>
        <w:rPr>
          <w:rFonts w:ascii="宋体" w:eastAsia="宋体" w:hAnsi="宋体" w:cs="宋体" w:hint="eastAsia"/>
          <w:i w:val="0"/>
          <w:iCs w:val="0"/>
          <w:sz w:val="24"/>
          <w:szCs w:val="24"/>
          <w:highlight w:val="none"/>
        </w:rPr>
        <w:t>集约共享信息资源体系</w:t>
      </w:r>
      <w:bookmarkEnd w:id="46"/>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sectPr>
          <w:headerReference w:type="default" r:id="rId19"/>
          <w:footerReference w:type="default" r:id="rId20"/>
          <w:type w:val="nextPage"/>
          <w:pgSz w:w="11906" w:h="16838"/>
          <w:pgMar w:top="1440" w:right="1800" w:bottom="1440" w:left="1800" w:header="851" w:footer="992" w:gutter="0"/>
          <w:pgNumType w:fmt="decimal" w:start="8"/>
          <w:cols w:num="1" w:space="425"/>
          <w:titlePg w:val="0"/>
          <w:docGrid w:type="lines" w:linePitch="312" w:charSpace="0"/>
        </w:sectPr>
      </w:pPr>
      <w:r>
        <w:rPr>
          <w:rFonts w:ascii="宋体" w:eastAsia="宋体" w:hAnsi="宋体" w:cs="宋体" w:hint="eastAsia"/>
          <w:i w:val="0"/>
          <w:iCs w:val="0"/>
          <w:sz w:val="24"/>
          <w:szCs w:val="24"/>
          <w:highlight w:val="none"/>
        </w:rPr>
        <w:t>在智慧园区建设的统筹规划下，依照“一体化”集约共享的建设思路，以服务为宗旨，以应用为关键，以信息资源开发利用为主线，通过安全、通畅的信息资源交换，实现园区各单位间资源共享，达到业务协同。</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信息资源目录体系的建设应遵循国家电子政务信息资源交换体系标准，规划和完善园区内各类主题的应用框架，建立跨部门、跨行业交换和共享的业务资源指标体系，实现不同部门、不同行业间的资源共享。</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共享交换平台是业务系统间无缝共享数据、连通信息孤岛的高速公路，为实现应用层各种应用系统的搭建和运行提供支撑服务，包括目录服务系统、交换服务系统、安全服务系统和导航服务、平台管理服务等。</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集约共享的信息资源利用体系打破了信息孤岛，实现数据共享从部门级到区域级的提升。通过加强数据的统一管理，可以保证数据的准确性和及时性；通过数据的共享交换，实现了智慧园区运营的高效协同，实现了由数据转化为价值。</w:t>
      </w:r>
    </w:p>
    <w:p>
      <w:pPr>
        <w:pStyle w:val="Heading3"/>
        <w:keepNext/>
        <w:keepLines/>
        <w:pageBreakBefore w:val="0"/>
        <w:widowControl w:val="0"/>
        <w:numPr>
          <w:ilvl w:val="2"/>
          <w:numId w:val="13"/>
        </w:numPr>
        <w:shd w:val="clear" w:color="auto" w:fill="auto"/>
        <w:kinsoku/>
        <w:wordWrap/>
        <w:overflowPunct/>
        <w:topLinePunct w:val="0"/>
        <w:autoSpaceDE/>
        <w:autoSpaceDN/>
        <w:bidi w:val="0"/>
        <w:adjustRightInd/>
        <w:snapToGrid/>
        <w:spacing w:after="0" w:line="416" w:lineRule="auto"/>
        <w:ind w:left="567" w:hanging="567" w:leftChars="0" w:firstLineChars="0"/>
        <w:textAlignment w:val="auto"/>
        <w:rPr>
          <w:rFonts w:ascii="宋体" w:eastAsia="宋体" w:hAnsi="宋体" w:cs="宋体" w:hint="eastAsia"/>
          <w:i w:val="0"/>
          <w:iCs w:val="0"/>
          <w:sz w:val="24"/>
          <w:szCs w:val="24"/>
          <w:highlight w:val="none"/>
        </w:rPr>
      </w:pPr>
      <w:bookmarkStart w:id="47" w:name="_Toc2849"/>
      <w:r>
        <w:rPr>
          <w:rFonts w:ascii="宋体" w:eastAsia="宋体" w:hAnsi="宋体" w:cs="宋体" w:hint="eastAsia"/>
          <w:i w:val="0"/>
          <w:iCs w:val="0"/>
          <w:sz w:val="24"/>
          <w:szCs w:val="24"/>
          <w:highlight w:val="none"/>
        </w:rPr>
        <w:t>智慧</w:t>
      </w:r>
      <w:r>
        <w:rPr>
          <w:rFonts w:ascii="宋体" w:eastAsia="宋体" w:hAnsi="宋体" w:cs="宋体" w:hint="eastAsia"/>
          <w:i w:val="0"/>
          <w:iCs w:val="0"/>
          <w:sz w:val="24"/>
          <w:szCs w:val="24"/>
          <w:highlight w:val="none"/>
          <w:lang w:val="en-US" w:eastAsia="zh-CN"/>
        </w:rPr>
        <w:t>园区生态应用</w:t>
      </w:r>
      <w:r>
        <w:rPr>
          <w:rFonts w:ascii="宋体" w:eastAsia="宋体" w:hAnsi="宋体" w:cs="宋体" w:hint="eastAsia"/>
          <w:i w:val="0"/>
          <w:iCs w:val="0"/>
          <w:sz w:val="24"/>
          <w:szCs w:val="24"/>
          <w:highlight w:val="none"/>
        </w:rPr>
        <w:t>体系</w:t>
      </w:r>
      <w:bookmarkEnd w:id="47"/>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智慧</w:t>
      </w:r>
      <w:r>
        <w:rPr>
          <w:rFonts w:ascii="宋体" w:eastAsia="宋体" w:hAnsi="宋体" w:cs="宋体" w:hint="eastAsia"/>
          <w:i w:val="0"/>
          <w:iCs w:val="0"/>
          <w:sz w:val="24"/>
          <w:szCs w:val="24"/>
          <w:highlight w:val="none"/>
          <w:lang w:val="en-US" w:eastAsia="zh-CN"/>
        </w:rPr>
        <w:t>生态</w:t>
      </w:r>
      <w:r>
        <w:rPr>
          <w:rFonts w:ascii="宋体" w:eastAsia="宋体" w:hAnsi="宋体" w:cs="宋体" w:hint="eastAsia"/>
          <w:i w:val="0"/>
          <w:iCs w:val="0"/>
          <w:sz w:val="24"/>
          <w:szCs w:val="24"/>
          <w:highlight w:val="none"/>
        </w:rPr>
        <w:t>应用体系是智慧园区建设重要的部分，也是可以直接提升园区管理服务能力、生产生活环境的重要构成，智慧应用体系分析、整合园区运行核心系统的各项关键信息，从而对于包括公共安全、</w:t>
      </w:r>
      <w:r>
        <w:rPr>
          <w:rFonts w:ascii="宋体" w:eastAsia="宋体" w:hAnsi="宋体" w:cs="宋体" w:hint="eastAsia"/>
          <w:i w:val="0"/>
          <w:iCs w:val="0"/>
          <w:sz w:val="24"/>
          <w:szCs w:val="24"/>
          <w:highlight w:val="none"/>
          <w:lang w:eastAsia="zh-CN"/>
        </w:rPr>
        <w:t>园区</w:t>
      </w:r>
      <w:r>
        <w:rPr>
          <w:rFonts w:ascii="宋体" w:eastAsia="宋体" w:hAnsi="宋体" w:cs="宋体" w:hint="eastAsia"/>
          <w:i w:val="0"/>
          <w:iCs w:val="0"/>
          <w:sz w:val="24"/>
          <w:szCs w:val="24"/>
          <w:highlight w:val="none"/>
        </w:rPr>
        <w:t>服务</w:t>
      </w:r>
      <w:r>
        <w:rPr>
          <w:rFonts w:ascii="宋体" w:eastAsia="宋体" w:hAnsi="宋体" w:cs="宋体" w:hint="eastAsia"/>
          <w:i w:val="0"/>
          <w:iCs w:val="0"/>
          <w:sz w:val="24"/>
          <w:szCs w:val="24"/>
          <w:highlight w:val="none"/>
          <w:lang w:val="en-US" w:eastAsia="zh-CN"/>
        </w:rPr>
        <w:t>等</w:t>
      </w:r>
      <w:r>
        <w:rPr>
          <w:rFonts w:ascii="宋体" w:eastAsia="宋体" w:hAnsi="宋体" w:cs="宋体" w:hint="eastAsia"/>
          <w:i w:val="0"/>
          <w:iCs w:val="0"/>
          <w:sz w:val="24"/>
          <w:szCs w:val="24"/>
          <w:highlight w:val="none"/>
        </w:rPr>
        <w:t>活动在内的各种需求做出智能响应，使园区运行更加智慧顺畅，为人类创造更美好的</w:t>
      </w:r>
      <w:r>
        <w:rPr>
          <w:rFonts w:ascii="宋体" w:eastAsia="宋体" w:hAnsi="宋体" w:cs="宋体" w:hint="eastAsia"/>
          <w:i w:val="0"/>
          <w:iCs w:val="0"/>
          <w:sz w:val="24"/>
          <w:szCs w:val="24"/>
          <w:highlight w:val="none"/>
          <w:lang w:eastAsia="zh-CN"/>
        </w:rPr>
        <w:t>园区</w:t>
      </w:r>
      <w:r>
        <w:rPr>
          <w:rFonts w:ascii="宋体" w:eastAsia="宋体" w:hAnsi="宋体" w:cs="宋体" w:hint="eastAsia"/>
          <w:i w:val="0"/>
          <w:iCs w:val="0"/>
          <w:sz w:val="24"/>
          <w:szCs w:val="24"/>
          <w:highlight w:val="none"/>
        </w:rPr>
        <w:t>生活。</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精细智能的</w:t>
      </w:r>
      <w:r>
        <w:rPr>
          <w:rFonts w:ascii="宋体" w:eastAsia="宋体" w:hAnsi="宋体" w:cs="宋体" w:hint="eastAsia"/>
          <w:i w:val="0"/>
          <w:iCs w:val="0"/>
          <w:sz w:val="24"/>
          <w:szCs w:val="24"/>
          <w:highlight w:val="none"/>
          <w:lang w:val="en-US" w:eastAsia="zh-CN"/>
        </w:rPr>
        <w:t>园区</w:t>
      </w:r>
      <w:r>
        <w:rPr>
          <w:rFonts w:ascii="宋体" w:eastAsia="宋体" w:hAnsi="宋体" w:cs="宋体" w:hint="eastAsia"/>
          <w:i w:val="0"/>
          <w:iCs w:val="0"/>
          <w:sz w:val="24"/>
          <w:szCs w:val="24"/>
          <w:highlight w:val="none"/>
        </w:rPr>
        <w:t>管理信息化体系以构建更为高效有序的</w:t>
      </w:r>
      <w:r>
        <w:rPr>
          <w:rFonts w:ascii="宋体" w:eastAsia="宋体" w:hAnsi="宋体" w:cs="宋体" w:hint="eastAsia"/>
          <w:i w:val="0"/>
          <w:iCs w:val="0"/>
          <w:sz w:val="24"/>
          <w:szCs w:val="24"/>
          <w:highlight w:val="none"/>
          <w:lang w:val="en-US" w:eastAsia="zh-CN"/>
        </w:rPr>
        <w:t>园区</w:t>
      </w:r>
      <w:r>
        <w:rPr>
          <w:rFonts w:ascii="宋体" w:eastAsia="宋体" w:hAnsi="宋体" w:cs="宋体" w:hint="eastAsia"/>
          <w:i w:val="0"/>
          <w:iCs w:val="0"/>
          <w:sz w:val="24"/>
          <w:szCs w:val="24"/>
          <w:highlight w:val="none"/>
        </w:rPr>
        <w:t>管理模式为目标，依托物联网、云计算等应用理念及最新的电子信息技术成果，广泛布局立体感知、可靠传输、智能处理的感知网络，特别是探索在尽可能多的</w:t>
      </w:r>
      <w:r>
        <w:rPr>
          <w:rFonts w:ascii="宋体" w:eastAsia="宋体" w:hAnsi="宋体" w:cs="宋体" w:hint="eastAsia"/>
          <w:i w:val="0"/>
          <w:iCs w:val="0"/>
          <w:sz w:val="24"/>
          <w:szCs w:val="24"/>
          <w:highlight w:val="none"/>
          <w:lang w:val="en-US" w:eastAsia="zh-CN"/>
        </w:rPr>
        <w:t>园区</w:t>
      </w:r>
      <w:r>
        <w:rPr>
          <w:rFonts w:ascii="宋体" w:eastAsia="宋体" w:hAnsi="宋体" w:cs="宋体" w:hint="eastAsia"/>
          <w:i w:val="0"/>
          <w:iCs w:val="0"/>
          <w:sz w:val="24"/>
          <w:szCs w:val="24"/>
          <w:highlight w:val="none"/>
        </w:rPr>
        <w:t>基础设施（如道路、交通信号灯、电灯杆等）上，附载以RFID技术、无线传感网络技术等为核心的新型感知终端，全面、实时、准确获取</w:t>
      </w:r>
      <w:r>
        <w:rPr>
          <w:rFonts w:ascii="宋体" w:eastAsia="宋体" w:hAnsi="宋体" w:cs="宋体" w:hint="eastAsia"/>
          <w:i w:val="0"/>
          <w:iCs w:val="0"/>
          <w:sz w:val="24"/>
          <w:szCs w:val="24"/>
          <w:highlight w:val="none"/>
          <w:lang w:eastAsia="zh-CN"/>
        </w:rPr>
        <w:t>园区</w:t>
      </w:r>
      <w:r>
        <w:rPr>
          <w:rFonts w:ascii="宋体" w:eastAsia="宋体" w:hAnsi="宋体" w:cs="宋体" w:hint="eastAsia"/>
          <w:i w:val="0"/>
          <w:iCs w:val="0"/>
          <w:sz w:val="24"/>
          <w:szCs w:val="24"/>
          <w:highlight w:val="none"/>
        </w:rPr>
        <w:t>运行的相关信息，在园区安全、交通管理、环境保护、应急指挥、能源管理等方面实现</w:t>
      </w:r>
      <w:r>
        <w:rPr>
          <w:rFonts w:ascii="宋体" w:eastAsia="宋体" w:hAnsi="宋体" w:cs="宋体" w:hint="eastAsia"/>
          <w:i w:val="0"/>
          <w:iCs w:val="0"/>
          <w:sz w:val="24"/>
          <w:szCs w:val="24"/>
          <w:highlight w:val="none"/>
          <w:lang w:eastAsia="zh-CN"/>
        </w:rPr>
        <w:t>园区</w:t>
      </w:r>
      <w:r>
        <w:rPr>
          <w:rFonts w:ascii="宋体" w:eastAsia="宋体" w:hAnsi="宋体" w:cs="宋体" w:hint="eastAsia"/>
          <w:i w:val="0"/>
          <w:iCs w:val="0"/>
          <w:sz w:val="24"/>
          <w:szCs w:val="24"/>
          <w:highlight w:val="none"/>
        </w:rPr>
        <w:t>运营管理从“平面管理”向“立体管理”的转变，提高</w:t>
      </w:r>
      <w:r>
        <w:rPr>
          <w:rFonts w:ascii="宋体" w:eastAsia="宋体" w:hAnsi="宋体" w:cs="宋体" w:hint="eastAsia"/>
          <w:i w:val="0"/>
          <w:iCs w:val="0"/>
          <w:sz w:val="24"/>
          <w:szCs w:val="24"/>
          <w:highlight w:val="none"/>
          <w:lang w:eastAsia="zh-CN"/>
        </w:rPr>
        <w:t>园区</w:t>
      </w:r>
      <w:r>
        <w:rPr>
          <w:rFonts w:ascii="宋体" w:eastAsia="宋体" w:hAnsi="宋体" w:cs="宋体" w:hint="eastAsia"/>
          <w:i w:val="0"/>
          <w:iCs w:val="0"/>
          <w:sz w:val="24"/>
          <w:szCs w:val="24"/>
          <w:highlight w:val="none"/>
        </w:rPr>
        <w:t>运营管理的精细化、智能化水平。</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sectPr>
          <w:headerReference w:type="default" r:id="rId21"/>
          <w:footerReference w:type="default" r:id="rId22"/>
          <w:type w:val="nextPage"/>
          <w:pgSz w:w="11906" w:h="16838"/>
          <w:pgMar w:top="1440" w:right="1800" w:bottom="1440" w:left="1800" w:header="851" w:footer="992" w:gutter="0"/>
          <w:pgNumType w:fmt="decimal" w:start="9"/>
          <w:cols w:num="1" w:space="425"/>
          <w:titlePg w:val="0"/>
          <w:docGrid w:type="lines" w:linePitch="312" w:charSpace="0"/>
        </w:sectPr>
      </w:pP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深入智慧的两化融合体系是园区推动经济转型走新型工业化道路的重要抓手，两化融合体系包括提升传统产业智慧化水平、扶持壮大新型融合智慧产业、建立扶持有利的公共服务体系等。通过深入智慧的两化融合体系提升园区内企业对信息化技术手段和管理工具的应用意识，促进信息技术与生产技术、产品、业务、产业的全方位融合，提升园区产业创新能力与发展水平，促进产业结构优化升级，加快经济发展方式转变。</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全面便民的数字化民生体系应当坚持以人为本、</w:t>
      </w:r>
      <w:r>
        <w:rPr>
          <w:rFonts w:ascii="宋体" w:eastAsia="宋体" w:hAnsi="宋体" w:cs="宋体" w:hint="eastAsia"/>
          <w:i w:val="0"/>
          <w:iCs w:val="0"/>
          <w:sz w:val="24"/>
          <w:szCs w:val="24"/>
          <w:highlight w:val="none"/>
          <w:lang w:val="en-US" w:eastAsia="zh-CN"/>
        </w:rPr>
        <w:t>园区</w:t>
      </w:r>
      <w:r>
        <w:rPr>
          <w:rFonts w:ascii="宋体" w:eastAsia="宋体" w:hAnsi="宋体" w:cs="宋体" w:hint="eastAsia"/>
          <w:i w:val="0"/>
          <w:iCs w:val="0"/>
          <w:sz w:val="24"/>
          <w:szCs w:val="24"/>
          <w:highlight w:val="none"/>
        </w:rPr>
        <w:t>一体、服务为先，重点加强信息化建设，形成新型的全方位的信息化</w:t>
      </w:r>
      <w:r>
        <w:rPr>
          <w:rFonts w:ascii="宋体" w:eastAsia="宋体" w:hAnsi="宋体" w:cs="宋体" w:hint="eastAsia"/>
          <w:i w:val="0"/>
          <w:iCs w:val="0"/>
          <w:sz w:val="24"/>
          <w:szCs w:val="24"/>
          <w:highlight w:val="none"/>
          <w:lang w:val="en-US" w:eastAsia="zh-CN"/>
        </w:rPr>
        <w:t>园区</w:t>
      </w:r>
      <w:r>
        <w:rPr>
          <w:rFonts w:ascii="宋体" w:eastAsia="宋体" w:hAnsi="宋体" w:cs="宋体" w:hint="eastAsia"/>
          <w:i w:val="0"/>
          <w:iCs w:val="0"/>
          <w:sz w:val="24"/>
          <w:szCs w:val="24"/>
          <w:highlight w:val="none"/>
        </w:rPr>
        <w:t>公共服务应用体系，为园区群众构建亲民、便民的数字化生活环境。</w:t>
      </w:r>
    </w:p>
    <w:p>
      <w:pPr>
        <w:pStyle w:val="Heading3"/>
        <w:keepNext/>
        <w:keepLines/>
        <w:pageBreakBefore w:val="0"/>
        <w:widowControl w:val="0"/>
        <w:numPr>
          <w:ilvl w:val="2"/>
          <w:numId w:val="13"/>
        </w:numPr>
        <w:shd w:val="clear" w:color="auto" w:fill="auto"/>
        <w:kinsoku/>
        <w:wordWrap/>
        <w:overflowPunct/>
        <w:topLinePunct w:val="0"/>
        <w:autoSpaceDE/>
        <w:autoSpaceDN/>
        <w:bidi w:val="0"/>
        <w:adjustRightInd/>
        <w:snapToGrid/>
        <w:spacing w:after="0" w:line="416" w:lineRule="auto"/>
        <w:ind w:left="567" w:hanging="567" w:leftChars="0" w:firstLineChars="0"/>
        <w:textAlignment w:val="auto"/>
        <w:rPr>
          <w:rFonts w:ascii="宋体" w:eastAsia="宋体" w:hAnsi="宋体" w:cs="宋体" w:hint="eastAsia"/>
          <w:i w:val="0"/>
          <w:iCs w:val="0"/>
          <w:sz w:val="24"/>
          <w:szCs w:val="24"/>
          <w:highlight w:val="none"/>
        </w:rPr>
      </w:pPr>
      <w:bookmarkStart w:id="48" w:name="_Toc28793"/>
      <w:r>
        <w:rPr>
          <w:rFonts w:ascii="宋体" w:eastAsia="宋体" w:hAnsi="宋体" w:cs="宋体" w:hint="eastAsia"/>
          <w:i w:val="0"/>
          <w:iCs w:val="0"/>
          <w:sz w:val="24"/>
          <w:szCs w:val="24"/>
          <w:highlight w:val="none"/>
        </w:rPr>
        <w:t>智慧园区安全</w:t>
      </w:r>
      <w:r>
        <w:rPr>
          <w:rFonts w:ascii="宋体" w:eastAsia="宋体" w:hAnsi="宋体" w:cs="宋体" w:hint="eastAsia"/>
          <w:i w:val="0"/>
          <w:iCs w:val="0"/>
          <w:sz w:val="24"/>
          <w:szCs w:val="24"/>
          <w:highlight w:val="none"/>
          <w:lang w:val="en-US" w:eastAsia="zh-CN"/>
        </w:rPr>
        <w:t>保障</w:t>
      </w:r>
      <w:r>
        <w:rPr>
          <w:rFonts w:ascii="宋体" w:eastAsia="宋体" w:hAnsi="宋体" w:cs="宋体" w:hint="eastAsia"/>
          <w:i w:val="0"/>
          <w:iCs w:val="0"/>
          <w:sz w:val="24"/>
          <w:szCs w:val="24"/>
          <w:highlight w:val="none"/>
        </w:rPr>
        <w:t>体系</w:t>
      </w:r>
      <w:bookmarkEnd w:id="48"/>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智慧园区安全体系需准确建立在业务流程整合、业务数据规范交互基础之上，从信息系统等级保护角度提出安全体系的设计思路和安全防护策略，以“整体合规、资源可控、数据可信、持续发展”的生存管理与安全运维模式，详细分析智慧园区安全体系建设的必要性，界定智慧园区网络区域边界范围、安全保障技术路线、安全防护策略等，以此为园区服务机构、管理机构及社会公众等提供安全有效、规范合规的信息服务。</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智慧园区安全体系包括安全的信息感知、可靠的数据传送和安全的信息操控三方面，具体涉及物理环境安全、通信管理、访问控制、系统开发和维护、信息安全事件管理、业务连续性管理六个层面，并且在每个层面上，都包含安全管理和安全策略的内容。</w:t>
      </w:r>
    </w:p>
    <w:p>
      <w:pPr>
        <w:pStyle w:val="Heading3"/>
        <w:keepNext/>
        <w:keepLines/>
        <w:pageBreakBefore w:val="0"/>
        <w:widowControl w:val="0"/>
        <w:numPr>
          <w:ilvl w:val="2"/>
          <w:numId w:val="13"/>
        </w:numPr>
        <w:shd w:val="clear" w:color="auto" w:fill="auto"/>
        <w:kinsoku/>
        <w:wordWrap/>
        <w:overflowPunct/>
        <w:topLinePunct w:val="0"/>
        <w:autoSpaceDE/>
        <w:autoSpaceDN/>
        <w:bidi w:val="0"/>
        <w:adjustRightInd/>
        <w:snapToGrid/>
        <w:spacing w:after="0" w:line="416" w:lineRule="auto"/>
        <w:ind w:left="567" w:hanging="567" w:leftChars="0" w:firstLineChars="0"/>
        <w:textAlignment w:val="auto"/>
        <w:rPr>
          <w:rFonts w:ascii="宋体" w:eastAsia="宋体" w:hAnsi="宋体" w:cs="宋体" w:hint="eastAsia"/>
          <w:i w:val="0"/>
          <w:iCs w:val="0"/>
          <w:sz w:val="24"/>
          <w:szCs w:val="24"/>
          <w:highlight w:val="none"/>
        </w:rPr>
      </w:pPr>
      <w:bookmarkStart w:id="49" w:name="_Toc11321"/>
      <w:r>
        <w:rPr>
          <w:rFonts w:ascii="宋体" w:eastAsia="宋体" w:hAnsi="宋体" w:cs="宋体" w:hint="eastAsia"/>
          <w:i w:val="0"/>
          <w:iCs w:val="0"/>
          <w:sz w:val="24"/>
          <w:szCs w:val="24"/>
          <w:highlight w:val="none"/>
        </w:rPr>
        <w:t>智慧园区</w:t>
      </w:r>
      <w:r>
        <w:rPr>
          <w:rFonts w:ascii="宋体" w:eastAsia="宋体" w:hAnsi="宋体" w:cs="宋体" w:hint="eastAsia"/>
          <w:i w:val="0"/>
          <w:iCs w:val="0"/>
          <w:sz w:val="24"/>
          <w:szCs w:val="24"/>
          <w:highlight w:val="none"/>
          <w:lang w:val="en-US" w:eastAsia="zh-CN"/>
        </w:rPr>
        <w:t>全面</w:t>
      </w:r>
      <w:r>
        <w:rPr>
          <w:rFonts w:ascii="宋体" w:eastAsia="宋体" w:hAnsi="宋体" w:cs="宋体" w:hint="eastAsia"/>
          <w:i w:val="0"/>
          <w:iCs w:val="0"/>
          <w:sz w:val="24"/>
          <w:szCs w:val="24"/>
          <w:highlight w:val="none"/>
        </w:rPr>
        <w:t>管理体系</w:t>
      </w:r>
      <w:bookmarkEnd w:id="49"/>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sectPr>
          <w:headerReference w:type="default" r:id="rId23"/>
          <w:footerReference w:type="default" r:id="rId24"/>
          <w:type w:val="nextPage"/>
          <w:pgSz w:w="11906" w:h="16838"/>
          <w:pgMar w:top="1440" w:right="1800" w:bottom="1440" w:left="1800" w:header="851" w:footer="992" w:gutter="0"/>
          <w:pgNumType w:fmt="decimal" w:start="10"/>
          <w:cols w:num="1" w:space="425"/>
          <w:titlePg w:val="0"/>
          <w:docGrid w:type="lines" w:linePitch="312" w:charSpace="0"/>
        </w:sectPr>
      </w:pP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智慧园区管理体系是对智慧园区规划及建设中所涉及的组织机构、制度规范、IT资产（智慧园区建设涉及的硬件系统、软件系统、IT业务流程，以及建立在这些系统和流程之上的、建设单位内部业务流程与知识资源的总和）、安全、运行维护资金等进行管理，有效的融合组织、制度、流程和技术，制定和完善相应的管理制度，实施规范和专业化管理，落实运行维护费用，使智慧园区管理体系成为智慧园区建设的重要组成部分，并通过持续改进管理工作，完善IT管理过程中各个流程管理来确保智慧园区健康运行，达到建设的预期目标。</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智慧园区组织建设要求确定和规范智慧园区管理体系的管理方式和与之相配套的人员岗位职责安排、机构设置，将智慧园区管理体系相关的全部活动进行统一决策与规划，形成集中统一的智慧园区管理机制。</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智慧园区制度规范建设分别从管理与操作方面建立智慧园区建设管理过程中各个参与要素（人、流程、工具）的行为准则与工作程序，从智慧园区管理体系总体运行、流程执行和岗位职责三个层次建立考核评价体系，确定智慧园区建设费用的组成与计算方式，规范智慧园区建设费用的来源保障，实现智慧园区建设管理的量化管理。</w:t>
      </w:r>
    </w:p>
    <w:p>
      <w:pPr>
        <w:pStyle w:val="Heading2"/>
        <w:numPr>
          <w:ilvl w:val="1"/>
          <w:numId w:val="13"/>
        </w:numPr>
        <w:shd w:val="clear" w:color="auto" w:fill="auto"/>
        <w:ind w:left="567" w:hanging="567" w:leftChars="0" w:firstLineChars="0"/>
        <w:rPr>
          <w:rFonts w:ascii="宋体" w:eastAsia="宋体" w:hAnsi="宋体" w:cs="宋体" w:hint="eastAsia"/>
          <w:i w:val="0"/>
          <w:iCs w:val="0"/>
          <w:sz w:val="24"/>
          <w:szCs w:val="24"/>
          <w:highlight w:val="none"/>
        </w:rPr>
      </w:pPr>
      <w:bookmarkStart w:id="50" w:name="_Toc25471"/>
      <w:bookmarkStart w:id="51" w:name="_Toc3857"/>
      <w:r>
        <w:rPr>
          <w:rFonts w:ascii="宋体" w:eastAsia="宋体" w:hAnsi="宋体" w:cs="宋体" w:hint="eastAsia"/>
          <w:i w:val="0"/>
          <w:iCs w:val="0"/>
          <w:sz w:val="24"/>
          <w:szCs w:val="24"/>
          <w:highlight w:val="none"/>
        </w:rPr>
        <w:t>项目实施流程</w:t>
      </w:r>
      <w:bookmarkEnd w:id="50"/>
      <w:bookmarkEnd w:id="51"/>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2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项目实施流程是指将一个项目从开始到完成的整个过程。项目实施流程包括以下</w:t>
      </w:r>
      <w:r>
        <w:rPr>
          <w:rFonts w:ascii="宋体" w:eastAsia="宋体" w:hAnsi="宋体" w:cs="宋体" w:hint="eastAsia"/>
          <w:i w:val="0"/>
          <w:iCs w:val="0"/>
          <w:sz w:val="24"/>
          <w:szCs w:val="24"/>
          <w:highlight w:val="none"/>
          <w:lang w:val="en-US" w:eastAsia="zh-CN"/>
        </w:rPr>
        <w:t>6个</w:t>
      </w:r>
      <w:r>
        <w:rPr>
          <w:rFonts w:ascii="宋体" w:eastAsia="宋体" w:hAnsi="宋体" w:cs="宋体" w:hint="eastAsia"/>
          <w:i w:val="0"/>
          <w:iCs w:val="0"/>
          <w:sz w:val="24"/>
          <w:szCs w:val="24"/>
          <w:highlight w:val="none"/>
        </w:rPr>
        <w:t>主要阶段：</w:t>
      </w:r>
    </w:p>
    <w:p>
      <w:pPr>
        <w:keepNext w:val="0"/>
        <w:keepLines w:val="0"/>
        <w:pageBreakBefore w:val="0"/>
        <w:widowControl w:val="0"/>
        <w:numPr>
          <w:ilvl w:val="0"/>
          <w:numId w:val="17"/>
        </w:numPr>
        <w:shd w:val="clear" w:color="auto" w:fill="auto"/>
        <w:kinsoku/>
        <w:wordWrap/>
        <w:overflowPunct/>
        <w:topLinePunct w:val="0"/>
        <w:autoSpaceDE/>
        <w:autoSpaceDN/>
        <w:bidi w:val="0"/>
        <w:adjustRightInd/>
        <w:snapToGrid/>
        <w:spacing w:line="480" w:lineRule="auto"/>
        <w:ind w:left="845" w:hanging="425"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确定项目目标和范围：明确项目的目标和范围，制定项目计划和时间表。</w:t>
      </w:r>
    </w:p>
    <w:p>
      <w:pPr>
        <w:keepNext w:val="0"/>
        <w:keepLines w:val="0"/>
        <w:pageBreakBefore w:val="0"/>
        <w:widowControl w:val="0"/>
        <w:numPr>
          <w:ilvl w:val="0"/>
          <w:numId w:val="17"/>
        </w:numPr>
        <w:shd w:val="clear" w:color="auto" w:fill="auto"/>
        <w:kinsoku/>
        <w:wordWrap/>
        <w:overflowPunct/>
        <w:topLinePunct w:val="0"/>
        <w:autoSpaceDE/>
        <w:autoSpaceDN/>
        <w:bidi w:val="0"/>
        <w:adjustRightInd/>
        <w:snapToGrid/>
        <w:spacing w:line="480" w:lineRule="auto"/>
        <w:ind w:left="845" w:hanging="425" w:leftChars="0" w:firstLineChars="0"/>
        <w:textAlignment w:val="auto"/>
        <w:rPr>
          <w:rFonts w:ascii="宋体" w:eastAsia="宋体" w:hAnsi="宋体" w:cs="宋体" w:hint="eastAsia"/>
          <w:i w:val="0"/>
          <w:iCs w:val="0"/>
          <w:sz w:val="24"/>
          <w:szCs w:val="24"/>
          <w:highlight w:val="none"/>
        </w:rPr>
        <w:sectPr>
          <w:headerReference w:type="default" r:id="rId25"/>
          <w:footerReference w:type="default" r:id="rId26"/>
          <w:type w:val="nextPage"/>
          <w:pgSz w:w="11906" w:h="16838"/>
          <w:pgMar w:top="1440" w:right="1800" w:bottom="1440" w:left="1800" w:header="851" w:footer="992" w:gutter="0"/>
          <w:pgNumType w:fmt="decimal" w:start="11"/>
          <w:cols w:num="1" w:space="425"/>
          <w:titlePg w:val="0"/>
          <w:docGrid w:type="lines" w:linePitch="312" w:charSpace="0"/>
        </w:sectPr>
      </w:pPr>
      <w:r>
        <w:rPr>
          <w:rFonts w:ascii="宋体" w:eastAsia="宋体" w:hAnsi="宋体" w:cs="宋体" w:hint="eastAsia"/>
          <w:i w:val="0"/>
          <w:iCs w:val="0"/>
          <w:sz w:val="24"/>
          <w:szCs w:val="24"/>
          <w:highlight w:val="none"/>
        </w:rPr>
        <w:t>需求分析和规划阶段：在这个阶段，主要是对项目所需的功能、性能和其他需求进行详细分析和规划。此时需要明确采用技术、工具和平台等，并制定相应的计划。</w:t>
      </w:r>
    </w:p>
    <w:p>
      <w:pPr>
        <w:keepNext w:val="0"/>
        <w:keepLines w:val="0"/>
        <w:pageBreakBefore w:val="0"/>
        <w:widowControl w:val="0"/>
        <w:numPr>
          <w:ilvl w:val="0"/>
          <w:numId w:val="17"/>
        </w:numPr>
        <w:shd w:val="clear" w:color="auto" w:fill="auto"/>
        <w:kinsoku/>
        <w:wordWrap/>
        <w:overflowPunct/>
        <w:topLinePunct w:val="0"/>
        <w:autoSpaceDE/>
        <w:autoSpaceDN/>
        <w:bidi w:val="0"/>
        <w:adjustRightInd/>
        <w:snapToGrid/>
        <w:spacing w:line="480" w:lineRule="auto"/>
        <w:ind w:left="845" w:hanging="425"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设计和开发阶段：在这个阶段，根据需求分析和规划结果，进行系统的设计和开发。这个阶段需要完成软件编写、测试以及与硬件打通等工作。</w:t>
      </w:r>
    </w:p>
    <w:p>
      <w:pPr>
        <w:keepNext w:val="0"/>
        <w:keepLines w:val="0"/>
        <w:pageBreakBefore w:val="0"/>
        <w:widowControl w:val="0"/>
        <w:numPr>
          <w:ilvl w:val="0"/>
          <w:numId w:val="17"/>
        </w:numPr>
        <w:shd w:val="clear" w:color="auto" w:fill="auto"/>
        <w:kinsoku/>
        <w:wordWrap/>
        <w:overflowPunct/>
        <w:topLinePunct w:val="0"/>
        <w:autoSpaceDE/>
        <w:autoSpaceDN/>
        <w:bidi w:val="0"/>
        <w:adjustRightInd/>
        <w:snapToGrid/>
        <w:spacing w:line="480" w:lineRule="auto"/>
        <w:ind w:left="845" w:hanging="425"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集成和测试阶段：在这个阶段，将各个子系统集成起来并进行整体测试，以保证各个子系统的功能正常运行。同时也需要测试网络带宽、数据交换等方面。</w:t>
      </w:r>
    </w:p>
    <w:p>
      <w:pPr>
        <w:keepNext w:val="0"/>
        <w:keepLines w:val="0"/>
        <w:pageBreakBefore w:val="0"/>
        <w:widowControl w:val="0"/>
        <w:numPr>
          <w:ilvl w:val="0"/>
          <w:numId w:val="17"/>
        </w:numPr>
        <w:shd w:val="clear" w:color="auto" w:fill="auto"/>
        <w:kinsoku/>
        <w:wordWrap/>
        <w:overflowPunct/>
        <w:topLinePunct w:val="0"/>
        <w:autoSpaceDE/>
        <w:autoSpaceDN/>
        <w:bidi w:val="0"/>
        <w:adjustRightInd/>
        <w:snapToGrid/>
        <w:spacing w:line="480" w:lineRule="auto"/>
        <w:ind w:left="845" w:hanging="425"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安装和部署阶段：在这个阶段，需要将集成测试通过的系统安装到目标网络环境中。同时需要进行监测和调优等操作，确保系统的稳定性。</w:t>
      </w:r>
    </w:p>
    <w:p>
      <w:pPr>
        <w:keepNext w:val="0"/>
        <w:keepLines w:val="0"/>
        <w:pageBreakBefore w:val="0"/>
        <w:widowControl w:val="0"/>
        <w:numPr>
          <w:ilvl w:val="0"/>
          <w:numId w:val="17"/>
        </w:numPr>
        <w:shd w:val="clear" w:color="auto" w:fill="auto"/>
        <w:kinsoku/>
        <w:wordWrap/>
        <w:overflowPunct/>
        <w:topLinePunct w:val="0"/>
        <w:autoSpaceDE/>
        <w:autoSpaceDN/>
        <w:bidi w:val="0"/>
        <w:adjustRightInd/>
        <w:snapToGrid/>
        <w:spacing w:line="480" w:lineRule="auto"/>
        <w:ind w:left="845" w:hanging="425" w:leftChars="0" w:firstLineChars="0"/>
        <w:textAlignment w:va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运行和维护阶段：在系统正式投入使用后，需要对系统进行日常运行和维护，对故障和异常情况做出及时的反应和处理，并对系统进行升级和扩展等，以适应未来的需求变化。</w:t>
      </w:r>
    </w:p>
    <w:p>
      <w:pPr>
        <w:pStyle w:val="Heading1"/>
        <w:shd w:val="clear" w:color="auto" w:fil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val="en-US" w:eastAsia="zh-CN"/>
        </w:rPr>
        <w:t xml:space="preserve"> </w:t>
      </w:r>
      <w:bookmarkStart w:id="52" w:name="_Toc10346"/>
      <w:bookmarkStart w:id="53" w:name="_Toc1709"/>
      <w:r>
        <w:rPr>
          <w:rFonts w:ascii="宋体" w:eastAsia="宋体" w:hAnsi="宋体" w:cs="宋体" w:hint="eastAsia"/>
          <w:i w:val="0"/>
          <w:iCs w:val="0"/>
          <w:sz w:val="24"/>
          <w:szCs w:val="24"/>
          <w:highlight w:val="none"/>
        </w:rPr>
        <w:t>实施步骤</w:t>
      </w:r>
      <w:bookmarkEnd w:id="52"/>
      <w:bookmarkEnd w:id="53"/>
    </w:p>
    <w:p>
      <w:pPr>
        <w:shd w:val="clear" w:color="auto" w:fill="auto"/>
        <w:spacing w:line="480" w:lineRule="auto"/>
        <w:ind w:firstLine="566"/>
        <w:rPr>
          <w:rFonts w:hint="eastAsia"/>
        </w:rPr>
      </w:pPr>
      <w:r>
        <w:rPr>
          <w:rFonts w:ascii="宋体" w:eastAsia="宋体" w:hAnsi="宋体" w:cs="宋体" w:hint="eastAsia"/>
          <w:i w:val="0"/>
          <w:iCs w:val="0"/>
          <w:sz w:val="24"/>
          <w:szCs w:val="24"/>
          <w:highlight w:val="none"/>
          <w:lang w:bidi="ar"/>
        </w:rPr>
        <w:t>需求分析、系统设计、设备选型、数据采集、数据处理、智能分析、数据共享、实时预警、权限管理、事件处理、系统测试、系统部署。</w:t>
      </w:r>
    </w:p>
    <w:p>
      <w:pPr>
        <w:pStyle w:val="Heading1"/>
        <w:shd w:val="clear" w:color="auto" w:fill="auto"/>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lang w:val="en-US" w:eastAsia="zh-CN"/>
        </w:rPr>
        <w:t xml:space="preserve"> </w:t>
      </w:r>
      <w:bookmarkStart w:id="54" w:name="_Toc31218"/>
      <w:bookmarkStart w:id="55" w:name="_Toc12168"/>
      <w:r>
        <w:rPr>
          <w:rFonts w:ascii="宋体" w:eastAsia="宋体" w:hAnsi="宋体" w:cs="宋体" w:hint="eastAsia"/>
          <w:i w:val="0"/>
          <w:iCs w:val="0"/>
          <w:sz w:val="24"/>
          <w:szCs w:val="24"/>
          <w:highlight w:val="none"/>
        </w:rPr>
        <w:t>实施分工</w:t>
      </w:r>
      <w:bookmarkEnd w:id="54"/>
      <w:bookmarkEnd w:id="55"/>
      <w:bookmarkStart w:id="56" w:name="_Toc513541846"/>
      <w:bookmarkEnd w:id="56"/>
      <w:bookmarkStart w:id="57" w:name="_Toc513542209"/>
      <w:bookmarkEnd w:id="57"/>
      <w:bookmarkStart w:id="58" w:name="_Toc513623093"/>
      <w:bookmarkEnd w:id="58"/>
    </w:p>
    <w:p>
      <w:pPr>
        <w:pStyle w:val="ListParagraph"/>
        <w:keepNext/>
        <w:keepLines/>
        <w:numPr>
          <w:ilvl w:val="0"/>
          <w:numId w:val="13"/>
        </w:numPr>
        <w:shd w:val="clear" w:color="auto" w:fill="auto"/>
        <w:spacing w:before="260" w:after="260" w:line="416" w:lineRule="auto"/>
        <w:ind w:left="425" w:hanging="425" w:leftChars="0" w:firstLineChars="0"/>
        <w:outlineLvl w:val="1"/>
        <w:rPr>
          <w:rFonts w:ascii="宋体" w:eastAsia="宋体" w:hAnsi="宋体" w:cs="宋体" w:hint="eastAsia"/>
          <w:b/>
          <w:bCs/>
          <w:i w:val="0"/>
          <w:iCs w:val="0"/>
          <w:vanish/>
          <w:sz w:val="24"/>
          <w:szCs w:val="24"/>
          <w:highlight w:val="none"/>
        </w:rPr>
      </w:pPr>
      <w:bookmarkStart w:id="59" w:name="_Toc7187"/>
      <w:bookmarkEnd w:id="59"/>
      <w:bookmarkStart w:id="60" w:name="_Toc531075361"/>
      <w:bookmarkEnd w:id="60"/>
      <w:bookmarkStart w:id="61" w:name="_Toc3265"/>
      <w:bookmarkEnd w:id="61"/>
      <w:bookmarkStart w:id="62" w:name="_Toc520100031"/>
      <w:bookmarkEnd w:id="62"/>
      <w:bookmarkStart w:id="63" w:name="_Toc520099804"/>
      <w:bookmarkEnd w:id="63"/>
    </w:p>
    <w:p>
      <w:pPr>
        <w:pStyle w:val="ListParagraph"/>
        <w:keepNext/>
        <w:keepLines/>
        <w:numPr>
          <w:ilvl w:val="0"/>
          <w:numId w:val="13"/>
        </w:numPr>
        <w:shd w:val="clear" w:color="auto" w:fill="auto"/>
        <w:spacing w:before="260" w:after="260" w:line="416" w:lineRule="auto"/>
        <w:ind w:left="425" w:hanging="425" w:leftChars="0" w:firstLineChars="0"/>
        <w:outlineLvl w:val="1"/>
        <w:rPr>
          <w:rFonts w:ascii="宋体" w:eastAsia="宋体" w:hAnsi="宋体" w:cs="宋体" w:hint="eastAsia"/>
          <w:b/>
          <w:bCs/>
          <w:i w:val="0"/>
          <w:iCs w:val="0"/>
          <w:vanish/>
          <w:sz w:val="24"/>
          <w:szCs w:val="24"/>
          <w:highlight w:val="none"/>
        </w:rPr>
      </w:pPr>
      <w:bookmarkStart w:id="64" w:name="_Toc531075362"/>
      <w:bookmarkEnd w:id="64"/>
      <w:bookmarkStart w:id="65" w:name="_Toc520100032"/>
      <w:bookmarkEnd w:id="65"/>
      <w:bookmarkStart w:id="66" w:name="_Toc15712"/>
      <w:bookmarkEnd w:id="66"/>
      <w:bookmarkStart w:id="67" w:name="_Toc32576"/>
      <w:bookmarkEnd w:id="67"/>
      <w:bookmarkStart w:id="68" w:name="_Toc520099805"/>
      <w:bookmarkEnd w:id="68"/>
    </w:p>
    <w:p>
      <w:pPr>
        <w:pStyle w:val="Heading2"/>
        <w:numPr>
          <w:ilvl w:val="1"/>
          <w:numId w:val="13"/>
        </w:numPr>
        <w:shd w:val="clear" w:color="auto" w:fill="auto"/>
        <w:ind w:left="567" w:hanging="567" w:leftChars="0" w:firstLineChars="0"/>
        <w:rPr>
          <w:rFonts w:ascii="宋体" w:eastAsia="宋体" w:hAnsi="宋体" w:cs="宋体" w:hint="eastAsia"/>
          <w:i w:val="0"/>
          <w:iCs w:val="0"/>
          <w:sz w:val="24"/>
          <w:szCs w:val="24"/>
          <w:highlight w:val="none"/>
        </w:rPr>
      </w:pPr>
      <w:bookmarkStart w:id="69" w:name="_Toc1634"/>
      <w:bookmarkStart w:id="70" w:name="_Toc17054"/>
      <w:r>
        <w:rPr>
          <w:rFonts w:ascii="宋体" w:eastAsia="宋体" w:hAnsi="宋体" w:cs="宋体" w:hint="eastAsia"/>
          <w:i w:val="0"/>
          <w:iCs w:val="0"/>
          <w:sz w:val="24"/>
          <w:szCs w:val="24"/>
          <w:highlight w:val="none"/>
        </w:rPr>
        <w:t>实施工作项</w:t>
      </w:r>
      <w:bookmarkEnd w:id="69"/>
      <w:bookmarkEnd w:id="70"/>
    </w:p>
    <w:p>
      <w:pPr>
        <w:pStyle w:val="Heading3"/>
        <w:numPr>
          <w:ilvl w:val="2"/>
          <w:numId w:val="13"/>
        </w:numPr>
        <w:shd w:val="clear" w:color="auto" w:fill="auto"/>
        <w:spacing w:line="415" w:lineRule="auto"/>
        <w:ind w:left="567" w:hanging="567" w:leftChars="0" w:firstLineChars="0"/>
        <w:rPr>
          <w:rFonts w:ascii="宋体" w:eastAsia="宋体" w:hAnsi="宋体" w:cs="宋体" w:hint="eastAsia"/>
          <w:i w:val="0"/>
          <w:iCs w:val="0"/>
          <w:sz w:val="24"/>
          <w:szCs w:val="24"/>
          <w:highlight w:val="none"/>
        </w:rPr>
      </w:pPr>
      <w:bookmarkStart w:id="71" w:name="_Toc7172"/>
      <w:bookmarkStart w:id="72" w:name="_Toc18490"/>
      <w:r>
        <w:rPr>
          <w:rFonts w:ascii="宋体" w:eastAsia="宋体" w:hAnsi="宋体" w:cs="宋体" w:hint="eastAsia"/>
          <w:i w:val="0"/>
          <w:iCs w:val="0"/>
          <w:sz w:val="24"/>
          <w:szCs w:val="24"/>
          <w:highlight w:val="none"/>
        </w:rPr>
        <w:t>组织结构</w:t>
      </w:r>
      <w:bookmarkEnd w:id="71"/>
      <w:bookmarkEnd w:id="72"/>
    </w:p>
    <w:p>
      <w:pPr>
        <w:shd w:val="clear" w:color="auto" w:fill="auto"/>
        <w:spacing w:line="480" w:lineRule="auto"/>
        <w:ind w:firstLine="566"/>
        <w:rPr>
          <w:rFonts w:ascii="宋体" w:eastAsia="宋体" w:hAnsi="宋体" w:cs="宋体" w:hint="eastAsia"/>
          <w:i w:val="0"/>
          <w:iCs w:val="0"/>
          <w:sz w:val="24"/>
          <w:szCs w:val="24"/>
          <w:highlight w:val="none"/>
          <w:lang w:bidi="ar"/>
        </w:rPr>
      </w:pPr>
      <w:r>
        <w:rPr>
          <w:rFonts w:ascii="宋体" w:eastAsia="宋体" w:hAnsi="宋体" w:cs="宋体" w:hint="eastAsia"/>
          <w:i w:val="0"/>
          <w:iCs w:val="0"/>
          <w:sz w:val="24"/>
          <w:szCs w:val="24"/>
          <w:highlight w:val="none"/>
          <w:lang w:bidi="ar"/>
        </w:rPr>
        <w:t>建立项目的组织结构是对项目的人力资源进行合理的配置和分工，使参与项目的各方的人员能有效地协同工作，发挥最高的效率。</w:t>
      </w:r>
    </w:p>
    <w:p>
      <w:pPr>
        <w:shd w:val="clear" w:color="auto" w:fill="auto"/>
        <w:spacing w:line="480" w:lineRule="auto"/>
        <w:ind w:firstLine="566"/>
        <w:rPr>
          <w:rFonts w:ascii="宋体" w:eastAsia="宋体" w:hAnsi="宋体" w:cs="宋体" w:hint="eastAsia"/>
          <w:i w:val="0"/>
          <w:iCs w:val="0"/>
          <w:sz w:val="24"/>
          <w:szCs w:val="24"/>
          <w:highlight w:val="none"/>
          <w:lang w:bidi="ar"/>
        </w:rPr>
        <w:sectPr>
          <w:headerReference w:type="default" r:id="rId27"/>
          <w:footerReference w:type="default" r:id="rId28"/>
          <w:type w:val="nextPage"/>
          <w:pgSz w:w="11906" w:h="16838"/>
          <w:pgMar w:top="1440" w:right="1800" w:bottom="1440" w:left="1800" w:header="851" w:footer="992" w:gutter="0"/>
          <w:pgNumType w:fmt="decimal" w:start="12"/>
          <w:cols w:num="1" w:space="425"/>
          <w:titlePg w:val="0"/>
          <w:docGrid w:type="lines" w:linePitch="312" w:charSpace="0"/>
        </w:sectPr>
      </w:pPr>
    </w:p>
    <w:p>
      <w:pPr>
        <w:shd w:val="clear" w:color="auto" w:fill="auto"/>
        <w:spacing w:line="480" w:lineRule="auto"/>
        <w:ind w:firstLine="566"/>
        <w:rPr>
          <w:rFonts w:ascii="宋体" w:eastAsia="宋体" w:hAnsi="宋体" w:cs="宋体" w:hint="eastAsia"/>
          <w:i w:val="0"/>
          <w:iCs w:val="0"/>
          <w:sz w:val="24"/>
          <w:szCs w:val="24"/>
          <w:highlight w:val="none"/>
          <w:lang w:bidi="ar"/>
        </w:rPr>
      </w:pPr>
      <w:r>
        <w:rPr>
          <w:rFonts w:ascii="宋体" w:eastAsia="宋体" w:hAnsi="宋体" w:cs="宋体" w:hint="eastAsia"/>
          <w:i w:val="0"/>
          <w:iCs w:val="0"/>
          <w:sz w:val="24"/>
          <w:szCs w:val="24"/>
          <w:highlight w:val="none"/>
          <w:lang w:bidi="ar"/>
        </w:rPr>
        <w:t>项目主管机构统一规划、组织、领导下，由项目实施单位与政府内部各用户单位部门合作完成系统的建设。</w:t>
      </w:r>
    </w:p>
    <w:p>
      <w:pPr>
        <w:pStyle w:val="Heading3"/>
        <w:numPr>
          <w:ilvl w:val="2"/>
          <w:numId w:val="13"/>
        </w:numPr>
        <w:shd w:val="clear" w:color="auto" w:fill="auto"/>
        <w:spacing w:line="415" w:lineRule="auto"/>
        <w:ind w:left="567" w:hanging="567" w:leftChars="0" w:firstLineChars="0"/>
        <w:rPr>
          <w:rFonts w:ascii="宋体" w:eastAsia="宋体" w:hAnsi="宋体" w:cs="宋体" w:hint="eastAsia"/>
          <w:i w:val="0"/>
          <w:iCs w:val="0"/>
          <w:sz w:val="24"/>
          <w:szCs w:val="24"/>
          <w:highlight w:val="none"/>
        </w:rPr>
      </w:pPr>
      <w:bookmarkStart w:id="73" w:name="_Toc8507"/>
      <w:bookmarkStart w:id="74" w:name="_Toc4666"/>
      <w:r>
        <w:rPr>
          <w:rFonts w:ascii="宋体" w:eastAsia="宋体" w:hAnsi="宋体" w:cs="宋体" w:hint="eastAsia"/>
          <w:i w:val="0"/>
          <w:iCs w:val="0"/>
          <w:sz w:val="24"/>
          <w:szCs w:val="24"/>
          <w:highlight w:val="none"/>
        </w:rPr>
        <w:t>人员职责</w:t>
      </w:r>
    </w:p>
    <w:tbl>
      <w:tblPr>
        <w:tblStyle w:val="TableNormal"/>
        <w:tblW w:w="85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801"/>
        <w:gridCol w:w="1660"/>
        <w:gridCol w:w="5044"/>
        <w:gridCol w:w="17"/>
      </w:tblGrid>
      <w:tr>
        <w:tblPrEx>
          <w:tblW w:w="85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40"/>
        </w:trPr>
        <w:tc>
          <w:tcPr>
            <w:tcW w:w="1801" w:type="dxa"/>
            <w:noWrap w:val="0"/>
            <w:vAlign w:val="center"/>
          </w:tcPr>
          <w:p>
            <w:pPr>
              <w:pStyle w:val="12"/>
              <w:shd w:val="clear" w:color="auto" w:fill="auto"/>
              <w:ind w:firstLine="482"/>
              <w:jc w:val="center"/>
              <w:rPr>
                <w:rFonts w:ascii="宋体" w:eastAsia="宋体" w:hAnsi="宋体" w:cs="宋体" w:hint="eastAsia"/>
                <w:b/>
                <w:i w:val="0"/>
                <w:iCs w:val="0"/>
                <w:sz w:val="24"/>
                <w:szCs w:val="24"/>
                <w:highlight w:val="none"/>
              </w:rPr>
            </w:pPr>
            <w:bookmarkEnd w:id="73"/>
            <w:bookmarkEnd w:id="74"/>
            <w:r>
              <w:rPr>
                <w:rFonts w:ascii="宋体" w:eastAsia="宋体" w:hAnsi="宋体" w:cs="宋体" w:hint="eastAsia"/>
                <w:b/>
                <w:i w:val="0"/>
                <w:iCs w:val="0"/>
                <w:sz w:val="24"/>
                <w:szCs w:val="24"/>
                <w:highlight w:val="none"/>
              </w:rPr>
              <w:t>角 色</w:t>
            </w:r>
          </w:p>
        </w:tc>
        <w:tc>
          <w:tcPr>
            <w:tcW w:w="6721" w:type="dxa"/>
            <w:gridSpan w:val="3"/>
            <w:noWrap w:val="0"/>
            <w:vAlign w:val="center"/>
          </w:tcPr>
          <w:p>
            <w:pPr>
              <w:pStyle w:val="12"/>
              <w:shd w:val="clear" w:color="auto" w:fill="auto"/>
              <w:ind w:firstLine="482"/>
              <w:jc w:val="center"/>
              <w:rPr>
                <w:rFonts w:ascii="宋体" w:eastAsia="宋体" w:hAnsi="宋体" w:cs="宋体" w:hint="eastAsia"/>
                <w:b/>
                <w:i w:val="0"/>
                <w:iCs w:val="0"/>
                <w:sz w:val="24"/>
                <w:szCs w:val="24"/>
                <w:highlight w:val="none"/>
              </w:rPr>
            </w:pPr>
            <w:r>
              <w:rPr>
                <w:rFonts w:ascii="宋体" w:eastAsia="宋体" w:hAnsi="宋体" w:cs="宋体" w:hint="eastAsia"/>
                <w:b/>
                <w:i w:val="0"/>
                <w:iCs w:val="0"/>
                <w:sz w:val="24"/>
                <w:szCs w:val="24"/>
                <w:highlight w:val="none"/>
              </w:rPr>
              <w:t>担任的职责</w:t>
            </w:r>
          </w:p>
        </w:tc>
      </w:tr>
      <w:tr>
        <w:tblPrEx>
          <w:tblW w:w="8522" w:type="dxa"/>
          <w:tblInd w:w="0" w:type="dxa"/>
          <w:tblLayout w:type="fixed"/>
          <w:tblCellMar>
            <w:top w:w="0" w:type="dxa"/>
            <w:left w:w="108" w:type="dxa"/>
            <w:bottom w:w="0" w:type="dxa"/>
            <w:right w:w="108" w:type="dxa"/>
          </w:tblCellMar>
        </w:tblPrEx>
        <w:trPr>
          <w:cantSplit/>
          <w:trHeight w:val="594"/>
        </w:trPr>
        <w:tc>
          <w:tcPr>
            <w:tcW w:w="1801" w:type="dxa"/>
            <w:tcBorders>
              <w:bottom w:val="single" w:sz="4" w:space="0" w:color="auto"/>
            </w:tcBorders>
            <w:noWrap w:val="0"/>
            <w:vAlign w:val="bottom"/>
          </w:tcPr>
          <w:p>
            <w:pPr>
              <w:pStyle w:val="12"/>
              <w:shd w:val="clear" w:color="auto" w:fill="auto"/>
              <w:jc w:val="center"/>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项目领导小组</w:t>
            </w:r>
          </w:p>
          <w:p>
            <w:pPr>
              <w:pStyle w:val="12"/>
              <w:shd w:val="clear" w:color="auto" w:fill="auto"/>
              <w:ind w:firstLine="480"/>
              <w:jc w:val="center"/>
              <w:rPr>
                <w:rFonts w:ascii="宋体" w:eastAsia="宋体" w:hAnsi="宋体" w:cs="宋体" w:hint="eastAsia"/>
                <w:bCs/>
                <w:i w:val="0"/>
                <w:iCs w:val="0"/>
                <w:caps/>
                <w:sz w:val="24"/>
                <w:szCs w:val="24"/>
                <w:highlight w:val="none"/>
              </w:rPr>
            </w:pPr>
          </w:p>
        </w:tc>
        <w:tc>
          <w:tcPr>
            <w:tcW w:w="6721" w:type="dxa"/>
            <w:gridSpan w:val="3"/>
            <w:tcBorders>
              <w:bottom w:val="single" w:sz="4" w:space="0" w:color="auto"/>
            </w:tcBorders>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负责项目重大事项的决定，协调项目各相关单位的协作关系，决定项目组成员的调整。及时听取项目建设过程的进展情况，对项目的执行情况进行宏观监督和指导。</w:t>
            </w:r>
          </w:p>
        </w:tc>
      </w:tr>
      <w:tr>
        <w:tblPrEx>
          <w:tblW w:w="8522" w:type="dxa"/>
          <w:tblInd w:w="0" w:type="dxa"/>
          <w:tblLayout w:type="fixed"/>
          <w:tblCellMar>
            <w:top w:w="0" w:type="dxa"/>
            <w:left w:w="108" w:type="dxa"/>
            <w:bottom w:w="0" w:type="dxa"/>
            <w:right w:w="108" w:type="dxa"/>
          </w:tblCellMar>
        </w:tblPrEx>
        <w:trPr>
          <w:cantSplit/>
          <w:trHeight w:val="409"/>
        </w:trPr>
        <w:tc>
          <w:tcPr>
            <w:tcW w:w="1801"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项目经理</w:t>
            </w:r>
          </w:p>
          <w:p>
            <w:pPr>
              <w:pStyle w:val="12"/>
              <w:shd w:val="clear" w:color="auto" w:fill="auto"/>
              <w:ind w:firstLine="480"/>
              <w:jc w:val="center"/>
              <w:rPr>
                <w:rFonts w:ascii="宋体" w:eastAsia="宋体" w:hAnsi="宋体" w:cs="宋体" w:hint="eastAsia"/>
                <w:i w:val="0"/>
                <w:iCs w:val="0"/>
                <w:sz w:val="24"/>
                <w:szCs w:val="24"/>
                <w:highlight w:val="none"/>
              </w:rPr>
            </w:pPr>
          </w:p>
        </w:tc>
        <w:tc>
          <w:tcPr>
            <w:tcW w:w="6721" w:type="dxa"/>
            <w:gridSpan w:val="3"/>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负责整个项目建设全过程的所有管理职责，保证项目总体进度和各职能组的工作质量和进度，定期了解和检查各组的完成情况和设计质量，定期向项目领导小组汇报项目进展情况。处理和负责与相关共建单位间的协调和交流。</w:t>
            </w:r>
          </w:p>
        </w:tc>
      </w:tr>
      <w:tr>
        <w:tblPrEx>
          <w:tblW w:w="8522" w:type="dxa"/>
          <w:tblInd w:w="0" w:type="dxa"/>
          <w:tblLayout w:type="fixed"/>
          <w:tblCellMar>
            <w:top w:w="0" w:type="dxa"/>
            <w:left w:w="108" w:type="dxa"/>
            <w:bottom w:w="0" w:type="dxa"/>
            <w:right w:w="108" w:type="dxa"/>
          </w:tblCellMar>
        </w:tblPrEx>
        <w:trPr>
          <w:cantSplit/>
          <w:trHeight w:val="473"/>
        </w:trPr>
        <w:tc>
          <w:tcPr>
            <w:tcW w:w="1801" w:type="dxa"/>
            <w:noWrap w:val="0"/>
            <w:vAlign w:val="center"/>
          </w:tcPr>
          <w:p>
            <w:pPr>
              <w:pStyle w:val="12"/>
              <w:shd w:val="clear" w:color="auto" w:fill="auto"/>
              <w:jc w:val="center"/>
              <w:rPr>
                <w:rFonts w:ascii="宋体" w:eastAsia="宋体" w:hAnsi="宋体" w:cs="宋体" w:hint="eastAsia"/>
                <w:bCs/>
                <w:i w:val="0"/>
                <w:iCs w:val="0"/>
                <w:caps/>
                <w:sz w:val="24"/>
                <w:szCs w:val="24"/>
                <w:highlight w:val="none"/>
                <w:lang w:eastAsia="zh-CN"/>
              </w:rPr>
            </w:pPr>
            <w:r>
              <w:rPr>
                <w:rFonts w:ascii="宋体" w:eastAsia="宋体" w:hAnsi="宋体" w:cs="宋体" w:hint="eastAsia"/>
                <w:bCs/>
                <w:i w:val="0"/>
                <w:iCs w:val="0"/>
                <w:caps/>
                <w:sz w:val="24"/>
                <w:szCs w:val="24"/>
                <w:highlight w:val="none"/>
              </w:rPr>
              <w:t>技术</w:t>
            </w:r>
            <w:r>
              <w:rPr>
                <w:rFonts w:ascii="宋体" w:eastAsia="宋体" w:hAnsi="宋体" w:cs="宋体" w:hint="eastAsia"/>
                <w:bCs/>
                <w:i w:val="0"/>
                <w:iCs w:val="0"/>
                <w:caps/>
                <w:sz w:val="24"/>
                <w:szCs w:val="24"/>
                <w:highlight w:val="none"/>
                <w:lang w:val="en-US" w:eastAsia="zh-CN"/>
              </w:rPr>
              <w:t>经理</w:t>
            </w:r>
          </w:p>
        </w:tc>
        <w:tc>
          <w:tcPr>
            <w:tcW w:w="6721" w:type="dxa"/>
            <w:gridSpan w:val="3"/>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负责整个项目建设全过程网络整合、架构设计、系统集成总集成方案、软件开发实施等重要技术工作</w:t>
            </w:r>
          </w:p>
        </w:tc>
      </w:tr>
      <w:tr>
        <w:tblPrEx>
          <w:tblW w:w="8522" w:type="dxa"/>
          <w:tblInd w:w="0" w:type="dxa"/>
          <w:tblLayout w:type="fixed"/>
          <w:tblCellMar>
            <w:top w:w="0" w:type="dxa"/>
            <w:left w:w="108" w:type="dxa"/>
            <w:bottom w:w="0" w:type="dxa"/>
            <w:right w:w="108" w:type="dxa"/>
          </w:tblCellMar>
        </w:tblPrEx>
        <w:trPr>
          <w:gridAfter w:val="1"/>
          <w:wAfter w:w="17" w:type="dxa"/>
          <w:cantSplit/>
          <w:trHeight w:val="411"/>
        </w:trPr>
        <w:tc>
          <w:tcPr>
            <w:tcW w:w="1801" w:type="dxa"/>
            <w:vMerge w:val="restart"/>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项目管理</w:t>
            </w:r>
          </w:p>
        </w:tc>
        <w:tc>
          <w:tcPr>
            <w:tcW w:w="1660"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综合管理组</w:t>
            </w:r>
          </w:p>
        </w:tc>
        <w:tc>
          <w:tcPr>
            <w:tcW w:w="5044"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负责项目的日常管理、技术、资源等综合协调、支持工作。负责项目进度、成本管理和绩效考核。组织召开项目协调会议。负责项目成果文档的的收集、整理、建档工作。负责项目的采购和外联工作。</w:t>
            </w:r>
          </w:p>
        </w:tc>
      </w:tr>
      <w:tr>
        <w:tblPrEx>
          <w:tblW w:w="8522" w:type="dxa"/>
          <w:tblInd w:w="0" w:type="dxa"/>
          <w:tblLayout w:type="fixed"/>
          <w:tblCellMar>
            <w:top w:w="0" w:type="dxa"/>
            <w:left w:w="108" w:type="dxa"/>
            <w:bottom w:w="0" w:type="dxa"/>
            <w:right w:w="108" w:type="dxa"/>
          </w:tblCellMar>
        </w:tblPrEx>
        <w:trPr>
          <w:gridAfter w:val="1"/>
          <w:wAfter w:w="17" w:type="dxa"/>
          <w:cantSplit/>
          <w:trHeight w:val="411"/>
        </w:trPr>
        <w:tc>
          <w:tcPr>
            <w:tcW w:w="1801" w:type="dxa"/>
            <w:vMerge/>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tc>
        <w:tc>
          <w:tcPr>
            <w:tcW w:w="1660"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业务指导组</w:t>
            </w:r>
          </w:p>
          <w:p>
            <w:pPr>
              <w:pStyle w:val="12"/>
              <w:shd w:val="clear" w:color="auto" w:fill="auto"/>
              <w:ind w:firstLine="480"/>
              <w:jc w:val="center"/>
              <w:rPr>
                <w:rFonts w:ascii="宋体" w:eastAsia="宋体" w:hAnsi="宋体" w:cs="宋体" w:hint="eastAsia"/>
                <w:bCs/>
                <w:i w:val="0"/>
                <w:iCs w:val="0"/>
                <w:caps/>
                <w:sz w:val="24"/>
                <w:szCs w:val="24"/>
                <w:highlight w:val="none"/>
              </w:rPr>
            </w:pPr>
          </w:p>
        </w:tc>
        <w:tc>
          <w:tcPr>
            <w:tcW w:w="5044"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负责数字城管新业务体系的建立，业务流程设计、教材编写，负责对用户和相关单位人员的培训计划、组织、实施工作。负责培训计划的实施：安排培训班，准备教材，联系教师，落实培训场地等事宜。</w:t>
            </w:r>
          </w:p>
        </w:tc>
      </w:tr>
      <w:tr>
        <w:tblPrEx>
          <w:tblW w:w="8522" w:type="dxa"/>
          <w:tblInd w:w="0" w:type="dxa"/>
          <w:tblLayout w:type="fixed"/>
          <w:tblCellMar>
            <w:top w:w="0" w:type="dxa"/>
            <w:left w:w="108" w:type="dxa"/>
            <w:bottom w:w="0" w:type="dxa"/>
            <w:right w:w="108" w:type="dxa"/>
          </w:tblCellMar>
        </w:tblPrEx>
        <w:trPr>
          <w:gridAfter w:val="1"/>
          <w:wAfter w:w="17" w:type="dxa"/>
          <w:cantSplit/>
          <w:trHeight w:val="1171"/>
        </w:trPr>
        <w:tc>
          <w:tcPr>
            <w:tcW w:w="1801" w:type="dxa"/>
            <w:vMerge/>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tc>
        <w:tc>
          <w:tcPr>
            <w:tcW w:w="1660"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质量管理组</w:t>
            </w:r>
          </w:p>
        </w:tc>
        <w:tc>
          <w:tcPr>
            <w:tcW w:w="5044"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为保证整个系统的质量，质量控制组作为本系统的质量保证机构，负责制定质量保证计划和有关条例，参与测试的全过程，提供工程质量方面的报告，并记录错误修正等</w:t>
            </w:r>
          </w:p>
        </w:tc>
      </w:tr>
      <w:tr>
        <w:tblPrEx>
          <w:tblW w:w="8522" w:type="dxa"/>
          <w:tblInd w:w="0" w:type="dxa"/>
          <w:tblLayout w:type="fixed"/>
          <w:tblCellMar>
            <w:top w:w="0" w:type="dxa"/>
            <w:left w:w="108" w:type="dxa"/>
            <w:bottom w:w="0" w:type="dxa"/>
            <w:right w:w="108" w:type="dxa"/>
          </w:tblCellMar>
        </w:tblPrEx>
        <w:trPr>
          <w:cantSplit/>
          <w:trHeight w:val="480"/>
        </w:trPr>
        <w:tc>
          <w:tcPr>
            <w:tcW w:w="1801" w:type="dxa"/>
            <w:vMerge w:val="restart"/>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ind w:firstLine="480"/>
              <w:jc w:val="center"/>
              <w:rPr>
                <w:rFonts w:ascii="宋体" w:eastAsia="宋体" w:hAnsi="宋体" w:cs="宋体" w:hint="eastAsia"/>
                <w:i w:val="0"/>
                <w:iCs w:val="0"/>
                <w:sz w:val="24"/>
                <w:szCs w:val="24"/>
                <w:highlight w:val="none"/>
              </w:rPr>
            </w:pPr>
          </w:p>
          <w:p>
            <w:pPr>
              <w:pStyle w:val="12"/>
              <w:shd w:val="clear" w:color="auto" w:fill="auto"/>
              <w:ind w:firstLine="480"/>
              <w:jc w:val="center"/>
              <w:rPr>
                <w:rFonts w:ascii="宋体" w:eastAsia="宋体" w:hAnsi="宋体" w:cs="宋体" w:hint="eastAsia"/>
                <w:i w:val="0"/>
                <w:iCs w:val="0"/>
                <w:sz w:val="24"/>
                <w:szCs w:val="24"/>
                <w:highlight w:val="none"/>
              </w:rPr>
            </w:pPr>
          </w:p>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系统集成</w:t>
            </w:r>
          </w:p>
        </w:tc>
        <w:tc>
          <w:tcPr>
            <w:tcW w:w="6721" w:type="dxa"/>
            <w:gridSpan w:val="3"/>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负责项目的网络整合、硬件设备、数据库、系统软件、卡系统、安全系统等的安装、调试工作</w:t>
            </w:r>
          </w:p>
        </w:tc>
      </w:tr>
      <w:tr>
        <w:tblPrEx>
          <w:tblW w:w="8522" w:type="dxa"/>
          <w:tblInd w:w="0" w:type="dxa"/>
          <w:tblLayout w:type="fixed"/>
          <w:tblCellMar>
            <w:top w:w="0" w:type="dxa"/>
            <w:left w:w="108" w:type="dxa"/>
            <w:bottom w:w="0" w:type="dxa"/>
            <w:right w:w="108" w:type="dxa"/>
          </w:tblCellMar>
        </w:tblPrEx>
        <w:trPr>
          <w:gridAfter w:val="1"/>
          <w:wAfter w:w="17" w:type="dxa"/>
          <w:cantSplit/>
          <w:trHeight w:val="372"/>
        </w:trPr>
        <w:tc>
          <w:tcPr>
            <w:tcW w:w="1801" w:type="dxa"/>
            <w:vMerge/>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tc>
        <w:tc>
          <w:tcPr>
            <w:tcW w:w="1660" w:type="dxa"/>
            <w:noWrap w:val="0"/>
            <w:vAlign w:val="center"/>
          </w:tcPr>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网络整合组</w:t>
            </w:r>
          </w:p>
        </w:tc>
        <w:tc>
          <w:tcPr>
            <w:tcW w:w="5044"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负责系统网络整合工作、主要包括网络设备安装、调试。对外网络技术协调，技术支持工作</w:t>
            </w:r>
          </w:p>
        </w:tc>
      </w:tr>
      <w:tr>
        <w:tblPrEx>
          <w:tblW w:w="8522" w:type="dxa"/>
          <w:tblInd w:w="0" w:type="dxa"/>
          <w:tblLayout w:type="fixed"/>
          <w:tblCellMar>
            <w:top w:w="0" w:type="dxa"/>
            <w:left w:w="108" w:type="dxa"/>
            <w:bottom w:w="0" w:type="dxa"/>
            <w:right w:w="108" w:type="dxa"/>
          </w:tblCellMar>
        </w:tblPrEx>
        <w:trPr>
          <w:gridAfter w:val="1"/>
          <w:wAfter w:w="17" w:type="dxa"/>
          <w:cantSplit/>
          <w:trHeight w:val="370"/>
        </w:trPr>
        <w:tc>
          <w:tcPr>
            <w:tcW w:w="1801" w:type="dxa"/>
            <w:vMerge/>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tc>
        <w:tc>
          <w:tcPr>
            <w:tcW w:w="1660"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系统集成组</w:t>
            </w:r>
          </w:p>
        </w:tc>
        <w:tc>
          <w:tcPr>
            <w:tcW w:w="5044"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负责系统各平台主机、存储系统的设备安装、调试工作，负责系统操作系统、数据库、中间件等系统软件的安装、调试工作。</w:t>
            </w:r>
          </w:p>
        </w:tc>
      </w:tr>
      <w:tr>
        <w:tblPrEx>
          <w:tblW w:w="8522" w:type="dxa"/>
          <w:tblInd w:w="0" w:type="dxa"/>
          <w:tblLayout w:type="fixed"/>
          <w:tblCellMar>
            <w:top w:w="0" w:type="dxa"/>
            <w:left w:w="108" w:type="dxa"/>
            <w:bottom w:w="0" w:type="dxa"/>
            <w:right w:w="108" w:type="dxa"/>
          </w:tblCellMar>
        </w:tblPrEx>
        <w:trPr>
          <w:gridAfter w:val="1"/>
          <w:wAfter w:w="17" w:type="dxa"/>
          <w:cantSplit/>
          <w:trHeight w:val="830"/>
        </w:trPr>
        <w:tc>
          <w:tcPr>
            <w:tcW w:w="1801" w:type="dxa"/>
            <w:vMerge/>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tc>
        <w:tc>
          <w:tcPr>
            <w:tcW w:w="1660" w:type="dxa"/>
            <w:noWrap w:val="0"/>
            <w:vAlign w:val="center"/>
          </w:tcPr>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运行维护组</w:t>
            </w:r>
          </w:p>
        </w:tc>
        <w:tc>
          <w:tcPr>
            <w:tcW w:w="5044"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负责整个工程项目中所有硬件系统的售后服务事宜，进行故障初步判断，进行第一反应维护，并及时联系相关产品厂商与供货商</w:t>
            </w:r>
          </w:p>
        </w:tc>
      </w:tr>
      <w:tr>
        <w:tblPrEx>
          <w:tblW w:w="8522" w:type="dxa"/>
          <w:tblInd w:w="0" w:type="dxa"/>
          <w:tblLayout w:type="fixed"/>
          <w:tblCellMar>
            <w:top w:w="0" w:type="dxa"/>
            <w:left w:w="108" w:type="dxa"/>
            <w:bottom w:w="0" w:type="dxa"/>
            <w:right w:w="108" w:type="dxa"/>
          </w:tblCellMar>
        </w:tblPrEx>
        <w:trPr>
          <w:cantSplit/>
          <w:trHeight w:val="480"/>
        </w:trPr>
        <w:tc>
          <w:tcPr>
            <w:tcW w:w="1801" w:type="dxa"/>
            <w:noWrap w:val="0"/>
            <w:vAlign w:val="center"/>
          </w:tcPr>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应用软件</w:t>
            </w:r>
          </w:p>
        </w:tc>
        <w:tc>
          <w:tcPr>
            <w:tcW w:w="6721" w:type="dxa"/>
            <w:gridSpan w:val="3"/>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负责整个应用软件设计、开发、实施工作。协调各个开发小组的开发思路和统一接口规划等。各应用系统的软件开发。</w:t>
            </w:r>
          </w:p>
        </w:tc>
      </w:tr>
    </w:tbl>
    <w:p>
      <w:pPr>
        <w:sectPr>
          <w:headerReference w:type="default" r:id="rId29"/>
          <w:footerReference w:type="default" r:id="rId30"/>
          <w:type w:val="nextPage"/>
          <w:pgSz w:w="11906" w:h="16838"/>
          <w:pgMar w:top="1440" w:right="1800" w:bottom="1440" w:left="1800" w:header="851" w:footer="992" w:gutter="0"/>
          <w:pgNumType w:fmt="decimal" w:start="13"/>
          <w:cols w:num="1" w:space="425"/>
          <w:titlePg w:val="0"/>
          <w:docGrid w:type="lines" w:linePitch="312" w:charSpace="0"/>
        </w:sectPr>
      </w:pPr>
    </w:p>
    <w:tbl>
      <w:tblPr>
        <w:tblStyle w:val="TableNormal"/>
        <w:tblW w:w="85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801"/>
        <w:gridCol w:w="1660"/>
        <w:gridCol w:w="5061"/>
      </w:tblGrid>
      <w:tr>
        <w:tblPrEx>
          <w:tblW w:w="85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925"/>
        </w:trPr>
        <w:tc>
          <w:tcPr>
            <w:tcW w:w="1801" w:type="dxa"/>
            <w:vMerge w:val="restart"/>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tc>
        <w:tc>
          <w:tcPr>
            <w:tcW w:w="1660" w:type="dxa"/>
            <w:noWrap w:val="0"/>
            <w:vAlign w:val="center"/>
          </w:tcPr>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软件开发组</w:t>
            </w:r>
          </w:p>
        </w:tc>
        <w:tc>
          <w:tcPr>
            <w:tcW w:w="5061"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负责项目的软件架构设计，主持系统的调研、分析，总体方案的设计和评估论证，组织开发计划的实施，并指导高级程序员工作</w:t>
            </w:r>
          </w:p>
        </w:tc>
      </w:tr>
      <w:tr>
        <w:tblPrEx>
          <w:tblW w:w="8522" w:type="dxa"/>
          <w:tblInd w:w="0" w:type="dxa"/>
          <w:tblLayout w:type="fixed"/>
          <w:tblCellMar>
            <w:top w:w="0" w:type="dxa"/>
            <w:left w:w="108" w:type="dxa"/>
            <w:bottom w:w="0" w:type="dxa"/>
            <w:right w:w="108" w:type="dxa"/>
          </w:tblCellMar>
        </w:tblPrEx>
        <w:trPr>
          <w:cantSplit/>
          <w:trHeight w:val="1407"/>
        </w:trPr>
        <w:tc>
          <w:tcPr>
            <w:tcW w:w="1801" w:type="dxa"/>
            <w:vMerge/>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tc>
        <w:tc>
          <w:tcPr>
            <w:tcW w:w="1660" w:type="dxa"/>
            <w:noWrap w:val="0"/>
            <w:vAlign w:val="center"/>
          </w:tcPr>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软件实施组</w:t>
            </w:r>
          </w:p>
        </w:tc>
        <w:tc>
          <w:tcPr>
            <w:tcW w:w="5061"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负责应用系统的加载，安装应用软件、配置数据库、各类接口软件等，并进行系统联调。负责与用户配合，进行系统的初验。试运行期间的技术支持。提供应用系统的技术、业务支持，及时为用户解决关于系统的各类问题</w:t>
            </w:r>
          </w:p>
        </w:tc>
      </w:tr>
      <w:tr>
        <w:tblPrEx>
          <w:tblW w:w="8522" w:type="dxa"/>
          <w:tblInd w:w="0" w:type="dxa"/>
          <w:tblLayout w:type="fixed"/>
          <w:tblCellMar>
            <w:top w:w="0" w:type="dxa"/>
            <w:left w:w="108" w:type="dxa"/>
            <w:bottom w:w="0" w:type="dxa"/>
            <w:right w:w="108" w:type="dxa"/>
          </w:tblCellMar>
        </w:tblPrEx>
        <w:trPr>
          <w:cantSplit/>
          <w:trHeight w:val="668"/>
        </w:trPr>
        <w:tc>
          <w:tcPr>
            <w:tcW w:w="1801" w:type="dxa"/>
            <w:vMerge/>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tc>
        <w:tc>
          <w:tcPr>
            <w:tcW w:w="1660" w:type="dxa"/>
            <w:noWrap w:val="0"/>
            <w:vAlign w:val="center"/>
          </w:tcPr>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软件测试组</w:t>
            </w:r>
          </w:p>
        </w:tc>
        <w:tc>
          <w:tcPr>
            <w:tcW w:w="5061"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制定系统的测试计划，严格按照测试计划，对各个测试要点进行测试，编写测试报告</w:t>
            </w:r>
          </w:p>
        </w:tc>
      </w:tr>
      <w:tr>
        <w:tblPrEx>
          <w:tblW w:w="8522" w:type="dxa"/>
          <w:tblInd w:w="0" w:type="dxa"/>
          <w:tblLayout w:type="fixed"/>
          <w:tblCellMar>
            <w:top w:w="0" w:type="dxa"/>
            <w:left w:w="108" w:type="dxa"/>
            <w:bottom w:w="0" w:type="dxa"/>
            <w:right w:w="108" w:type="dxa"/>
          </w:tblCellMar>
        </w:tblPrEx>
        <w:trPr>
          <w:cantSplit/>
          <w:trHeight w:val="914"/>
        </w:trPr>
        <w:tc>
          <w:tcPr>
            <w:tcW w:w="1801" w:type="dxa"/>
            <w:vMerge/>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p>
        </w:tc>
        <w:tc>
          <w:tcPr>
            <w:tcW w:w="1660" w:type="dxa"/>
            <w:noWrap w:val="0"/>
            <w:vAlign w:val="center"/>
          </w:tcPr>
          <w:p>
            <w:pPr>
              <w:pStyle w:val="12"/>
              <w:shd w:val="clear" w:color="auto" w:fill="auto"/>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文档管理组</w:t>
            </w:r>
          </w:p>
        </w:tc>
        <w:tc>
          <w:tcPr>
            <w:tcW w:w="5061" w:type="dxa"/>
            <w:noWrap w:val="0"/>
            <w:vAlign w:val="center"/>
          </w:tcPr>
          <w:p>
            <w:pPr>
              <w:pStyle w:val="12"/>
              <w:shd w:val="clear" w:color="auto" w:fill="auto"/>
              <w:ind w:firstLine="480"/>
              <w:jc w:val="center"/>
              <w:rPr>
                <w:rFonts w:ascii="宋体" w:eastAsia="宋体" w:hAnsi="宋体" w:cs="宋体" w:hint="eastAsia"/>
                <w:bCs/>
                <w:i w:val="0"/>
                <w:iCs w:val="0"/>
                <w:caps/>
                <w:sz w:val="24"/>
                <w:szCs w:val="24"/>
                <w:highlight w:val="none"/>
              </w:rPr>
            </w:pPr>
            <w:r>
              <w:rPr>
                <w:rFonts w:ascii="宋体" w:eastAsia="宋体" w:hAnsi="宋体" w:cs="宋体" w:hint="eastAsia"/>
                <w:bCs/>
                <w:i w:val="0"/>
                <w:iCs w:val="0"/>
                <w:caps/>
                <w:sz w:val="24"/>
                <w:szCs w:val="24"/>
                <w:highlight w:val="none"/>
              </w:rPr>
              <w:t>配合整个应用软件开发部进行所有软件相关文档的整理、归类、发布及交付</w:t>
            </w:r>
          </w:p>
        </w:tc>
      </w:tr>
    </w:tbl>
    <w:p>
      <w:pPr>
        <w:pStyle w:val="Heading3"/>
        <w:numPr>
          <w:ilvl w:val="2"/>
          <w:numId w:val="13"/>
        </w:numPr>
        <w:shd w:val="clear" w:color="auto" w:fill="auto"/>
        <w:spacing w:line="415" w:lineRule="auto"/>
        <w:ind w:left="567" w:hanging="567" w:leftChars="0" w:firstLineChars="0"/>
        <w:rPr>
          <w:rFonts w:ascii="宋体" w:eastAsia="宋体" w:hAnsi="宋体" w:cs="宋体" w:hint="eastAsia"/>
          <w:i w:val="0"/>
          <w:iCs w:val="0"/>
          <w:sz w:val="24"/>
          <w:szCs w:val="24"/>
          <w:highlight w:val="none"/>
        </w:rPr>
      </w:pPr>
      <w:bookmarkStart w:id="75" w:name="_Toc7537"/>
      <w:bookmarkStart w:id="76" w:name="_Toc6766"/>
      <w:r>
        <w:rPr>
          <w:rFonts w:ascii="宋体" w:eastAsia="宋体" w:hAnsi="宋体" w:cs="宋体" w:hint="eastAsia"/>
          <w:i w:val="0"/>
          <w:iCs w:val="0"/>
          <w:sz w:val="24"/>
          <w:szCs w:val="24"/>
          <w:highlight w:val="none"/>
        </w:rPr>
        <w:t>项目管理</w:t>
      </w:r>
      <w:bookmarkEnd w:id="75"/>
      <w:bookmarkEnd w:id="76"/>
    </w:p>
    <w:p>
      <w:pPr>
        <w:pStyle w:val="ListParagraph"/>
        <w:widowControl w:val="0"/>
        <w:numPr>
          <w:ilvl w:val="0"/>
          <w:numId w:val="18"/>
        </w:numPr>
        <w:shd w:val="clear" w:color="auto" w:fill="auto"/>
        <w:autoSpaceDE/>
        <w:autoSpaceDN/>
        <w:adjustRightInd/>
        <w:snapToGrid/>
        <w:spacing w:line="480" w:lineRule="auto"/>
        <w:ind w:left="920" w:firstLineChars="0"/>
        <w:jc w:val="both"/>
        <w:rPr>
          <w:rFonts w:ascii="宋体" w:eastAsia="宋体" w:hAnsi="宋体" w:cs="宋体" w:hint="eastAsia"/>
          <w:b w:val="0"/>
          <w:bCs w:val="0"/>
          <w:i w:val="0"/>
          <w:iCs w:val="0"/>
          <w:sz w:val="24"/>
          <w:szCs w:val="24"/>
          <w:highlight w:val="none"/>
        </w:rPr>
      </w:pPr>
      <w:bookmarkStart w:id="77" w:name="_Toc117497315"/>
      <w:bookmarkStart w:id="78" w:name="_Toc501989186"/>
      <w:r>
        <w:rPr>
          <w:rFonts w:ascii="宋体" w:eastAsia="宋体" w:hAnsi="宋体" w:cs="宋体" w:hint="eastAsia"/>
          <w:b w:val="0"/>
          <w:bCs w:val="0"/>
          <w:i w:val="0"/>
          <w:iCs w:val="0"/>
          <w:sz w:val="24"/>
          <w:szCs w:val="24"/>
          <w:highlight w:val="none"/>
        </w:rPr>
        <w:t>项目组织管理</w:t>
      </w:r>
      <w:bookmarkEnd w:id="77"/>
      <w:bookmarkEnd w:id="78"/>
    </w:p>
    <w:p>
      <w:pPr>
        <w:keepNext w:val="0"/>
        <w:keepLines w:val="0"/>
        <w:pageBreakBefore w:val="0"/>
        <w:shd w:val="clear" w:color="auto" w:fill="auto"/>
        <w:kinsoku/>
        <w:wordWrap/>
        <w:topLinePunct w:val="0"/>
        <w:bidi w:val="0"/>
        <w:snapToGrid/>
        <w:spacing w:line="480" w:lineRule="auto"/>
        <w:ind w:firstLine="420" w:firstLineChars="0"/>
        <w:jc w:val="both"/>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t>项目团队管理就是有效地发挥每一个参与项目人员作用的过程，主要内容包括：</w:t>
      </w:r>
    </w:p>
    <w:p>
      <w:pPr>
        <w:pStyle w:val="ListParagraph"/>
        <w:keepNext w:val="0"/>
        <w:keepLines w:val="0"/>
        <w:pageBreakBefore w:val="0"/>
        <w:widowControl w:val="0"/>
        <w:numPr>
          <w:ilvl w:val="0"/>
          <w:numId w:val="19"/>
        </w:numPr>
        <w:shd w:val="clear" w:color="auto" w:fill="auto"/>
        <w:kinsoku/>
        <w:wordWrap/>
        <w:topLinePunct w:val="0"/>
        <w:autoSpaceDE/>
        <w:autoSpaceDN/>
        <w:bidi w:val="0"/>
        <w:adjustRightInd/>
        <w:snapToGrid/>
        <w:spacing w:line="480" w:lineRule="auto"/>
        <w:ind w:firstLineChars="0"/>
        <w:jc w:val="both"/>
        <w:rPr>
          <w:rFonts w:ascii="宋体" w:eastAsia="宋体" w:hAnsi="宋体" w:cs="宋体" w:hint="eastAsia"/>
          <w:i w:val="0"/>
          <w:iCs w:val="0"/>
          <w:sz w:val="24"/>
          <w:szCs w:val="24"/>
          <w:highlight w:val="none"/>
        </w:rPr>
      </w:pPr>
      <w:r>
        <w:rPr>
          <w:rFonts w:ascii="宋体" w:eastAsia="宋体" w:hAnsi="宋体" w:cs="宋体" w:hint="eastAsia"/>
          <w:b/>
          <w:i w:val="0"/>
          <w:iCs w:val="0"/>
          <w:sz w:val="24"/>
          <w:szCs w:val="24"/>
          <w:highlight w:val="none"/>
        </w:rPr>
        <w:t>组织的规划：</w:t>
      </w:r>
      <w:r>
        <w:rPr>
          <w:rFonts w:ascii="宋体" w:eastAsia="宋体" w:hAnsi="宋体" w:cs="宋体" w:hint="eastAsia"/>
          <w:i w:val="0"/>
          <w:iCs w:val="0"/>
          <w:sz w:val="24"/>
          <w:szCs w:val="24"/>
          <w:highlight w:val="none"/>
        </w:rPr>
        <w:t>包括对项目任务、职责以及报告关系进行识别、分配和归档，形成任务和责任的分配图、项目的组织结构图、人力资源管理计划以及相关说明文档；</w:t>
      </w:r>
    </w:p>
    <w:p>
      <w:pPr>
        <w:pStyle w:val="ListParagraph"/>
        <w:keepNext w:val="0"/>
        <w:keepLines w:val="0"/>
        <w:pageBreakBefore w:val="0"/>
        <w:widowControl w:val="0"/>
        <w:numPr>
          <w:ilvl w:val="0"/>
          <w:numId w:val="19"/>
        </w:numPr>
        <w:shd w:val="clear" w:color="auto" w:fill="auto"/>
        <w:kinsoku/>
        <w:wordWrap/>
        <w:topLinePunct w:val="0"/>
        <w:autoSpaceDE/>
        <w:autoSpaceDN/>
        <w:bidi w:val="0"/>
        <w:adjustRightInd/>
        <w:snapToGrid/>
        <w:spacing w:line="480" w:lineRule="auto"/>
        <w:ind w:firstLineChars="0"/>
        <w:jc w:val="both"/>
        <w:rPr>
          <w:rFonts w:ascii="宋体" w:eastAsia="宋体" w:hAnsi="宋体" w:cs="宋体" w:hint="eastAsia"/>
          <w:i w:val="0"/>
          <w:iCs w:val="0"/>
          <w:sz w:val="24"/>
          <w:szCs w:val="24"/>
          <w:highlight w:val="none"/>
        </w:rPr>
      </w:pPr>
      <w:r>
        <w:rPr>
          <w:rFonts w:ascii="宋体" w:eastAsia="宋体" w:hAnsi="宋体" w:cs="宋体" w:hint="eastAsia"/>
          <w:b/>
          <w:i w:val="0"/>
          <w:iCs w:val="0"/>
          <w:sz w:val="24"/>
          <w:szCs w:val="24"/>
          <w:highlight w:val="none"/>
        </w:rPr>
        <w:t>人员的获取：</w:t>
      </w:r>
      <w:r>
        <w:rPr>
          <w:rFonts w:ascii="宋体" w:eastAsia="宋体" w:hAnsi="宋体" w:cs="宋体" w:hint="eastAsia"/>
          <w:i w:val="0"/>
          <w:iCs w:val="0"/>
          <w:sz w:val="24"/>
          <w:szCs w:val="24"/>
          <w:highlight w:val="none"/>
        </w:rPr>
        <w:t>包括从完成项目的组织内或组织外获得项目所需的并被分配到项目组工作的人员，形成项目团队的组织名单，该名单包括项目组人员以及对其指定的相应的工作；</w:t>
      </w:r>
    </w:p>
    <w:p>
      <w:pPr>
        <w:pStyle w:val="ListParagraph"/>
        <w:keepNext w:val="0"/>
        <w:keepLines w:val="0"/>
        <w:pageBreakBefore w:val="0"/>
        <w:widowControl w:val="0"/>
        <w:numPr>
          <w:ilvl w:val="0"/>
          <w:numId w:val="19"/>
        </w:numPr>
        <w:shd w:val="clear" w:color="auto" w:fill="auto"/>
        <w:kinsoku/>
        <w:wordWrap/>
        <w:topLinePunct w:val="0"/>
        <w:autoSpaceDE/>
        <w:autoSpaceDN/>
        <w:bidi w:val="0"/>
        <w:adjustRightInd/>
        <w:snapToGrid/>
        <w:spacing w:line="480" w:lineRule="auto"/>
        <w:ind w:firstLineChars="0"/>
        <w:jc w:val="both"/>
        <w:rPr>
          <w:rFonts w:ascii="宋体" w:eastAsia="宋体" w:hAnsi="宋体" w:cs="宋体" w:hint="eastAsia"/>
          <w:i w:val="0"/>
          <w:iCs w:val="0"/>
          <w:sz w:val="24"/>
          <w:szCs w:val="24"/>
          <w:highlight w:val="none"/>
        </w:rPr>
      </w:pPr>
      <w:r>
        <w:rPr>
          <w:rFonts w:ascii="宋体" w:eastAsia="宋体" w:hAnsi="宋体" w:cs="宋体" w:hint="eastAsia"/>
          <w:b/>
          <w:i w:val="0"/>
          <w:iCs w:val="0"/>
          <w:sz w:val="24"/>
          <w:szCs w:val="24"/>
          <w:highlight w:val="none"/>
        </w:rPr>
        <w:t>团队的建设和管理：</w:t>
      </w:r>
      <w:r>
        <w:rPr>
          <w:rFonts w:ascii="宋体" w:eastAsia="宋体" w:hAnsi="宋体" w:cs="宋体" w:hint="eastAsia"/>
          <w:i w:val="0"/>
          <w:iCs w:val="0"/>
          <w:sz w:val="24"/>
          <w:szCs w:val="24"/>
          <w:highlight w:val="none"/>
        </w:rPr>
        <w:t>包括为了达到项目团队的最佳绩效而建立提高项目中每一个人和项目团队技能的过程。团队建设是提高项目团队中每一个成员的个人技能和整个团队的团队整体技能，进而促使整个项目的绩效提高。</w:t>
      </w:r>
    </w:p>
    <w:p>
      <w:pPr>
        <w:keepNext w:val="0"/>
        <w:keepLines w:val="0"/>
        <w:pageBreakBefore w:val="0"/>
        <w:shd w:val="clear" w:color="auto" w:fill="auto"/>
        <w:kinsoku/>
        <w:wordWrap/>
        <w:topLinePunct w:val="0"/>
        <w:bidi w:val="0"/>
        <w:snapToGrid/>
        <w:spacing w:line="480" w:lineRule="auto"/>
        <w:ind w:firstLine="420" w:firstLineChars="0"/>
        <w:jc w:val="both"/>
        <w:rPr>
          <w:rFonts w:ascii="宋体" w:eastAsia="宋体" w:hAnsi="宋体" w:cs="宋体" w:hint="eastAsia"/>
          <w:i w:val="0"/>
          <w:iCs w:val="0"/>
          <w:sz w:val="24"/>
          <w:szCs w:val="24"/>
          <w:highlight w:val="none"/>
        </w:rPr>
      </w:pPr>
      <w:r>
        <w:rPr>
          <w:rFonts w:ascii="宋体" w:eastAsia="宋体" w:hAnsi="宋体" w:cs="宋体" w:hint="eastAsia"/>
          <w:i w:val="0"/>
          <w:iCs w:val="0"/>
          <w:sz w:val="24"/>
          <w:szCs w:val="24"/>
          <w:highlight w:val="none"/>
        </w:rPr>
        <w:br/>
      </w:r>
      <w:r>
        <w:rPr>
          <w:rFonts w:ascii="宋体" w:eastAsia="宋体" w:hAnsi="宋体" w:cs="宋体" w:hint="eastAsia"/>
          <w:i w:val="0"/>
          <w:iCs w:val="0"/>
          <w:sz w:val="24"/>
          <w:szCs w:val="24"/>
          <w:highlight w:val="none"/>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1" w:history="1">
        <w:r>
          <w:rPr>
            <w:rFonts w:ascii="SimSun" w:eastAsia="SimSun" w:hAnsi="SimSun" w:cs="SimSun"/>
            <w:b/>
            <w:bCs/>
            <w:color w:val="0000EE"/>
            <w:kern w:val="0"/>
            <w:sz w:val="30"/>
            <w:szCs w:val="30"/>
            <w:u w:val="single" w:color="0000EE"/>
          </w:rPr>
          <w:t>https://d.book118.com/107055064043006052</w:t>
        </w:r>
      </w:hyperlink>
    </w:p>
    <w:p>
      <w:pPr>
        <w:keepNext w:val="0"/>
        <w:keepLines w:val="0"/>
        <w:pageBreakBefore w:val="0"/>
        <w:shd w:val="clear" w:color="auto" w:fill="auto"/>
        <w:kinsoku/>
        <w:wordWrap/>
        <w:topLinePunct w:val="0"/>
        <w:bidi w:val="0"/>
        <w:snapToGrid/>
        <w:spacing w:line="480" w:lineRule="auto"/>
        <w:ind w:firstLine="420" w:firstLineChars="0"/>
        <w:jc w:val="both"/>
        <w:rPr>
          <w:rFonts w:ascii="宋体" w:eastAsia="宋体" w:hAnsi="宋体" w:cs="宋体" w:hint="eastAsia"/>
          <w:i w:val="0"/>
          <w:iCs w:val="0"/>
          <w:sz w:val="24"/>
          <w:szCs w:val="24"/>
          <w:highlight w:val="none"/>
        </w:rPr>
      </w:pPr>
    </w:p>
    <w:sectPr>
      <w:headerReference w:type="default" r:id="rId32"/>
      <w:footerReference w:type="default" r:id="rId33"/>
      <w:type w:val="nextPage"/>
      <w:pgSz w:w="11906" w:h="16838"/>
      <w:pgMar w:top="1440" w:right="1800" w:bottom="1440" w:left="1800" w:header="851" w:footer="992" w:gutter="0"/>
      <w:pgNumType w:fmt="decimal" w:start="14"/>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401FF" w:csb1="FFFF0000"/>
  </w:font>
  <w:font w:name="宋体">
    <w:panose1 w:val="02010600030101010101"/>
    <w:charset w:val="80"/>
    <w:family w:val="roman"/>
    <w:pitch w:val="default"/>
    <w:sig w:usb0="00000203" w:usb1="288F0000" w:usb2="00000006" w:usb3="00000000" w:csb0="0006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helvetica">
    <w:altName w:val="Segoe Print"/>
    <w:panose1 w:val="00000000000000000000"/>
    <w:charset w:val="00"/>
    <w:family w:val="auto"/>
    <w:pitch w:val="default"/>
    <w:sig w:usb0="00000000" w:usb1="00000000" w:usb2="00000000" w:usb3="00000000" w:csb0="00000001" w:csb1="00000000"/>
  </w:font>
  <w:font w:name="方正小标宋_GBK">
    <w:panose1 w:val="02000000000000000000"/>
    <w:charset w:val="86"/>
    <w:family w:val="auto"/>
    <w:pitch w:val="default"/>
    <w:sig w:usb0="A00002BF" w:usb1="38CF7CFA" w:usb2="00082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80006C56"/>
    <w:multiLevelType w:val="singleLevel"/>
    <w:tmpl w:val="80006C56"/>
    <w:lvl w:ilvl="0">
      <w:start w:val="1"/>
      <w:numFmt w:val="decimal"/>
      <w:lvlText w:val="(%1)"/>
      <w:lvlJc w:val="left"/>
      <w:pPr>
        <w:tabs>
          <w:tab w:val="left" w:pos="840"/>
        </w:tabs>
        <w:ind w:left="1265" w:hanging="425"/>
      </w:pPr>
      <w:rPr>
        <w:rFonts w:hint="default"/>
      </w:rPr>
    </w:lvl>
  </w:abstractNum>
  <w:abstractNum w:abstractNumId="1">
    <w:nsid w:val="873CB875"/>
    <w:multiLevelType w:val="multilevel"/>
    <w:tmpl w:val="873CB875"/>
    <w:lvl w:ilvl="0">
      <w:start w:val="2"/>
      <w:numFmt w:val="decimal"/>
      <w:lvlText w:val="%1"/>
      <w:lvlJc w:val="left"/>
      <w:pPr>
        <w:ind w:left="425" w:hanging="425"/>
      </w:pPr>
      <w:rPr>
        <w:rFonts w:ascii="宋体" w:eastAsia="宋体" w:hAnsi="宋体" w:cs="宋体" w:hint="default"/>
      </w:rPr>
    </w:lvl>
    <w:lvl w:ilvl="1">
      <w:start w:val="1"/>
      <w:numFmt w:val="decimal"/>
      <w:lvlText w:val="%1.%2"/>
      <w:lvlJc w:val="left"/>
      <w:pPr>
        <w:ind w:left="567" w:hanging="567"/>
      </w:pPr>
      <w:rPr>
        <w:rFonts w:ascii="宋体" w:eastAsia="宋体" w:hAnsi="宋体" w:cs="宋体" w:hint="default"/>
      </w:rPr>
    </w:lvl>
    <w:lvl w:ilvl="2">
      <w:start w:val="1"/>
      <w:numFmt w:val="decimal"/>
      <w:lvlText w:val="%1.%2.%3"/>
      <w:lvlJc w:val="left"/>
      <w:pPr>
        <w:ind w:left="567" w:hanging="567"/>
      </w:pPr>
      <w:rPr>
        <w:rFonts w:ascii="宋体" w:eastAsia="宋体" w:hAnsi="宋体" w:cs="宋体" w:hint="default"/>
        <w:sz w:val="28"/>
        <w:szCs w:val="28"/>
      </w:rPr>
    </w:lvl>
    <w:lvl w:ilvl="3">
      <w:start w:val="18"/>
      <w:numFmt w:val="decimal"/>
      <w:lvlText w:val="%1.%2.%3.%4"/>
      <w:lvlJc w:val="left"/>
      <w:pPr>
        <w:ind w:left="708" w:hanging="708"/>
      </w:pPr>
      <w:rPr>
        <w:rFonts w:ascii="宋体" w:eastAsia="宋体" w:hAnsi="宋体" w:cs="宋体" w:hint="default"/>
        <w:sz w:val="28"/>
        <w:szCs w:val="28"/>
      </w:rPr>
    </w:lvl>
    <w:lvl w:ilvl="4">
      <w:start w:val="1"/>
      <w:numFmt w:val="decimal"/>
      <w:lvlText w:val="%1.%2.%3.%4.%5"/>
      <w:lvlJc w:val="left"/>
      <w:pPr>
        <w:ind w:left="850" w:hanging="850"/>
      </w:pPr>
      <w:rPr>
        <w:rFonts w:hint="default"/>
      </w:r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nsid w:val="9B060B9A"/>
    <w:multiLevelType w:val="singleLevel"/>
    <w:tmpl w:val="9B060B9A"/>
    <w:lvl w:ilvl="0">
      <w:start w:val="1"/>
      <w:numFmt w:val="decimal"/>
      <w:lvlText w:val="(%1)"/>
      <w:lvlJc w:val="left"/>
      <w:pPr>
        <w:tabs>
          <w:tab w:val="left" w:pos="840"/>
        </w:tabs>
        <w:ind w:left="1265" w:hanging="425"/>
      </w:pPr>
      <w:rPr>
        <w:rFonts w:hint="default"/>
      </w:rPr>
    </w:lvl>
  </w:abstractNum>
  <w:abstractNum w:abstractNumId="3">
    <w:nsid w:val="A1A5CA82"/>
    <w:multiLevelType w:val="singleLevel"/>
    <w:tmpl w:val="A1A5CA82"/>
    <w:lvl w:ilvl="0">
      <w:start w:val="1"/>
      <w:numFmt w:val="decimal"/>
      <w:lvlText w:val="(%1)"/>
      <w:lvlJc w:val="left"/>
      <w:pPr>
        <w:tabs>
          <w:tab w:val="left" w:pos="840"/>
        </w:tabs>
        <w:ind w:left="1265" w:hanging="425"/>
      </w:pPr>
      <w:rPr>
        <w:rFonts w:hint="default"/>
      </w:rPr>
    </w:lvl>
  </w:abstractNum>
  <w:abstractNum w:abstractNumId="4">
    <w:nsid w:val="AAFAEDF4"/>
    <w:multiLevelType w:val="singleLevel"/>
    <w:tmpl w:val="AAFAEDF4"/>
    <w:lvl w:ilvl="0">
      <w:start w:val="1"/>
      <w:numFmt w:val="decimal"/>
      <w:lvlText w:val="(%1)"/>
      <w:lvlJc w:val="left"/>
      <w:pPr>
        <w:tabs>
          <w:tab w:val="left" w:pos="420"/>
        </w:tabs>
        <w:ind w:left="845" w:hanging="425"/>
      </w:pPr>
      <w:rPr>
        <w:rFonts w:hint="default"/>
      </w:rPr>
    </w:lvl>
  </w:abstractNum>
  <w:abstractNum w:abstractNumId="5">
    <w:nsid w:val="C109DE76"/>
    <w:multiLevelType w:val="singleLevel"/>
    <w:tmpl w:val="C109DE76"/>
    <w:lvl w:ilvl="0">
      <w:start w:val="1"/>
      <w:numFmt w:val="decimal"/>
      <w:lvlText w:val="(%1)"/>
      <w:lvlJc w:val="left"/>
      <w:pPr>
        <w:tabs>
          <w:tab w:val="left" w:pos="420"/>
        </w:tabs>
        <w:ind w:left="845" w:hanging="425"/>
      </w:pPr>
      <w:rPr>
        <w:rFonts w:hint="default"/>
      </w:rPr>
    </w:lvl>
  </w:abstractNum>
  <w:abstractNum w:abstractNumId="6">
    <w:nsid w:val="D496E05B"/>
    <w:multiLevelType w:val="multilevel"/>
    <w:tmpl w:val="D496E05B"/>
    <w:lvl w:ilvl="0">
      <w:start w:val="1"/>
      <w:numFmt w:val="decimal"/>
      <w:lvlText w:val="%1"/>
      <w:lvlJc w:val="left"/>
      <w:pPr>
        <w:ind w:left="425" w:hanging="425"/>
      </w:pPr>
      <w:rPr>
        <w:rFonts w:ascii="宋体" w:eastAsia="宋体" w:hAnsi="宋体" w:cs="宋体" w:hint="default"/>
      </w:rPr>
    </w:lvl>
    <w:lvl w:ilvl="1">
      <w:start w:val="1"/>
      <w:numFmt w:val="decimal"/>
      <w:lvlText w:val="%1.%2"/>
      <w:lvlJc w:val="left"/>
      <w:pPr>
        <w:ind w:left="992" w:hanging="567"/>
      </w:pPr>
      <w:rPr>
        <w:rFonts w:ascii="宋体" w:eastAsia="宋体" w:hAnsi="宋体" w:cs="宋体" w:hint="default"/>
      </w:rPr>
    </w:lvl>
    <w:lvl w:ilvl="2">
      <w:start w:val="1"/>
      <w:numFmt w:val="decimal"/>
      <w:lvlText w:val="%1.%2.%3"/>
      <w:lvlJc w:val="left"/>
      <w:pPr>
        <w:ind w:left="1418" w:hanging="567"/>
      </w:pPr>
      <w:rPr>
        <w:rFonts w:ascii="宋体" w:eastAsia="宋体" w:hAnsi="宋体" w:cs="宋体" w:hint="default"/>
      </w:rPr>
    </w:lvl>
    <w:lvl w:ilvl="3">
      <w:start w:val="1"/>
      <w:numFmt w:val="decimal"/>
      <w:lvlText w:val="%1.%2.%3.%4"/>
      <w:lvlJc w:val="left"/>
      <w:pPr>
        <w:ind w:left="708" w:hanging="708"/>
      </w:pPr>
      <w:rPr>
        <w:rFonts w:ascii="宋体" w:eastAsia="宋体" w:hAnsi="宋体" w:cs="宋体" w:hint="default"/>
      </w:rPr>
    </w:lvl>
    <w:lvl w:ilvl="4">
      <w:start w:val="1"/>
      <w:numFmt w:val="decimal"/>
      <w:lvlText w:val="%1.%2.%3.%4.%5"/>
      <w:lvlJc w:val="left"/>
      <w:pPr>
        <w:ind w:left="850" w:hanging="850"/>
      </w:pPr>
    </w:lvl>
    <w:lvl w:ilvl="5">
      <w:start w:val="1"/>
      <w:numFmt w:val="decimal"/>
      <w:lvlText w:val="%1.%2.%3.%4.%5.%6"/>
      <w:lvlJc w:val="left"/>
      <w:pPr>
        <w:ind w:left="176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nsid w:val="F27FEF2B"/>
    <w:multiLevelType w:val="multilevel"/>
    <w:tmpl w:val="F27FEF2B"/>
    <w:lvl w:ilvl="0">
      <w:start w:val="3"/>
      <w:numFmt w:val="decimal"/>
      <w:lvlText w:val="%1"/>
      <w:lvlJc w:val="left"/>
      <w:pPr>
        <w:ind w:left="425" w:hanging="425"/>
      </w:pPr>
      <w:rPr>
        <w:rFonts w:ascii="宋体" w:eastAsia="宋体" w:hAnsi="宋体" w:cs="宋体" w:hint="default"/>
      </w:rPr>
    </w:lvl>
    <w:lvl w:ilvl="1">
      <w:start w:val="7"/>
      <w:numFmt w:val="decimal"/>
      <w:lvlText w:val="%1.%2"/>
      <w:lvlJc w:val="left"/>
      <w:pPr>
        <w:ind w:left="992" w:hanging="567"/>
      </w:pPr>
      <w:rPr>
        <w:rFonts w:ascii="宋体" w:eastAsia="宋体" w:hAnsi="宋体" w:cs="宋体" w:hint="default"/>
      </w:rPr>
    </w:lvl>
    <w:lvl w:ilvl="2">
      <w:start w:val="1"/>
      <w:numFmt w:val="decimal"/>
      <w:lvlText w:val="%1.%2.%3"/>
      <w:lvlJc w:val="left"/>
      <w:pPr>
        <w:ind w:left="1418" w:hanging="567"/>
      </w:pPr>
      <w:rPr>
        <w:rFonts w:ascii="宋体" w:eastAsia="宋体" w:hAnsi="宋体" w:cs="宋体" w:hint="default"/>
        <w:sz w:val="28"/>
        <w:szCs w:val="28"/>
      </w:rPr>
    </w:lvl>
    <w:lvl w:ilvl="3">
      <w:start w:val="18"/>
      <w:numFmt w:val="decimal"/>
      <w:lvlText w:val="%1.%2.%3.%4"/>
      <w:lvlJc w:val="left"/>
      <w:pPr>
        <w:ind w:left="708" w:hanging="708"/>
      </w:pPr>
      <w:rPr>
        <w:rFonts w:ascii="宋体" w:eastAsia="宋体" w:hAnsi="宋体" w:cs="宋体" w:hint="default"/>
        <w:sz w:val="28"/>
        <w:szCs w:val="28"/>
      </w:rPr>
    </w:lvl>
    <w:lvl w:ilvl="4">
      <w:start w:val="1"/>
      <w:numFmt w:val="decimal"/>
      <w:lvlText w:val="%1.%2.%3.%4.%5"/>
      <w:lvlJc w:val="left"/>
      <w:pPr>
        <w:ind w:left="850" w:hanging="850"/>
      </w:pPr>
      <w:rPr>
        <w:rFonts w:hint="default"/>
      </w:r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nsid w:val="FE1B9019"/>
    <w:multiLevelType w:val="singleLevel"/>
    <w:tmpl w:val="FE1B9019"/>
    <w:lvl w:ilvl="0">
      <w:start w:val="1"/>
      <w:numFmt w:val="decimal"/>
      <w:lvlText w:val="(%1)"/>
      <w:lvlJc w:val="left"/>
      <w:pPr>
        <w:tabs>
          <w:tab w:val="left" w:pos="420"/>
        </w:tabs>
        <w:ind w:left="845" w:hanging="425"/>
      </w:pPr>
      <w:rPr>
        <w:rFonts w:hint="default"/>
      </w:rPr>
    </w:lvl>
  </w:abstractNum>
  <w:abstractNum w:abstractNumId="9">
    <w:nsid w:val="061B692E"/>
    <w:multiLevelType w:val="multilevel"/>
    <w:tmpl w:val="061B692E"/>
    <w:lvl w:ilvl="0">
      <w:start w:val="1"/>
      <w:numFmt w:val="chineseCountingThousand"/>
      <w:pStyle w:val="Heading1"/>
      <w:suff w:val="nothing"/>
      <w:lvlText w:val="第%1章"/>
      <w:lvlJc w:val="left"/>
      <w:pPr>
        <w:ind w:left="0" w:firstLine="0"/>
      </w:pPr>
    </w:lvl>
    <w:lvl w:ilvl="1">
      <w:start w:val="1"/>
      <w:numFmt w:val="none"/>
      <w:pStyle w:val="Heading2"/>
      <w:suff w:val="nothing"/>
      <w:lvlJc w:val="left"/>
      <w:pPr>
        <w:ind w:left="0" w:firstLine="0"/>
      </w:pPr>
    </w:lvl>
    <w:lvl w:ilvl="2">
      <w:start w:val="1"/>
      <w:numFmt w:val="none"/>
      <w:pStyle w:val="Heading3"/>
      <w:suff w:val="nothing"/>
      <w:lvlJc w:val="left"/>
      <w:pPr>
        <w:ind w:left="0" w:firstLine="0"/>
      </w:pPr>
    </w:lvl>
    <w:lvl w:ilvl="3">
      <w:start w:val="1"/>
      <w:numFmt w:val="decimal"/>
      <w:pStyle w:val="Heading4"/>
      <w:lvlText w:val="%4."/>
      <w:lvlJc w:val="left"/>
      <w:pPr>
        <w:ind w:left="0" w:firstLine="0"/>
      </w:pPr>
    </w:lvl>
    <w:lvl w:ilvl="4">
      <w:start w:val="1"/>
      <w:numFmt w:val="none"/>
      <w:pStyle w:val="Heading5"/>
      <w:suff w:val="nothing"/>
      <w:lvlJc w:val="left"/>
      <w:pPr>
        <w:ind w:left="0" w:firstLine="0"/>
      </w:pPr>
    </w:lvl>
    <w:lvl w:ilvl="5">
      <w:start w:val="1"/>
      <w:numFmt w:val="none"/>
      <w:pStyle w:val="Heading6"/>
      <w:suff w:val="nothing"/>
      <w:lvlJc w:val="left"/>
      <w:pPr>
        <w:ind w:left="0" w:firstLine="0"/>
      </w:pPr>
    </w:lvl>
    <w:lvl w:ilvl="6">
      <w:start w:val="1"/>
      <w:numFmt w:val="none"/>
      <w:pStyle w:val="Heading7"/>
      <w:suff w:val="nothing"/>
      <w:lvlJc w:val="left"/>
      <w:pPr>
        <w:ind w:left="0" w:firstLine="0"/>
      </w:pPr>
    </w:lvl>
    <w:lvl w:ilvl="7">
      <w:start w:val="1"/>
      <w:numFmt w:val="none"/>
      <w:pStyle w:val="Heading8"/>
      <w:suff w:val="nothing"/>
      <w:lvlJc w:val="left"/>
      <w:pPr>
        <w:ind w:left="0" w:firstLine="0"/>
      </w:pPr>
    </w:lvl>
    <w:lvl w:ilvl="8">
      <w:start w:val="1"/>
      <w:numFmt w:val="none"/>
      <w:pStyle w:val="Heading9"/>
      <w:suff w:val="nothing"/>
      <w:lvlJc w:val="left"/>
      <w:pPr>
        <w:ind w:left="0" w:firstLine="0"/>
      </w:pPr>
    </w:lvl>
  </w:abstractNum>
  <w:abstractNum w:abstractNumId="10">
    <w:nsid w:val="0B7F4F05"/>
    <w:multiLevelType w:val="singleLevel"/>
    <w:tmpl w:val="0B7F4F05"/>
    <w:lvl w:ilvl="0">
      <w:start w:val="1"/>
      <w:numFmt w:val="decimal"/>
      <w:lvlText w:val="(%1)"/>
      <w:lvlJc w:val="left"/>
      <w:pPr>
        <w:tabs>
          <w:tab w:val="left" w:pos="840"/>
        </w:tabs>
        <w:ind w:left="1265" w:hanging="425"/>
      </w:pPr>
      <w:rPr>
        <w:rFonts w:hint="default"/>
      </w:rPr>
    </w:lvl>
  </w:abstractNum>
  <w:abstractNum w:abstractNumId="11">
    <w:nsid w:val="20867168"/>
    <w:multiLevelType w:val="multilevel"/>
    <w:tmpl w:val="20867168"/>
    <w:lvl w:ilvl="0">
      <w:start w:val="1"/>
      <w:numFmt w:val="decimal"/>
      <w:pStyle w:val="GXSJPoint1"/>
      <w:lvlText w:val="（%1）"/>
      <w:lvlJc w:val="left"/>
      <w:pPr>
        <w:tabs>
          <w:tab w:val="left" w:pos="0"/>
        </w:tabs>
        <w:ind w:left="0" w:firstLine="0"/>
      </w:pPr>
      <w:rPr>
        <w:rFonts w:ascii="Times New Roman" w:hAnsi="Times New Roman" w:cs="Times New Roman" w:hint="eastAsia"/>
        <w:b w:val="0"/>
        <w:i w:val="0"/>
        <w:sz w:val="28"/>
        <w:lang w:val="en-US"/>
      </w:rPr>
    </w:lvl>
    <w:lvl w:ilvl="1">
      <w:start w:val="1"/>
      <w:numFmt w:val="decimal"/>
      <w:pStyle w:val="GXSJPoint2"/>
      <w:lvlText w:val="%2）"/>
      <w:lvlJc w:val="left"/>
      <w:pPr>
        <w:tabs>
          <w:tab w:val="left" w:pos="0"/>
        </w:tabs>
        <w:ind w:left="0" w:firstLine="0"/>
      </w:pPr>
      <w:rPr>
        <w:rFonts w:ascii="Times New Roman" w:hAnsi="Times New Roman" w:cs="Times New Roman" w:hint="eastAsia"/>
        <w:b w:val="0"/>
        <w:i w:val="0"/>
        <w:sz w:val="28"/>
      </w:rPr>
    </w:lvl>
    <w:lvl w:ilvl="2">
      <w:start w:val="1"/>
      <w:numFmt w:val="decimal"/>
      <w:pStyle w:val="GXSJPoint3"/>
      <w:lvlText w:val="%3"/>
      <w:lvlJc w:val="left"/>
      <w:pPr>
        <w:tabs>
          <w:tab w:val="left" w:pos="0"/>
        </w:tabs>
        <w:ind w:left="0" w:firstLine="0"/>
      </w:pPr>
      <w:rPr>
        <w:rFonts w:ascii="Times New Roman" w:hAnsi="Times New Roman" w:cs="Times New Roman" w:hint="eastAsia"/>
        <w:b w:val="0"/>
        <w:i w:val="0"/>
        <w:sz w:val="28"/>
      </w:rPr>
    </w:lvl>
    <w:lvl w:ilvl="3">
      <w:start w:val="1"/>
      <w:numFmt w:val="upperRoman"/>
      <w:lvlText w:val="%4."/>
      <w:lvlJc w:val="left"/>
      <w:pPr>
        <w:tabs>
          <w:tab w:val="left" w:pos="0"/>
        </w:tabs>
        <w:ind w:left="0" w:firstLine="0"/>
      </w:pPr>
      <w:rPr>
        <w:rFonts w:ascii="Times New Roman" w:hAnsi="Times New Roman" w:cs="Times New Roman" w:hint="eastAsia"/>
        <w:b w:val="0"/>
        <w:i w:val="0"/>
        <w:sz w:val="28"/>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2">
    <w:nsid w:val="265015BB"/>
    <w:multiLevelType w:val="multilevel"/>
    <w:tmpl w:val="265015BB"/>
    <w:lvl w:ilvl="0">
      <w:start w:val="1"/>
      <w:numFmt w:val="chineseCountingThousand"/>
      <w:lvlText w:val="第%1章."/>
      <w:lvlJc w:val="left"/>
      <w:pPr>
        <w:tabs>
          <w:tab w:val="left" w:pos="0"/>
        </w:tabs>
        <w:ind w:left="0" w:firstLine="0"/>
      </w:pPr>
      <w:rPr>
        <w:rFonts w:ascii="Times New Roman" w:hAnsi="Times New Roman" w:cs="Times New Roman" w:hint="eastAsia"/>
        <w:b/>
        <w:bCs/>
        <w:i w:val="0"/>
        <w:sz w:val="28"/>
      </w:rPr>
    </w:lvl>
    <w:lvl w:ilvl="1">
      <w:start w:val="1"/>
      <w:numFmt w:val="decimal"/>
      <w:isLgl/>
      <w:lvlText w:val="%1.%2."/>
      <w:lvlJc w:val="left"/>
      <w:pPr>
        <w:tabs>
          <w:tab w:val="left" w:pos="0"/>
        </w:tabs>
        <w:ind w:left="0" w:firstLine="0"/>
      </w:pPr>
      <w:rPr>
        <w:rFonts w:ascii="Times New Roman" w:hAnsi="Times New Roman" w:cs="Times New Roman" w:hint="default"/>
        <w:b/>
        <w:bCs/>
        <w:i w:val="0"/>
        <w:sz w:val="28"/>
      </w:rPr>
    </w:lvl>
    <w:lvl w:ilvl="2">
      <w:start w:val="1"/>
      <w:numFmt w:val="decimal"/>
      <w:pStyle w:val="GXSJTitle3"/>
      <w:isLgl/>
      <w:lvlText w:val="%1.%2.%3."/>
      <w:lvlJc w:val="left"/>
      <w:pPr>
        <w:tabs>
          <w:tab w:val="left" w:pos="1559"/>
        </w:tabs>
        <w:ind w:left="1559" w:firstLine="0"/>
      </w:pPr>
      <w:rPr>
        <w:rFonts w:ascii="Times New Roman" w:hAnsi="Times New Roman" w:cs="Times New Roman" w:hint="default"/>
        <w:b/>
        <w:bCs/>
        <w:i w:val="0"/>
        <w:sz w:val="28"/>
      </w:rPr>
    </w:lvl>
    <w:lvl w:ilvl="3">
      <w:start w:val="1"/>
      <w:numFmt w:val="decimal"/>
      <w:isLgl/>
      <w:lvlText w:val="%1.%2.%3.%4."/>
      <w:lvlJc w:val="left"/>
      <w:pPr>
        <w:tabs>
          <w:tab w:val="left" w:pos="0"/>
        </w:tabs>
        <w:ind w:left="60" w:firstLine="0"/>
      </w:pPr>
      <w:rPr>
        <w:rFonts w:ascii="Times New Roman" w:hAnsi="Times New Roman" w:cs="Times New Roman" w:hint="default"/>
        <w:b w:val="0"/>
        <w:i w:val="0"/>
        <w:sz w:val="28"/>
      </w:rPr>
    </w:lvl>
    <w:lvl w:ilvl="4">
      <w:start w:val="1"/>
      <w:numFmt w:val="decimal"/>
      <w:isLgl/>
      <w:lvlText w:val="%1.%2.%3.%4.%5."/>
      <w:lvlJc w:val="left"/>
      <w:pPr>
        <w:tabs>
          <w:tab w:val="left" w:pos="0"/>
        </w:tabs>
        <w:ind w:left="0" w:firstLine="0"/>
      </w:pPr>
      <w:rPr>
        <w:rFonts w:ascii="Times New Roman" w:hAnsi="Times New Roman" w:cs="Times New Roman"/>
        <w:b w:val="0"/>
        <w:i w:val="0"/>
        <w:sz w:val="28"/>
      </w:rPr>
    </w:lvl>
    <w:lvl w:ilvl="5">
      <w:start w:val="1"/>
      <w:numFmt w:val="decimal"/>
      <w:isLgl/>
      <w:lvlText w:val="%1.%2.%3.%4.%5.%6."/>
      <w:lvlJc w:val="left"/>
      <w:pPr>
        <w:tabs>
          <w:tab w:val="left" w:pos="0"/>
        </w:tabs>
        <w:ind w:left="0" w:firstLine="0"/>
      </w:pPr>
      <w:rPr>
        <w:rFonts w:ascii="Times New Roman" w:hAnsi="Times New Roman" w:cs="Times New Roman"/>
        <w:b w:val="0"/>
        <w:i w:val="0"/>
        <w:sz w:val="28"/>
      </w:r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nsid w:val="2D04B029"/>
    <w:multiLevelType w:val="singleLevel"/>
    <w:tmpl w:val="2D04B029"/>
    <w:lvl w:ilvl="0">
      <w:start w:val="1"/>
      <w:numFmt w:val="decimal"/>
      <w:lvlText w:val="(%1)"/>
      <w:lvlJc w:val="left"/>
      <w:pPr>
        <w:tabs>
          <w:tab w:val="left" w:pos="420"/>
        </w:tabs>
        <w:ind w:left="845" w:hanging="425"/>
      </w:pPr>
      <w:rPr>
        <w:rFonts w:hint="default"/>
      </w:rPr>
    </w:lvl>
  </w:abstractNum>
  <w:abstractNum w:abstractNumId="14">
    <w:nsid w:val="363AF218"/>
    <w:multiLevelType w:val="multilevel"/>
    <w:tmpl w:val="363AF218"/>
    <w:lvl w:ilvl="0">
      <w:start w:val="6"/>
      <w:numFmt w:val="decimal"/>
      <w:lvlText w:val="%1"/>
      <w:lvlJc w:val="left"/>
      <w:pPr>
        <w:ind w:left="425" w:hanging="425"/>
      </w:pPr>
      <w:rPr>
        <w:rFonts w:ascii="宋体" w:eastAsia="宋体" w:hAnsi="宋体" w:cs="宋体" w:hint="default"/>
      </w:rPr>
    </w:lvl>
    <w:lvl w:ilvl="1">
      <w:start w:val="1"/>
      <w:numFmt w:val="decimal"/>
      <w:lvlText w:val="%1.%2"/>
      <w:lvlJc w:val="left"/>
      <w:pPr>
        <w:ind w:left="992" w:hanging="567"/>
      </w:pPr>
      <w:rPr>
        <w:rFonts w:hint="default"/>
      </w:rPr>
    </w:lvl>
    <w:lvl w:ilvl="2">
      <w:start w:val="1"/>
      <w:numFmt w:val="decimal"/>
      <w:lvlText w:val="%1.%2.%3"/>
      <w:lvlJc w:val="left"/>
      <w:pPr>
        <w:ind w:left="98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
    <w:nsid w:val="378E0381"/>
    <w:multiLevelType w:val="multilevel"/>
    <w:tmpl w:val="378E0381"/>
    <w:lvl w:ilvl="0">
      <w:start w:val="1"/>
      <w:numFmt w:val="bullet"/>
      <w:pStyle w:val="a7"/>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6">
    <w:nsid w:val="3BFE3033"/>
    <w:multiLevelType w:val="multilevel"/>
    <w:tmpl w:val="3BFE3033"/>
    <w:lvl w:ilvl="0">
      <w:start w:val="1"/>
      <w:numFmt w:val="decimalFullWidth"/>
      <w:lvlText w:val="%1、"/>
      <w:lvlJc w:val="left"/>
      <w:pPr>
        <w:tabs>
          <w:tab w:val="left" w:pos="900"/>
        </w:tabs>
        <w:ind w:left="900" w:hanging="420"/>
      </w:pPr>
      <w:rPr>
        <w:rFonts w:ascii="Times New Roman" w:eastAsia="Times New Roman" w:hAnsi="Times New Roman" w:cs="Times New Roman"/>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7">
    <w:nsid w:val="4A625655"/>
    <w:multiLevelType w:val="multilevel"/>
    <w:tmpl w:val="4A625655"/>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8">
    <w:nsid w:val="4B1A6C6A"/>
    <w:multiLevelType w:val="multilevel"/>
    <w:tmpl w:val="4B1A6C6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9">
    <w:nsid w:val="5553B465"/>
    <w:multiLevelType w:val="singleLevel"/>
    <w:tmpl w:val="5553B465"/>
    <w:lvl w:ilvl="0">
      <w:start w:val="1"/>
      <w:numFmt w:val="decimal"/>
      <w:lvlText w:val="(%1)"/>
      <w:lvlJc w:val="left"/>
      <w:pPr>
        <w:tabs>
          <w:tab w:val="left" w:pos="420"/>
        </w:tabs>
        <w:ind w:left="845" w:hanging="425"/>
      </w:pPr>
      <w:rPr>
        <w:rFonts w:hint="default"/>
      </w:rPr>
    </w:lvl>
  </w:abstractNum>
  <w:abstractNum w:abstractNumId="20">
    <w:nsid w:val="588112E5"/>
    <w:multiLevelType w:val="multilevel"/>
    <w:tmpl w:val="588112E5"/>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
    <w:nsid w:val="58E2CDFF"/>
    <w:multiLevelType w:val="singleLevel"/>
    <w:tmpl w:val="58E2CDFF"/>
    <w:lvl w:ilvl="0">
      <w:start w:val="1"/>
      <w:numFmt w:val="bullet"/>
      <w:lvlText w:val=""/>
      <w:lvlJc w:val="left"/>
      <w:pPr>
        <w:ind w:left="420" w:hanging="420"/>
      </w:pPr>
      <w:rPr>
        <w:rFonts w:ascii="Wingdings" w:hAnsi="Wingdings" w:hint="default"/>
      </w:rPr>
    </w:lvl>
  </w:abstractNum>
  <w:abstractNum w:abstractNumId="22">
    <w:nsid w:val="604757AF"/>
    <w:multiLevelType w:val="multilevel"/>
    <w:tmpl w:val="604757AF"/>
    <w:lvl w:ilvl="0">
      <w:start w:val="1"/>
      <w:numFmt w:val="decimal"/>
      <w:lvlText w:val="（%1）"/>
      <w:lvlJc w:val="left"/>
      <w:pPr>
        <w:tabs>
          <w:tab w:val="left" w:pos="0"/>
        </w:tabs>
        <w:ind w:left="0" w:firstLine="0"/>
      </w:pPr>
      <w:rPr>
        <w:rFonts w:ascii="Times New Roman" w:hAnsi="Times New Roman" w:cs="Times New Roman" w:hint="eastAsia"/>
        <w:b w:val="0"/>
        <w:i w:val="0"/>
        <w:sz w:val="28"/>
      </w:rPr>
    </w:lvl>
    <w:lvl w:ilvl="1">
      <w:start w:val="1"/>
      <w:numFmt w:val="decimal"/>
      <w:lvlText w:val="%2）"/>
      <w:lvlJc w:val="left"/>
      <w:pPr>
        <w:tabs>
          <w:tab w:val="left" w:pos="710"/>
        </w:tabs>
        <w:ind w:left="710" w:firstLine="0"/>
      </w:pPr>
      <w:rPr>
        <w:rFonts w:ascii="Times New Roman" w:hAnsi="Times New Roman" w:cs="Times New Roman" w:hint="eastAsia"/>
        <w:b w:val="0"/>
        <w:i w:val="0"/>
        <w:sz w:val="28"/>
      </w:rPr>
    </w:lvl>
    <w:lvl w:ilvl="2">
      <w:start w:val="1"/>
      <w:numFmt w:val="decimalEnclosedCircle"/>
      <w:lvlText w:val="%3"/>
      <w:lvlJc w:val="left"/>
      <w:pPr>
        <w:tabs>
          <w:tab w:val="left" w:pos="0"/>
        </w:tabs>
        <w:ind w:left="0" w:firstLine="0"/>
      </w:pPr>
      <w:rPr>
        <w:rFonts w:ascii="Times New Roman" w:hAnsi="Times New Roman" w:cs="Times New Roman" w:hint="eastAsia"/>
        <w:b w:val="0"/>
        <w:i w:val="0"/>
        <w:sz w:val="28"/>
      </w:rPr>
    </w:lvl>
    <w:lvl w:ilvl="3">
      <w:start w:val="1"/>
      <w:numFmt w:val="upperRoman"/>
      <w:lvlText w:val="%4."/>
      <w:lvlJc w:val="left"/>
      <w:pPr>
        <w:tabs>
          <w:tab w:val="left" w:pos="0"/>
        </w:tabs>
        <w:ind w:left="0" w:firstLine="0"/>
      </w:pPr>
      <w:rPr>
        <w:rFonts w:ascii="Times New Roman" w:hAnsi="Times New Roman" w:cs="Times New Roman" w:hint="eastAsia"/>
        <w:b w:val="0"/>
        <w:i w:val="0"/>
        <w:sz w:val="28"/>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3">
    <w:nsid w:val="64B16FC3"/>
    <w:multiLevelType w:val="multilevel"/>
    <w:tmpl w:val="D496E05B"/>
    <w:lvl w:ilvl="0">
      <w:start w:val="1"/>
      <w:numFmt w:val="decimal"/>
      <w:lvlText w:val="%1"/>
      <w:lvlJc w:val="left"/>
      <w:pPr>
        <w:ind w:left="425" w:hanging="425"/>
      </w:pPr>
      <w:rPr>
        <w:rFonts w:ascii="宋体" w:eastAsia="宋体" w:hAnsi="宋体" w:cs="宋体" w:hint="default"/>
      </w:rPr>
    </w:lvl>
    <w:lvl w:ilvl="1">
      <w:start w:val="1"/>
      <w:numFmt w:val="decimal"/>
      <w:lvlText w:val="%1.%2"/>
      <w:lvlJc w:val="left"/>
      <w:pPr>
        <w:ind w:left="992" w:hanging="567"/>
      </w:pPr>
      <w:rPr>
        <w:rFonts w:ascii="宋体" w:eastAsia="宋体" w:hAnsi="宋体" w:cs="宋体" w:hint="default"/>
      </w:rPr>
    </w:lvl>
    <w:lvl w:ilvl="2">
      <w:start w:val="1"/>
      <w:numFmt w:val="decimal"/>
      <w:lvlText w:val="%1.%2.%3"/>
      <w:lvlJc w:val="left"/>
      <w:pPr>
        <w:ind w:left="1418" w:hanging="567"/>
      </w:pPr>
      <w:rPr>
        <w:rFonts w:ascii="宋体" w:eastAsia="宋体" w:hAnsi="宋体" w:cs="宋体" w:hint="default"/>
      </w:rPr>
    </w:lvl>
    <w:lvl w:ilvl="3">
      <w:start w:val="1"/>
      <w:numFmt w:val="decimal"/>
      <w:lvlText w:val="%1.%2.%3.%4"/>
      <w:lvlJc w:val="left"/>
      <w:pPr>
        <w:ind w:left="708" w:hanging="708"/>
      </w:pPr>
      <w:rPr>
        <w:rFonts w:ascii="宋体" w:eastAsia="宋体" w:hAnsi="宋体" w:cs="宋体" w:hint="default"/>
      </w:rPr>
    </w:lvl>
    <w:lvl w:ilvl="4">
      <w:start w:val="1"/>
      <w:numFmt w:val="decimal"/>
      <w:lvlText w:val="%1.%2.%3.%4.%5"/>
      <w:lvlJc w:val="left"/>
      <w:pPr>
        <w:ind w:left="850" w:hanging="850"/>
      </w:pPr>
    </w:lvl>
    <w:lvl w:ilvl="5">
      <w:start w:val="1"/>
      <w:numFmt w:val="decimal"/>
      <w:lvlText w:val="%1.%2.%3.%4.%5.%6"/>
      <w:lvlJc w:val="left"/>
      <w:pPr>
        <w:ind w:left="176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9"/>
  </w:num>
  <w:num w:numId="2">
    <w:abstractNumId w:val="11"/>
  </w:num>
  <w:num w:numId="3">
    <w:abstractNumId w:val="12"/>
  </w:num>
  <w:num w:numId="4">
    <w:abstractNumId w:val="15"/>
  </w:num>
  <w:num w:numId="5">
    <w:abstractNumId w:val="6"/>
  </w:num>
  <w:num w:numId="6">
    <w:abstractNumId w:val="19"/>
  </w:num>
  <w:num w:numId="7">
    <w:abstractNumId w:val="5"/>
  </w:num>
  <w:num w:numId="8">
    <w:abstractNumId w:val="10"/>
  </w:num>
  <w:num w:numId="9">
    <w:abstractNumId w:val="3"/>
  </w:num>
  <w:num w:numId="10">
    <w:abstractNumId w:val="0"/>
  </w:num>
  <w:num w:numId="11">
    <w:abstractNumId w:val="2"/>
  </w:num>
  <w:num w:numId="12">
    <w:abstractNumId w:val="7"/>
  </w:num>
  <w:num w:numId="13">
    <w:abstractNumId w:val="1"/>
  </w:num>
  <w:num w:numId="14">
    <w:abstractNumId w:val="13"/>
  </w:num>
  <w:num w:numId="15">
    <w:abstractNumId w:val="4"/>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8"/>
  </w:num>
  <w:num w:numId="19">
    <w:abstractNumId w:val="16"/>
  </w:num>
  <w:num w:numId="20">
    <w:abstractNumId w:val="17"/>
  </w:num>
  <w:num w:numId="21">
    <w:abstractNumId w:val="20"/>
  </w:num>
  <w:num w:numId="22">
    <w:abstractNumId w:val="14"/>
  </w:num>
  <w:num w:numId="23">
    <w:abstractNumId w:val="21"/>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defaultTabStop w:val="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97B"/>
    <w:rsid w:val="00007046"/>
    <w:rsid w:val="00012443"/>
    <w:rsid w:val="00013800"/>
    <w:rsid w:val="0001511C"/>
    <w:rsid w:val="000251FB"/>
    <w:rsid w:val="00026FB8"/>
    <w:rsid w:val="00047C23"/>
    <w:rsid w:val="00052324"/>
    <w:rsid w:val="00053ED2"/>
    <w:rsid w:val="00056032"/>
    <w:rsid w:val="0006447E"/>
    <w:rsid w:val="00084FFE"/>
    <w:rsid w:val="00085E49"/>
    <w:rsid w:val="000875CD"/>
    <w:rsid w:val="000B15FA"/>
    <w:rsid w:val="000B19F3"/>
    <w:rsid w:val="000B1A6E"/>
    <w:rsid w:val="000C7049"/>
    <w:rsid w:val="000E6360"/>
    <w:rsid w:val="000E6614"/>
    <w:rsid w:val="000F268E"/>
    <w:rsid w:val="00102A04"/>
    <w:rsid w:val="001238D2"/>
    <w:rsid w:val="00143F78"/>
    <w:rsid w:val="001500A7"/>
    <w:rsid w:val="0015783A"/>
    <w:rsid w:val="00170FDC"/>
    <w:rsid w:val="00176BB8"/>
    <w:rsid w:val="00183DA6"/>
    <w:rsid w:val="00185B27"/>
    <w:rsid w:val="00186F2D"/>
    <w:rsid w:val="001918E4"/>
    <w:rsid w:val="0019622D"/>
    <w:rsid w:val="001C0AFF"/>
    <w:rsid w:val="001C7D5C"/>
    <w:rsid w:val="001D1510"/>
    <w:rsid w:val="001E0A6D"/>
    <w:rsid w:val="00202472"/>
    <w:rsid w:val="00203626"/>
    <w:rsid w:val="0020753C"/>
    <w:rsid w:val="00213DAB"/>
    <w:rsid w:val="002263FC"/>
    <w:rsid w:val="00226873"/>
    <w:rsid w:val="00240D6D"/>
    <w:rsid w:val="002414CF"/>
    <w:rsid w:val="0024776F"/>
    <w:rsid w:val="00256591"/>
    <w:rsid w:val="00267630"/>
    <w:rsid w:val="002703CB"/>
    <w:rsid w:val="00272C1E"/>
    <w:rsid w:val="00287BAE"/>
    <w:rsid w:val="00292754"/>
    <w:rsid w:val="002B5039"/>
    <w:rsid w:val="002B6022"/>
    <w:rsid w:val="002B6369"/>
    <w:rsid w:val="002B6718"/>
    <w:rsid w:val="002B6AB0"/>
    <w:rsid w:val="002C4FFB"/>
    <w:rsid w:val="002D3B41"/>
    <w:rsid w:val="002E26E3"/>
    <w:rsid w:val="002E769D"/>
    <w:rsid w:val="002F5818"/>
    <w:rsid w:val="0030048A"/>
    <w:rsid w:val="00303FAA"/>
    <w:rsid w:val="00307250"/>
    <w:rsid w:val="003207A2"/>
    <w:rsid w:val="00340D81"/>
    <w:rsid w:val="0034295A"/>
    <w:rsid w:val="0034321B"/>
    <w:rsid w:val="00343970"/>
    <w:rsid w:val="003443FA"/>
    <w:rsid w:val="00345DBD"/>
    <w:rsid w:val="00346356"/>
    <w:rsid w:val="003468FE"/>
    <w:rsid w:val="00364A57"/>
    <w:rsid w:val="0037023F"/>
    <w:rsid w:val="00370927"/>
    <w:rsid w:val="00372A16"/>
    <w:rsid w:val="00376F33"/>
    <w:rsid w:val="00385621"/>
    <w:rsid w:val="0039319E"/>
    <w:rsid w:val="003A3746"/>
    <w:rsid w:val="003B401E"/>
    <w:rsid w:val="003C7BA9"/>
    <w:rsid w:val="003D7102"/>
    <w:rsid w:val="003D71C1"/>
    <w:rsid w:val="003E39DB"/>
    <w:rsid w:val="003E6AA9"/>
    <w:rsid w:val="003F4462"/>
    <w:rsid w:val="003F596F"/>
    <w:rsid w:val="00401AD2"/>
    <w:rsid w:val="00405D08"/>
    <w:rsid w:val="00426905"/>
    <w:rsid w:val="004344AE"/>
    <w:rsid w:val="00436E5C"/>
    <w:rsid w:val="00445A94"/>
    <w:rsid w:val="00456AA8"/>
    <w:rsid w:val="00463DB4"/>
    <w:rsid w:val="004650BA"/>
    <w:rsid w:val="004735B6"/>
    <w:rsid w:val="00477D00"/>
    <w:rsid w:val="00481593"/>
    <w:rsid w:val="00486615"/>
    <w:rsid w:val="004957F3"/>
    <w:rsid w:val="00497904"/>
    <w:rsid w:val="004A08B0"/>
    <w:rsid w:val="004A3E83"/>
    <w:rsid w:val="004D3176"/>
    <w:rsid w:val="004D5EE5"/>
    <w:rsid w:val="004D7536"/>
    <w:rsid w:val="004E6B52"/>
    <w:rsid w:val="004F30CF"/>
    <w:rsid w:val="0051339D"/>
    <w:rsid w:val="00516DB3"/>
    <w:rsid w:val="00522615"/>
    <w:rsid w:val="00533EB0"/>
    <w:rsid w:val="0054012F"/>
    <w:rsid w:val="005433D2"/>
    <w:rsid w:val="0054374F"/>
    <w:rsid w:val="005570EF"/>
    <w:rsid w:val="00557499"/>
    <w:rsid w:val="00557F02"/>
    <w:rsid w:val="00564586"/>
    <w:rsid w:val="00564ACE"/>
    <w:rsid w:val="005650E0"/>
    <w:rsid w:val="005678C0"/>
    <w:rsid w:val="00576D3D"/>
    <w:rsid w:val="0058523E"/>
    <w:rsid w:val="00586DF7"/>
    <w:rsid w:val="00592996"/>
    <w:rsid w:val="005A173E"/>
    <w:rsid w:val="005A3B4E"/>
    <w:rsid w:val="005D0F68"/>
    <w:rsid w:val="005E60BE"/>
    <w:rsid w:val="005F212C"/>
    <w:rsid w:val="00602AF0"/>
    <w:rsid w:val="00606508"/>
    <w:rsid w:val="00610E9D"/>
    <w:rsid w:val="00652CD3"/>
    <w:rsid w:val="00653070"/>
    <w:rsid w:val="00654BBB"/>
    <w:rsid w:val="00655904"/>
    <w:rsid w:val="006714B3"/>
    <w:rsid w:val="00671CE9"/>
    <w:rsid w:val="00692A0E"/>
    <w:rsid w:val="00697971"/>
    <w:rsid w:val="006A2006"/>
    <w:rsid w:val="006A67AB"/>
    <w:rsid w:val="006A6B07"/>
    <w:rsid w:val="006C4525"/>
    <w:rsid w:val="006C5B1B"/>
    <w:rsid w:val="006C5D53"/>
    <w:rsid w:val="006E5B24"/>
    <w:rsid w:val="006F6C75"/>
    <w:rsid w:val="007018DB"/>
    <w:rsid w:val="00715F1B"/>
    <w:rsid w:val="00724587"/>
    <w:rsid w:val="00724BF8"/>
    <w:rsid w:val="00740B38"/>
    <w:rsid w:val="007570DD"/>
    <w:rsid w:val="00767DF8"/>
    <w:rsid w:val="00767E2A"/>
    <w:rsid w:val="00772F41"/>
    <w:rsid w:val="00773117"/>
    <w:rsid w:val="007870FB"/>
    <w:rsid w:val="00796690"/>
    <w:rsid w:val="007B7F58"/>
    <w:rsid w:val="007C0FB3"/>
    <w:rsid w:val="007D0113"/>
    <w:rsid w:val="007E2616"/>
    <w:rsid w:val="007E42F4"/>
    <w:rsid w:val="007E6133"/>
    <w:rsid w:val="007E6B6B"/>
    <w:rsid w:val="00806498"/>
    <w:rsid w:val="00807ED4"/>
    <w:rsid w:val="008257D3"/>
    <w:rsid w:val="00825D55"/>
    <w:rsid w:val="00827B29"/>
    <w:rsid w:val="00830B27"/>
    <w:rsid w:val="008617BB"/>
    <w:rsid w:val="00863474"/>
    <w:rsid w:val="00867176"/>
    <w:rsid w:val="00871D68"/>
    <w:rsid w:val="00874485"/>
    <w:rsid w:val="008A05B7"/>
    <w:rsid w:val="008C34F5"/>
    <w:rsid w:val="008C649F"/>
    <w:rsid w:val="008C6AEF"/>
    <w:rsid w:val="008C6BF8"/>
    <w:rsid w:val="008D0769"/>
    <w:rsid w:val="008D482E"/>
    <w:rsid w:val="008D5B3E"/>
    <w:rsid w:val="008F1218"/>
    <w:rsid w:val="008F3D44"/>
    <w:rsid w:val="00900C68"/>
    <w:rsid w:val="00902AB5"/>
    <w:rsid w:val="00910773"/>
    <w:rsid w:val="00914E29"/>
    <w:rsid w:val="0091508C"/>
    <w:rsid w:val="00915329"/>
    <w:rsid w:val="00915493"/>
    <w:rsid w:val="009265CF"/>
    <w:rsid w:val="00926AD2"/>
    <w:rsid w:val="00926CDB"/>
    <w:rsid w:val="00931F4A"/>
    <w:rsid w:val="0095272C"/>
    <w:rsid w:val="00954B35"/>
    <w:rsid w:val="00971B20"/>
    <w:rsid w:val="009778B6"/>
    <w:rsid w:val="00996571"/>
    <w:rsid w:val="0099747D"/>
    <w:rsid w:val="009A0B6B"/>
    <w:rsid w:val="009B12D4"/>
    <w:rsid w:val="009D7106"/>
    <w:rsid w:val="009E6AE5"/>
    <w:rsid w:val="009F0AB5"/>
    <w:rsid w:val="00A02A6F"/>
    <w:rsid w:val="00A16139"/>
    <w:rsid w:val="00A174C0"/>
    <w:rsid w:val="00A26275"/>
    <w:rsid w:val="00A35E18"/>
    <w:rsid w:val="00A477E7"/>
    <w:rsid w:val="00A500E7"/>
    <w:rsid w:val="00A51FA1"/>
    <w:rsid w:val="00A52CCD"/>
    <w:rsid w:val="00A538E0"/>
    <w:rsid w:val="00A553C8"/>
    <w:rsid w:val="00A610DC"/>
    <w:rsid w:val="00A85BCE"/>
    <w:rsid w:val="00AA3FF0"/>
    <w:rsid w:val="00AB26B6"/>
    <w:rsid w:val="00AB35C0"/>
    <w:rsid w:val="00AC148E"/>
    <w:rsid w:val="00AC3DA8"/>
    <w:rsid w:val="00AE2E6E"/>
    <w:rsid w:val="00AF541A"/>
    <w:rsid w:val="00B06AC8"/>
    <w:rsid w:val="00B1185F"/>
    <w:rsid w:val="00B155BC"/>
    <w:rsid w:val="00B3419D"/>
    <w:rsid w:val="00B35511"/>
    <w:rsid w:val="00B44765"/>
    <w:rsid w:val="00B47383"/>
    <w:rsid w:val="00B5297B"/>
    <w:rsid w:val="00B60D24"/>
    <w:rsid w:val="00B6109D"/>
    <w:rsid w:val="00B66A97"/>
    <w:rsid w:val="00B927BD"/>
    <w:rsid w:val="00B9541A"/>
    <w:rsid w:val="00B95989"/>
    <w:rsid w:val="00B969BD"/>
    <w:rsid w:val="00BA51D1"/>
    <w:rsid w:val="00BD1AC3"/>
    <w:rsid w:val="00BD794C"/>
    <w:rsid w:val="00BD7D5F"/>
    <w:rsid w:val="00BE5490"/>
    <w:rsid w:val="00BE5B9A"/>
    <w:rsid w:val="00BF0368"/>
    <w:rsid w:val="00C003B0"/>
    <w:rsid w:val="00C00503"/>
    <w:rsid w:val="00C0436F"/>
    <w:rsid w:val="00C057DD"/>
    <w:rsid w:val="00C10D72"/>
    <w:rsid w:val="00C169C7"/>
    <w:rsid w:val="00C17039"/>
    <w:rsid w:val="00C271A7"/>
    <w:rsid w:val="00C326E0"/>
    <w:rsid w:val="00C368F1"/>
    <w:rsid w:val="00C45C23"/>
    <w:rsid w:val="00C474F2"/>
    <w:rsid w:val="00C6130A"/>
    <w:rsid w:val="00C84A74"/>
    <w:rsid w:val="00CB07BE"/>
    <w:rsid w:val="00CB4E55"/>
    <w:rsid w:val="00CB5058"/>
    <w:rsid w:val="00CC04F4"/>
    <w:rsid w:val="00CC1890"/>
    <w:rsid w:val="00CC2FCA"/>
    <w:rsid w:val="00CC40D3"/>
    <w:rsid w:val="00CE0741"/>
    <w:rsid w:val="00CE1D8D"/>
    <w:rsid w:val="00CF5EE4"/>
    <w:rsid w:val="00D00052"/>
    <w:rsid w:val="00D07ECB"/>
    <w:rsid w:val="00D12F3A"/>
    <w:rsid w:val="00D203A5"/>
    <w:rsid w:val="00D26910"/>
    <w:rsid w:val="00D47B45"/>
    <w:rsid w:val="00D54FD4"/>
    <w:rsid w:val="00D7391A"/>
    <w:rsid w:val="00D743B5"/>
    <w:rsid w:val="00D7549B"/>
    <w:rsid w:val="00D94475"/>
    <w:rsid w:val="00DB7749"/>
    <w:rsid w:val="00DC0248"/>
    <w:rsid w:val="00DC788F"/>
    <w:rsid w:val="00DD0ACE"/>
    <w:rsid w:val="00DD1B62"/>
    <w:rsid w:val="00DE0442"/>
    <w:rsid w:val="00DE214E"/>
    <w:rsid w:val="00DE2E11"/>
    <w:rsid w:val="00DE3FC6"/>
    <w:rsid w:val="00E10093"/>
    <w:rsid w:val="00E1615F"/>
    <w:rsid w:val="00E176C2"/>
    <w:rsid w:val="00E22483"/>
    <w:rsid w:val="00E30E8C"/>
    <w:rsid w:val="00E37A98"/>
    <w:rsid w:val="00E40A35"/>
    <w:rsid w:val="00E473B3"/>
    <w:rsid w:val="00E51327"/>
    <w:rsid w:val="00E52F8E"/>
    <w:rsid w:val="00E743A8"/>
    <w:rsid w:val="00E74BF9"/>
    <w:rsid w:val="00E779CA"/>
    <w:rsid w:val="00E95E35"/>
    <w:rsid w:val="00E95F64"/>
    <w:rsid w:val="00E975A4"/>
    <w:rsid w:val="00EA2433"/>
    <w:rsid w:val="00EA262D"/>
    <w:rsid w:val="00EA6747"/>
    <w:rsid w:val="00EB207E"/>
    <w:rsid w:val="00EE251D"/>
    <w:rsid w:val="00EE79D2"/>
    <w:rsid w:val="00EF5D50"/>
    <w:rsid w:val="00EF7819"/>
    <w:rsid w:val="00F02BA9"/>
    <w:rsid w:val="00F11398"/>
    <w:rsid w:val="00F15B8F"/>
    <w:rsid w:val="00F15F6E"/>
    <w:rsid w:val="00F244E4"/>
    <w:rsid w:val="00F40BD0"/>
    <w:rsid w:val="00F450B0"/>
    <w:rsid w:val="00F65902"/>
    <w:rsid w:val="00F733AD"/>
    <w:rsid w:val="00F765C4"/>
    <w:rsid w:val="00F90825"/>
    <w:rsid w:val="00FB050C"/>
    <w:rsid w:val="00FB3854"/>
    <w:rsid w:val="00FB4733"/>
    <w:rsid w:val="00FD197A"/>
    <w:rsid w:val="00FE3D3A"/>
    <w:rsid w:val="00FE52EC"/>
    <w:rsid w:val="00FE577C"/>
    <w:rsid w:val="00FF19F8"/>
    <w:rsid w:val="00FF2ADE"/>
    <w:rsid w:val="010F3DD5"/>
    <w:rsid w:val="01232ED2"/>
    <w:rsid w:val="01320DD5"/>
    <w:rsid w:val="01855752"/>
    <w:rsid w:val="01A42B97"/>
    <w:rsid w:val="01AD5116"/>
    <w:rsid w:val="01C74429"/>
    <w:rsid w:val="01CB58C2"/>
    <w:rsid w:val="02413C93"/>
    <w:rsid w:val="026E6F9B"/>
    <w:rsid w:val="027E3FF3"/>
    <w:rsid w:val="028A1C8C"/>
    <w:rsid w:val="0290680B"/>
    <w:rsid w:val="029E162E"/>
    <w:rsid w:val="029F53A6"/>
    <w:rsid w:val="02A62291"/>
    <w:rsid w:val="02AA624C"/>
    <w:rsid w:val="02DA38FC"/>
    <w:rsid w:val="03376DB8"/>
    <w:rsid w:val="03724869"/>
    <w:rsid w:val="039C3694"/>
    <w:rsid w:val="04237B2C"/>
    <w:rsid w:val="04903A62"/>
    <w:rsid w:val="04A97A14"/>
    <w:rsid w:val="04AB3B8E"/>
    <w:rsid w:val="04BD3FF8"/>
    <w:rsid w:val="04C64537"/>
    <w:rsid w:val="04C9370B"/>
    <w:rsid w:val="04D20603"/>
    <w:rsid w:val="051931EE"/>
    <w:rsid w:val="05254F53"/>
    <w:rsid w:val="054F6C10"/>
    <w:rsid w:val="056F1060"/>
    <w:rsid w:val="057E5747"/>
    <w:rsid w:val="05DB70B3"/>
    <w:rsid w:val="05E62E3C"/>
    <w:rsid w:val="06087EDE"/>
    <w:rsid w:val="06111837"/>
    <w:rsid w:val="061E54C3"/>
    <w:rsid w:val="0643270C"/>
    <w:rsid w:val="065825A1"/>
    <w:rsid w:val="0673692E"/>
    <w:rsid w:val="0687725F"/>
    <w:rsid w:val="06943B8E"/>
    <w:rsid w:val="06AB4FE9"/>
    <w:rsid w:val="06B807E5"/>
    <w:rsid w:val="06F21536"/>
    <w:rsid w:val="06FD76BB"/>
    <w:rsid w:val="070B4BAD"/>
    <w:rsid w:val="07524795"/>
    <w:rsid w:val="07552FAC"/>
    <w:rsid w:val="077A1F3E"/>
    <w:rsid w:val="07983134"/>
    <w:rsid w:val="07B75B97"/>
    <w:rsid w:val="07E30A6B"/>
    <w:rsid w:val="08055CAB"/>
    <w:rsid w:val="08114650"/>
    <w:rsid w:val="08777DF5"/>
    <w:rsid w:val="088969F0"/>
    <w:rsid w:val="08C01BD2"/>
    <w:rsid w:val="08DB6A0C"/>
    <w:rsid w:val="0905154C"/>
    <w:rsid w:val="093223D0"/>
    <w:rsid w:val="09414AC1"/>
    <w:rsid w:val="097C0ABC"/>
    <w:rsid w:val="09937EC2"/>
    <w:rsid w:val="09A308A8"/>
    <w:rsid w:val="09A34935"/>
    <w:rsid w:val="09C33728"/>
    <w:rsid w:val="09FD729B"/>
    <w:rsid w:val="0A7D53C7"/>
    <w:rsid w:val="0A861CF1"/>
    <w:rsid w:val="0A8B57BD"/>
    <w:rsid w:val="0A9133AF"/>
    <w:rsid w:val="0ACA6D38"/>
    <w:rsid w:val="0ADB7197"/>
    <w:rsid w:val="0AFC15E8"/>
    <w:rsid w:val="0B0009AC"/>
    <w:rsid w:val="0B353D08"/>
    <w:rsid w:val="0B3A7C30"/>
    <w:rsid w:val="0B626F71"/>
    <w:rsid w:val="0B6938D8"/>
    <w:rsid w:val="0B6B051B"/>
    <w:rsid w:val="0B6C7DF0"/>
    <w:rsid w:val="0B7439C2"/>
    <w:rsid w:val="0BA05BC0"/>
    <w:rsid w:val="0BB61201"/>
    <w:rsid w:val="0BB71100"/>
    <w:rsid w:val="0BBA4D6D"/>
    <w:rsid w:val="0C0839F8"/>
    <w:rsid w:val="0C355241"/>
    <w:rsid w:val="0C405504"/>
    <w:rsid w:val="0C430577"/>
    <w:rsid w:val="0C4A393C"/>
    <w:rsid w:val="0C4F5747"/>
    <w:rsid w:val="0C7B02EA"/>
    <w:rsid w:val="0C97452E"/>
    <w:rsid w:val="0D500BC0"/>
    <w:rsid w:val="0D571CDC"/>
    <w:rsid w:val="0D7305E2"/>
    <w:rsid w:val="0D75071D"/>
    <w:rsid w:val="0DBF68FD"/>
    <w:rsid w:val="0DC00CF9"/>
    <w:rsid w:val="0DC479DA"/>
    <w:rsid w:val="0DD63885"/>
    <w:rsid w:val="0E2D3866"/>
    <w:rsid w:val="0E484A57"/>
    <w:rsid w:val="0E884F40"/>
    <w:rsid w:val="0ECF200F"/>
    <w:rsid w:val="0F134679"/>
    <w:rsid w:val="0F710184"/>
    <w:rsid w:val="0F854E17"/>
    <w:rsid w:val="0F8B485B"/>
    <w:rsid w:val="0FC93A62"/>
    <w:rsid w:val="0FD240A2"/>
    <w:rsid w:val="0FDE7975"/>
    <w:rsid w:val="1008205A"/>
    <w:rsid w:val="101B55A1"/>
    <w:rsid w:val="103E5ECA"/>
    <w:rsid w:val="10484987"/>
    <w:rsid w:val="10534A8F"/>
    <w:rsid w:val="10C5095D"/>
    <w:rsid w:val="10D51E44"/>
    <w:rsid w:val="10F2012E"/>
    <w:rsid w:val="11041F12"/>
    <w:rsid w:val="118E286E"/>
    <w:rsid w:val="119165F3"/>
    <w:rsid w:val="11AD306F"/>
    <w:rsid w:val="11BD25D7"/>
    <w:rsid w:val="11E22BBA"/>
    <w:rsid w:val="11F1099F"/>
    <w:rsid w:val="120A4F43"/>
    <w:rsid w:val="12463148"/>
    <w:rsid w:val="1290393B"/>
    <w:rsid w:val="134A6C68"/>
    <w:rsid w:val="136A7FCD"/>
    <w:rsid w:val="136D4DA5"/>
    <w:rsid w:val="13A04ADA"/>
    <w:rsid w:val="13AA7BA7"/>
    <w:rsid w:val="13DF7F59"/>
    <w:rsid w:val="13FD404E"/>
    <w:rsid w:val="142F4DF3"/>
    <w:rsid w:val="14551D69"/>
    <w:rsid w:val="14587163"/>
    <w:rsid w:val="1499542D"/>
    <w:rsid w:val="14C80F51"/>
    <w:rsid w:val="14D577DF"/>
    <w:rsid w:val="14F976E1"/>
    <w:rsid w:val="15595889"/>
    <w:rsid w:val="15DE4303"/>
    <w:rsid w:val="16006DC6"/>
    <w:rsid w:val="167A66EE"/>
    <w:rsid w:val="16832BBD"/>
    <w:rsid w:val="169A2DE9"/>
    <w:rsid w:val="16B30EFD"/>
    <w:rsid w:val="16B56C68"/>
    <w:rsid w:val="16CB7CD9"/>
    <w:rsid w:val="173B6FF4"/>
    <w:rsid w:val="174E5642"/>
    <w:rsid w:val="17654071"/>
    <w:rsid w:val="1789106A"/>
    <w:rsid w:val="17B31280"/>
    <w:rsid w:val="17BA1479"/>
    <w:rsid w:val="17E62DDE"/>
    <w:rsid w:val="187A7FF0"/>
    <w:rsid w:val="189015C1"/>
    <w:rsid w:val="18A947DA"/>
    <w:rsid w:val="18C63A15"/>
    <w:rsid w:val="191E3F2F"/>
    <w:rsid w:val="193E1025"/>
    <w:rsid w:val="194859F8"/>
    <w:rsid w:val="195B7EBF"/>
    <w:rsid w:val="19962C07"/>
    <w:rsid w:val="199D3F96"/>
    <w:rsid w:val="19AB0CF0"/>
    <w:rsid w:val="19D9583C"/>
    <w:rsid w:val="19E03E83"/>
    <w:rsid w:val="19E641F7"/>
    <w:rsid w:val="1A3B37AF"/>
    <w:rsid w:val="1A475CB0"/>
    <w:rsid w:val="1A8E123B"/>
    <w:rsid w:val="1AC04C8E"/>
    <w:rsid w:val="1B0D5487"/>
    <w:rsid w:val="1B0E4A1F"/>
    <w:rsid w:val="1B1275B9"/>
    <w:rsid w:val="1B1738D4"/>
    <w:rsid w:val="1B586C8A"/>
    <w:rsid w:val="1B8A23A3"/>
    <w:rsid w:val="1B946945"/>
    <w:rsid w:val="1C162CDC"/>
    <w:rsid w:val="1C164ECA"/>
    <w:rsid w:val="1C1D0630"/>
    <w:rsid w:val="1C236A03"/>
    <w:rsid w:val="1C2F2E9F"/>
    <w:rsid w:val="1C4F709D"/>
    <w:rsid w:val="1C694603"/>
    <w:rsid w:val="1C7731D5"/>
    <w:rsid w:val="1C903B2E"/>
    <w:rsid w:val="1CA42C54"/>
    <w:rsid w:val="1CBB2985"/>
    <w:rsid w:val="1CBC2AB7"/>
    <w:rsid w:val="1CE7319D"/>
    <w:rsid w:val="1D102CD1"/>
    <w:rsid w:val="1D4C5EBB"/>
    <w:rsid w:val="1D6B7711"/>
    <w:rsid w:val="1D7414B2"/>
    <w:rsid w:val="1D8027D0"/>
    <w:rsid w:val="1D864D41"/>
    <w:rsid w:val="1D937791"/>
    <w:rsid w:val="1D9C27B6"/>
    <w:rsid w:val="1DC72423"/>
    <w:rsid w:val="1DCA21E4"/>
    <w:rsid w:val="1DD00BEB"/>
    <w:rsid w:val="1DE33F41"/>
    <w:rsid w:val="1E133A8C"/>
    <w:rsid w:val="1E205195"/>
    <w:rsid w:val="1E4638FF"/>
    <w:rsid w:val="1E684E22"/>
    <w:rsid w:val="1E8307FC"/>
    <w:rsid w:val="1E8F7E4C"/>
    <w:rsid w:val="1EB00BF8"/>
    <w:rsid w:val="1EB458DE"/>
    <w:rsid w:val="1EB65108"/>
    <w:rsid w:val="1F32168E"/>
    <w:rsid w:val="1F6211D2"/>
    <w:rsid w:val="1F63153F"/>
    <w:rsid w:val="1F813CF1"/>
    <w:rsid w:val="1F8A5DA8"/>
    <w:rsid w:val="1FA728FC"/>
    <w:rsid w:val="1FE92DC5"/>
    <w:rsid w:val="2003486A"/>
    <w:rsid w:val="20054643"/>
    <w:rsid w:val="20433C66"/>
    <w:rsid w:val="205904EB"/>
    <w:rsid w:val="211A4903"/>
    <w:rsid w:val="212E3725"/>
    <w:rsid w:val="217A2E0F"/>
    <w:rsid w:val="21835AB5"/>
    <w:rsid w:val="21CB5D06"/>
    <w:rsid w:val="21D548FE"/>
    <w:rsid w:val="21D7200F"/>
    <w:rsid w:val="2230171F"/>
    <w:rsid w:val="22326B9B"/>
    <w:rsid w:val="224650EC"/>
    <w:rsid w:val="224832FB"/>
    <w:rsid w:val="22696B5B"/>
    <w:rsid w:val="22714212"/>
    <w:rsid w:val="2282272E"/>
    <w:rsid w:val="22837AA1"/>
    <w:rsid w:val="22A31981"/>
    <w:rsid w:val="22D351CD"/>
    <w:rsid w:val="22FF3DB9"/>
    <w:rsid w:val="231F5A1C"/>
    <w:rsid w:val="23952182"/>
    <w:rsid w:val="23985936"/>
    <w:rsid w:val="23B46DB3"/>
    <w:rsid w:val="23C6781F"/>
    <w:rsid w:val="23FD19CC"/>
    <w:rsid w:val="24397269"/>
    <w:rsid w:val="249372CB"/>
    <w:rsid w:val="24BE1264"/>
    <w:rsid w:val="24D17434"/>
    <w:rsid w:val="24D52712"/>
    <w:rsid w:val="24E63F68"/>
    <w:rsid w:val="24E85CE7"/>
    <w:rsid w:val="24F75153"/>
    <w:rsid w:val="252E0198"/>
    <w:rsid w:val="253B0B07"/>
    <w:rsid w:val="25577BE9"/>
    <w:rsid w:val="25965427"/>
    <w:rsid w:val="25C54399"/>
    <w:rsid w:val="25C644DC"/>
    <w:rsid w:val="26014AE7"/>
    <w:rsid w:val="26154A86"/>
    <w:rsid w:val="26C0551B"/>
    <w:rsid w:val="26D052F6"/>
    <w:rsid w:val="26E66850"/>
    <w:rsid w:val="26F6769D"/>
    <w:rsid w:val="270218C6"/>
    <w:rsid w:val="270F69A1"/>
    <w:rsid w:val="27196C26"/>
    <w:rsid w:val="27766813"/>
    <w:rsid w:val="27AA02DA"/>
    <w:rsid w:val="282E45BA"/>
    <w:rsid w:val="287C49FB"/>
    <w:rsid w:val="289742A6"/>
    <w:rsid w:val="28AA222B"/>
    <w:rsid w:val="28BF56E5"/>
    <w:rsid w:val="291335A0"/>
    <w:rsid w:val="29372896"/>
    <w:rsid w:val="299E4684"/>
    <w:rsid w:val="29A5570A"/>
    <w:rsid w:val="29AA1DB7"/>
    <w:rsid w:val="29D36FF8"/>
    <w:rsid w:val="2A497CBC"/>
    <w:rsid w:val="2A950493"/>
    <w:rsid w:val="2A9F38E6"/>
    <w:rsid w:val="2AA16B2A"/>
    <w:rsid w:val="2AA35184"/>
    <w:rsid w:val="2AAC6A3D"/>
    <w:rsid w:val="2ACF773B"/>
    <w:rsid w:val="2ADC0C15"/>
    <w:rsid w:val="2AE97677"/>
    <w:rsid w:val="2B0B15B0"/>
    <w:rsid w:val="2B3A6999"/>
    <w:rsid w:val="2B472D4F"/>
    <w:rsid w:val="2B600C3B"/>
    <w:rsid w:val="2B830B12"/>
    <w:rsid w:val="2B874864"/>
    <w:rsid w:val="2B9E76FA"/>
    <w:rsid w:val="2BBD04C8"/>
    <w:rsid w:val="2BDB6BA0"/>
    <w:rsid w:val="2BE23A8A"/>
    <w:rsid w:val="2BF33696"/>
    <w:rsid w:val="2C1016F4"/>
    <w:rsid w:val="2C246EED"/>
    <w:rsid w:val="2C2633A1"/>
    <w:rsid w:val="2C347EA8"/>
    <w:rsid w:val="2C4627F2"/>
    <w:rsid w:val="2C615151"/>
    <w:rsid w:val="2C7C0010"/>
    <w:rsid w:val="2CC3523C"/>
    <w:rsid w:val="2CC57265"/>
    <w:rsid w:val="2CC91616"/>
    <w:rsid w:val="2CE35D24"/>
    <w:rsid w:val="2CE518FD"/>
    <w:rsid w:val="2D2F7431"/>
    <w:rsid w:val="2D8139B0"/>
    <w:rsid w:val="2DE17EC7"/>
    <w:rsid w:val="2E8F577D"/>
    <w:rsid w:val="2EC1207D"/>
    <w:rsid w:val="2EC76F67"/>
    <w:rsid w:val="2F324D29"/>
    <w:rsid w:val="2F8F33C5"/>
    <w:rsid w:val="2F9057D4"/>
    <w:rsid w:val="2FD13178"/>
    <w:rsid w:val="2FF11DD5"/>
    <w:rsid w:val="302D729E"/>
    <w:rsid w:val="303C238C"/>
    <w:rsid w:val="306252E1"/>
    <w:rsid w:val="308B2942"/>
    <w:rsid w:val="30977539"/>
    <w:rsid w:val="31A94281"/>
    <w:rsid w:val="31B203EA"/>
    <w:rsid w:val="32052DBD"/>
    <w:rsid w:val="322C5A5F"/>
    <w:rsid w:val="32634B78"/>
    <w:rsid w:val="32891BAC"/>
    <w:rsid w:val="32BB2494"/>
    <w:rsid w:val="32EF5DED"/>
    <w:rsid w:val="33354DE7"/>
    <w:rsid w:val="334926DB"/>
    <w:rsid w:val="3393097F"/>
    <w:rsid w:val="33F743A3"/>
    <w:rsid w:val="34160775"/>
    <w:rsid w:val="34786C02"/>
    <w:rsid w:val="347926F3"/>
    <w:rsid w:val="34C94E4D"/>
    <w:rsid w:val="34EB2E85"/>
    <w:rsid w:val="357A3236"/>
    <w:rsid w:val="359202CF"/>
    <w:rsid w:val="35AF70D3"/>
    <w:rsid w:val="35D04FA4"/>
    <w:rsid w:val="365F6841"/>
    <w:rsid w:val="36811BDB"/>
    <w:rsid w:val="36C941C4"/>
    <w:rsid w:val="36EE2207"/>
    <w:rsid w:val="373D24BC"/>
    <w:rsid w:val="37544362"/>
    <w:rsid w:val="37667C65"/>
    <w:rsid w:val="377E6681"/>
    <w:rsid w:val="37D746BF"/>
    <w:rsid w:val="37D749A6"/>
    <w:rsid w:val="380C65E7"/>
    <w:rsid w:val="386F2FDB"/>
    <w:rsid w:val="38B96264"/>
    <w:rsid w:val="390037A2"/>
    <w:rsid w:val="3911703D"/>
    <w:rsid w:val="39134161"/>
    <w:rsid w:val="391E507C"/>
    <w:rsid w:val="392C1632"/>
    <w:rsid w:val="393E3A47"/>
    <w:rsid w:val="396B1563"/>
    <w:rsid w:val="3981351B"/>
    <w:rsid w:val="39921318"/>
    <w:rsid w:val="399972E4"/>
    <w:rsid w:val="39A804AC"/>
    <w:rsid w:val="39AC6B4D"/>
    <w:rsid w:val="39D569DC"/>
    <w:rsid w:val="39D748A3"/>
    <w:rsid w:val="39E135D3"/>
    <w:rsid w:val="3A511CA7"/>
    <w:rsid w:val="3A6B10EF"/>
    <w:rsid w:val="3A70413F"/>
    <w:rsid w:val="3A830F6C"/>
    <w:rsid w:val="3A8F302F"/>
    <w:rsid w:val="3AC92EB0"/>
    <w:rsid w:val="3B2562FC"/>
    <w:rsid w:val="3B4C7172"/>
    <w:rsid w:val="3BB04A84"/>
    <w:rsid w:val="3BC01FB5"/>
    <w:rsid w:val="3BCB4B07"/>
    <w:rsid w:val="3BCE6DE3"/>
    <w:rsid w:val="3BF0061C"/>
    <w:rsid w:val="3BFB7A0F"/>
    <w:rsid w:val="3C566B00"/>
    <w:rsid w:val="3C623D88"/>
    <w:rsid w:val="3C6A3835"/>
    <w:rsid w:val="3C6C3297"/>
    <w:rsid w:val="3C990195"/>
    <w:rsid w:val="3CC33464"/>
    <w:rsid w:val="3CC80A7A"/>
    <w:rsid w:val="3CD92C87"/>
    <w:rsid w:val="3D2C012D"/>
    <w:rsid w:val="3D3E2AEA"/>
    <w:rsid w:val="3D760AE1"/>
    <w:rsid w:val="3D7E1D00"/>
    <w:rsid w:val="3D9848F1"/>
    <w:rsid w:val="3DB35286"/>
    <w:rsid w:val="3DD671C7"/>
    <w:rsid w:val="3DFB2940"/>
    <w:rsid w:val="3E1279E1"/>
    <w:rsid w:val="3E3A7756"/>
    <w:rsid w:val="3EC83D6D"/>
    <w:rsid w:val="3ED94F55"/>
    <w:rsid w:val="3EF75057"/>
    <w:rsid w:val="3F0006E1"/>
    <w:rsid w:val="3F0652A2"/>
    <w:rsid w:val="3F221C11"/>
    <w:rsid w:val="3F314B61"/>
    <w:rsid w:val="3F760237"/>
    <w:rsid w:val="3F892328"/>
    <w:rsid w:val="40135628"/>
    <w:rsid w:val="402406BD"/>
    <w:rsid w:val="40362758"/>
    <w:rsid w:val="40866112"/>
    <w:rsid w:val="40917109"/>
    <w:rsid w:val="409A63CA"/>
    <w:rsid w:val="40E53DD8"/>
    <w:rsid w:val="41036F98"/>
    <w:rsid w:val="41313092"/>
    <w:rsid w:val="414C5861"/>
    <w:rsid w:val="41635215"/>
    <w:rsid w:val="41B87D17"/>
    <w:rsid w:val="41E12488"/>
    <w:rsid w:val="41FB71FC"/>
    <w:rsid w:val="421C7DBB"/>
    <w:rsid w:val="424566C9"/>
    <w:rsid w:val="425950DD"/>
    <w:rsid w:val="427D5126"/>
    <w:rsid w:val="42E023B9"/>
    <w:rsid w:val="42E4226B"/>
    <w:rsid w:val="430B7913"/>
    <w:rsid w:val="434846C3"/>
    <w:rsid w:val="435A0E6C"/>
    <w:rsid w:val="436320BD"/>
    <w:rsid w:val="43A26737"/>
    <w:rsid w:val="43B07852"/>
    <w:rsid w:val="43B41C41"/>
    <w:rsid w:val="43CB4BD1"/>
    <w:rsid w:val="43CF0940"/>
    <w:rsid w:val="440B79EF"/>
    <w:rsid w:val="442A5BD9"/>
    <w:rsid w:val="444E5D09"/>
    <w:rsid w:val="445D2057"/>
    <w:rsid w:val="44635FD1"/>
    <w:rsid w:val="4491488D"/>
    <w:rsid w:val="44E4666D"/>
    <w:rsid w:val="44E97CDC"/>
    <w:rsid w:val="44F87A23"/>
    <w:rsid w:val="45356EC9"/>
    <w:rsid w:val="4537679D"/>
    <w:rsid w:val="455C2CEE"/>
    <w:rsid w:val="458B6AE9"/>
    <w:rsid w:val="45A63E41"/>
    <w:rsid w:val="45A717EA"/>
    <w:rsid w:val="45A95112"/>
    <w:rsid w:val="45C94C84"/>
    <w:rsid w:val="45E13DF3"/>
    <w:rsid w:val="46646A2F"/>
    <w:rsid w:val="46A03780"/>
    <w:rsid w:val="47335CBB"/>
    <w:rsid w:val="474F25F1"/>
    <w:rsid w:val="47613FA5"/>
    <w:rsid w:val="477A6E15"/>
    <w:rsid w:val="47A125F4"/>
    <w:rsid w:val="47E50732"/>
    <w:rsid w:val="47EF335F"/>
    <w:rsid w:val="47F932EE"/>
    <w:rsid w:val="48366C20"/>
    <w:rsid w:val="48491D65"/>
    <w:rsid w:val="48F86B09"/>
    <w:rsid w:val="4916491B"/>
    <w:rsid w:val="49184C88"/>
    <w:rsid w:val="49256CE8"/>
    <w:rsid w:val="495913D8"/>
    <w:rsid w:val="49B74350"/>
    <w:rsid w:val="49CE1716"/>
    <w:rsid w:val="4A0A26D2"/>
    <w:rsid w:val="4A0D23DC"/>
    <w:rsid w:val="4A2445C6"/>
    <w:rsid w:val="4A38737D"/>
    <w:rsid w:val="4A5C4AA9"/>
    <w:rsid w:val="4A894D04"/>
    <w:rsid w:val="4A991232"/>
    <w:rsid w:val="4A9A7119"/>
    <w:rsid w:val="4A9E0CBD"/>
    <w:rsid w:val="4AAF6A1F"/>
    <w:rsid w:val="4AD30D16"/>
    <w:rsid w:val="4AE7656F"/>
    <w:rsid w:val="4AF40C8C"/>
    <w:rsid w:val="4B21658C"/>
    <w:rsid w:val="4B472F9A"/>
    <w:rsid w:val="4B725159"/>
    <w:rsid w:val="4BC069D4"/>
    <w:rsid w:val="4BD31B47"/>
    <w:rsid w:val="4C0440CE"/>
    <w:rsid w:val="4C176DA8"/>
    <w:rsid w:val="4C272BB3"/>
    <w:rsid w:val="4C2C582F"/>
    <w:rsid w:val="4C337B43"/>
    <w:rsid w:val="4C79659F"/>
    <w:rsid w:val="4CA95865"/>
    <w:rsid w:val="4D2C6166"/>
    <w:rsid w:val="4D7159A8"/>
    <w:rsid w:val="4D7F0CE1"/>
    <w:rsid w:val="4D8A3570"/>
    <w:rsid w:val="4D967D9A"/>
    <w:rsid w:val="4DC66910"/>
    <w:rsid w:val="4E1458CD"/>
    <w:rsid w:val="4E1B2372"/>
    <w:rsid w:val="4E246231"/>
    <w:rsid w:val="4EC63D8E"/>
    <w:rsid w:val="4ECA5830"/>
    <w:rsid w:val="4ECC7F56"/>
    <w:rsid w:val="4ED817CF"/>
    <w:rsid w:val="4EDF611A"/>
    <w:rsid w:val="4F26764E"/>
    <w:rsid w:val="4F381A8F"/>
    <w:rsid w:val="4F652159"/>
    <w:rsid w:val="4F6713FC"/>
    <w:rsid w:val="4F697E9B"/>
    <w:rsid w:val="4F7B2444"/>
    <w:rsid w:val="4F7E4024"/>
    <w:rsid w:val="4FC450D1"/>
    <w:rsid w:val="4FD55530"/>
    <w:rsid w:val="50916A5B"/>
    <w:rsid w:val="5095081C"/>
    <w:rsid w:val="50962F12"/>
    <w:rsid w:val="50A05B3E"/>
    <w:rsid w:val="50A75D18"/>
    <w:rsid w:val="50AD3DB7"/>
    <w:rsid w:val="511541CB"/>
    <w:rsid w:val="51164A46"/>
    <w:rsid w:val="51340035"/>
    <w:rsid w:val="513E0EB3"/>
    <w:rsid w:val="518267FF"/>
    <w:rsid w:val="51923747"/>
    <w:rsid w:val="51B55619"/>
    <w:rsid w:val="51BA0C5F"/>
    <w:rsid w:val="52632A25"/>
    <w:rsid w:val="526C72E4"/>
    <w:rsid w:val="52904DEF"/>
    <w:rsid w:val="529E42FF"/>
    <w:rsid w:val="52A473FE"/>
    <w:rsid w:val="52A66D10"/>
    <w:rsid w:val="52AF3DBD"/>
    <w:rsid w:val="52B70F1D"/>
    <w:rsid w:val="52DD35A8"/>
    <w:rsid w:val="53487DC7"/>
    <w:rsid w:val="534E68A6"/>
    <w:rsid w:val="534E7AD3"/>
    <w:rsid w:val="53663062"/>
    <w:rsid w:val="536B70CD"/>
    <w:rsid w:val="53BF77E5"/>
    <w:rsid w:val="53D224B3"/>
    <w:rsid w:val="53D855EF"/>
    <w:rsid w:val="53E25F9F"/>
    <w:rsid w:val="54204352"/>
    <w:rsid w:val="54414F42"/>
    <w:rsid w:val="54427C73"/>
    <w:rsid w:val="545024A8"/>
    <w:rsid w:val="54596122"/>
    <w:rsid w:val="5462545B"/>
    <w:rsid w:val="549E7BE5"/>
    <w:rsid w:val="55097753"/>
    <w:rsid w:val="551408A9"/>
    <w:rsid w:val="557A3CDC"/>
    <w:rsid w:val="5594095E"/>
    <w:rsid w:val="56176818"/>
    <w:rsid w:val="5626557A"/>
    <w:rsid w:val="56382375"/>
    <w:rsid w:val="56733CE8"/>
    <w:rsid w:val="56E30533"/>
    <w:rsid w:val="56F97D56"/>
    <w:rsid w:val="56FD66F7"/>
    <w:rsid w:val="57727B09"/>
    <w:rsid w:val="57783371"/>
    <w:rsid w:val="57A8129B"/>
    <w:rsid w:val="57AC4DC9"/>
    <w:rsid w:val="57AD617D"/>
    <w:rsid w:val="57C9597B"/>
    <w:rsid w:val="57E207EA"/>
    <w:rsid w:val="57FB0171"/>
    <w:rsid w:val="583C1E47"/>
    <w:rsid w:val="5889335C"/>
    <w:rsid w:val="58906498"/>
    <w:rsid w:val="58975A79"/>
    <w:rsid w:val="590B5B1F"/>
    <w:rsid w:val="592F5CB1"/>
    <w:rsid w:val="593A2BE3"/>
    <w:rsid w:val="594A2DAF"/>
    <w:rsid w:val="59584EE9"/>
    <w:rsid w:val="59600F92"/>
    <w:rsid w:val="596D0588"/>
    <w:rsid w:val="59D8398E"/>
    <w:rsid w:val="59E36A9C"/>
    <w:rsid w:val="59EA1BD8"/>
    <w:rsid w:val="59EC76FE"/>
    <w:rsid w:val="59F4031D"/>
    <w:rsid w:val="59FD656A"/>
    <w:rsid w:val="5A06468E"/>
    <w:rsid w:val="5A2F1CE1"/>
    <w:rsid w:val="5A357377"/>
    <w:rsid w:val="5A562FEF"/>
    <w:rsid w:val="5A715E56"/>
    <w:rsid w:val="5A88446E"/>
    <w:rsid w:val="5AB92B90"/>
    <w:rsid w:val="5AFF2821"/>
    <w:rsid w:val="5B5D0D1E"/>
    <w:rsid w:val="5B6E2B54"/>
    <w:rsid w:val="5B8B661D"/>
    <w:rsid w:val="5BE30FD5"/>
    <w:rsid w:val="5BED1419"/>
    <w:rsid w:val="5C313AEE"/>
    <w:rsid w:val="5C563555"/>
    <w:rsid w:val="5C617C56"/>
    <w:rsid w:val="5C7D6786"/>
    <w:rsid w:val="5D072AA1"/>
    <w:rsid w:val="5D4B5084"/>
    <w:rsid w:val="5D6B4F29"/>
    <w:rsid w:val="5DC32AEF"/>
    <w:rsid w:val="5DD77F48"/>
    <w:rsid w:val="5E680928"/>
    <w:rsid w:val="5EB05CD7"/>
    <w:rsid w:val="5F17346F"/>
    <w:rsid w:val="5F421D82"/>
    <w:rsid w:val="5F6237B3"/>
    <w:rsid w:val="5F6441DB"/>
    <w:rsid w:val="60080EE7"/>
    <w:rsid w:val="60235E44"/>
    <w:rsid w:val="609208D8"/>
    <w:rsid w:val="60983D92"/>
    <w:rsid w:val="60C07B37"/>
    <w:rsid w:val="613E24C6"/>
    <w:rsid w:val="614B045A"/>
    <w:rsid w:val="615670CF"/>
    <w:rsid w:val="618B5004"/>
    <w:rsid w:val="61970500"/>
    <w:rsid w:val="61B825BC"/>
    <w:rsid w:val="61B9080E"/>
    <w:rsid w:val="61C251E9"/>
    <w:rsid w:val="61C5024A"/>
    <w:rsid w:val="61EF083D"/>
    <w:rsid w:val="62220BE4"/>
    <w:rsid w:val="62330EBD"/>
    <w:rsid w:val="62DA238D"/>
    <w:rsid w:val="62FD0CEB"/>
    <w:rsid w:val="63057A83"/>
    <w:rsid w:val="6343533F"/>
    <w:rsid w:val="635D341B"/>
    <w:rsid w:val="636E721D"/>
    <w:rsid w:val="63B215FF"/>
    <w:rsid w:val="63CE0225"/>
    <w:rsid w:val="63F778CD"/>
    <w:rsid w:val="64130AF2"/>
    <w:rsid w:val="643C430D"/>
    <w:rsid w:val="64447C4B"/>
    <w:rsid w:val="6445282D"/>
    <w:rsid w:val="64681492"/>
    <w:rsid w:val="64763432"/>
    <w:rsid w:val="64C80D68"/>
    <w:rsid w:val="64CA12C2"/>
    <w:rsid w:val="64F8164D"/>
    <w:rsid w:val="65022B35"/>
    <w:rsid w:val="652C4ED4"/>
    <w:rsid w:val="65314B5F"/>
    <w:rsid w:val="65487730"/>
    <w:rsid w:val="654D7113"/>
    <w:rsid w:val="659D3FA3"/>
    <w:rsid w:val="65DF2C20"/>
    <w:rsid w:val="66132DDA"/>
    <w:rsid w:val="66272F36"/>
    <w:rsid w:val="66B214DE"/>
    <w:rsid w:val="66C043ED"/>
    <w:rsid w:val="66F03B9D"/>
    <w:rsid w:val="6738511A"/>
    <w:rsid w:val="676B3A19"/>
    <w:rsid w:val="67811876"/>
    <w:rsid w:val="679130CF"/>
    <w:rsid w:val="67F03D35"/>
    <w:rsid w:val="68107DE2"/>
    <w:rsid w:val="68230493"/>
    <w:rsid w:val="68262975"/>
    <w:rsid w:val="686D5EAE"/>
    <w:rsid w:val="688D5C4E"/>
    <w:rsid w:val="68907DEF"/>
    <w:rsid w:val="68F14D31"/>
    <w:rsid w:val="690305C1"/>
    <w:rsid w:val="690E6917"/>
    <w:rsid w:val="69274C15"/>
    <w:rsid w:val="693448B7"/>
    <w:rsid w:val="69344C1E"/>
    <w:rsid w:val="696E1978"/>
    <w:rsid w:val="697D4400"/>
    <w:rsid w:val="69842CB6"/>
    <w:rsid w:val="69A040D3"/>
    <w:rsid w:val="69E03D55"/>
    <w:rsid w:val="69E73456"/>
    <w:rsid w:val="6A5256FE"/>
    <w:rsid w:val="6A885221"/>
    <w:rsid w:val="6AAE68FC"/>
    <w:rsid w:val="6AB647C4"/>
    <w:rsid w:val="6B205CF8"/>
    <w:rsid w:val="6B3E67B4"/>
    <w:rsid w:val="6BF31214"/>
    <w:rsid w:val="6C0F60A4"/>
    <w:rsid w:val="6C1A06BB"/>
    <w:rsid w:val="6C933351"/>
    <w:rsid w:val="6C987344"/>
    <w:rsid w:val="6D602485"/>
    <w:rsid w:val="6D604192"/>
    <w:rsid w:val="6D6B024C"/>
    <w:rsid w:val="6EB324D9"/>
    <w:rsid w:val="6EE76183"/>
    <w:rsid w:val="6F2474E3"/>
    <w:rsid w:val="6F255DD2"/>
    <w:rsid w:val="6F3620D6"/>
    <w:rsid w:val="6F934EEE"/>
    <w:rsid w:val="6FF4021A"/>
    <w:rsid w:val="7026309C"/>
    <w:rsid w:val="704F470C"/>
    <w:rsid w:val="706A7177"/>
    <w:rsid w:val="708E730A"/>
    <w:rsid w:val="70A00DEB"/>
    <w:rsid w:val="70BC1BFE"/>
    <w:rsid w:val="70D00C81"/>
    <w:rsid w:val="71096233"/>
    <w:rsid w:val="711463AD"/>
    <w:rsid w:val="71AA3D8D"/>
    <w:rsid w:val="71F57420"/>
    <w:rsid w:val="71FC4BC8"/>
    <w:rsid w:val="71FD4747"/>
    <w:rsid w:val="72477770"/>
    <w:rsid w:val="72734A09"/>
    <w:rsid w:val="72850298"/>
    <w:rsid w:val="729A632F"/>
    <w:rsid w:val="72C33676"/>
    <w:rsid w:val="72E871A5"/>
    <w:rsid w:val="72E96A79"/>
    <w:rsid w:val="72ED6825"/>
    <w:rsid w:val="72F64878"/>
    <w:rsid w:val="73143B1F"/>
    <w:rsid w:val="7355410F"/>
    <w:rsid w:val="7361694D"/>
    <w:rsid w:val="73772E48"/>
    <w:rsid w:val="73792049"/>
    <w:rsid w:val="738C2F55"/>
    <w:rsid w:val="73B04B84"/>
    <w:rsid w:val="73F05E9F"/>
    <w:rsid w:val="740956FC"/>
    <w:rsid w:val="74377094"/>
    <w:rsid w:val="749B1FF5"/>
    <w:rsid w:val="74B66A46"/>
    <w:rsid w:val="74C37BC5"/>
    <w:rsid w:val="74FA7255"/>
    <w:rsid w:val="754040CB"/>
    <w:rsid w:val="754E0E15"/>
    <w:rsid w:val="75792336"/>
    <w:rsid w:val="75A82C1C"/>
    <w:rsid w:val="75BA7EA9"/>
    <w:rsid w:val="75C45313"/>
    <w:rsid w:val="75C630A2"/>
    <w:rsid w:val="76115319"/>
    <w:rsid w:val="761248D7"/>
    <w:rsid w:val="761E4C8C"/>
    <w:rsid w:val="762A4966"/>
    <w:rsid w:val="76373F9F"/>
    <w:rsid w:val="763F0D0C"/>
    <w:rsid w:val="764A459F"/>
    <w:rsid w:val="765C7ADA"/>
    <w:rsid w:val="76646797"/>
    <w:rsid w:val="76710D24"/>
    <w:rsid w:val="76B811E3"/>
    <w:rsid w:val="76D67314"/>
    <w:rsid w:val="76D907CB"/>
    <w:rsid w:val="76E3003A"/>
    <w:rsid w:val="76F8088F"/>
    <w:rsid w:val="773F4EBA"/>
    <w:rsid w:val="77401A5E"/>
    <w:rsid w:val="77444D05"/>
    <w:rsid w:val="775724F2"/>
    <w:rsid w:val="778B7EF0"/>
    <w:rsid w:val="779E6D1D"/>
    <w:rsid w:val="77A47413"/>
    <w:rsid w:val="77D47690"/>
    <w:rsid w:val="78026AC7"/>
    <w:rsid w:val="780D4FB8"/>
    <w:rsid w:val="78436C2C"/>
    <w:rsid w:val="78462278"/>
    <w:rsid w:val="788B039C"/>
    <w:rsid w:val="78A4019A"/>
    <w:rsid w:val="78A85A75"/>
    <w:rsid w:val="78C14E71"/>
    <w:rsid w:val="78D25D6B"/>
    <w:rsid w:val="78F41425"/>
    <w:rsid w:val="79142376"/>
    <w:rsid w:val="79517126"/>
    <w:rsid w:val="795F1383"/>
    <w:rsid w:val="796C4DDB"/>
    <w:rsid w:val="798415CC"/>
    <w:rsid w:val="7A5731A8"/>
    <w:rsid w:val="7A8B7AC7"/>
    <w:rsid w:val="7AB1209C"/>
    <w:rsid w:val="7AD23D36"/>
    <w:rsid w:val="7AD86AF4"/>
    <w:rsid w:val="7AF10BC1"/>
    <w:rsid w:val="7B096151"/>
    <w:rsid w:val="7B1228E5"/>
    <w:rsid w:val="7B263453"/>
    <w:rsid w:val="7B313F78"/>
    <w:rsid w:val="7B3B008E"/>
    <w:rsid w:val="7B4D4229"/>
    <w:rsid w:val="7B707D38"/>
    <w:rsid w:val="7B94598A"/>
    <w:rsid w:val="7C23124E"/>
    <w:rsid w:val="7C2428D0"/>
    <w:rsid w:val="7C5E2AD9"/>
    <w:rsid w:val="7C6119FD"/>
    <w:rsid w:val="7C681310"/>
    <w:rsid w:val="7CAA1027"/>
    <w:rsid w:val="7CDF2797"/>
    <w:rsid w:val="7CE45754"/>
    <w:rsid w:val="7D171D18"/>
    <w:rsid w:val="7D3D00ED"/>
    <w:rsid w:val="7D7C08D7"/>
    <w:rsid w:val="7DA168CE"/>
    <w:rsid w:val="7DB54EBB"/>
    <w:rsid w:val="7DB82563"/>
    <w:rsid w:val="7DBF4391"/>
    <w:rsid w:val="7E7423D7"/>
    <w:rsid w:val="7E8273B2"/>
    <w:rsid w:val="7E953F59"/>
    <w:rsid w:val="7EAA17B2"/>
    <w:rsid w:val="7EB20667"/>
    <w:rsid w:val="7EDD70CE"/>
    <w:rsid w:val="7EDF0AE5"/>
    <w:rsid w:val="7EFE7085"/>
    <w:rsid w:val="7F043C8F"/>
    <w:rsid w:val="7F0B0A5C"/>
    <w:rsid w:val="7F0B7D77"/>
    <w:rsid w:val="7F314C43"/>
    <w:rsid w:val="7F4F2EE5"/>
    <w:rsid w:val="7FA53D28"/>
    <w:rsid w:val="7FE505C8"/>
    <w:rsid w:val="7FF802FC"/>
    <w:rsid w:val="7FFF78DC"/>
  </w:rsids>
  <w:docVars>
    <w:docVar w:name="commondata" w:val="eyJoZGlkIjoiN2Y4ZDIzNGFiMmE2ZDQyYTU5ZmM2YjViMGYyMzczMjIifQ=="/>
    <w:docVar w:name="KSO_WPS_MARK_KEY" w:val="3bc3886d-aa4a-4e59-add7-d7c9984aa060"/>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qFormat="1"/>
    <w:lsdException w:name="footnote text"/>
    <w:lsdException w:name="annotation text" w:qFormat="1"/>
    <w:lsdException w:name="header" w:semiHidden="0" w:qFormat="1"/>
    <w:lsdException w:name="footer" w:semiHidden="0" w:qFormat="1"/>
    <w:lsdException w:name="index heading"/>
    <w:lsdException w:name="caption" w:semiHidden="0" w:uiPriority="35" w:qFormat="1"/>
    <w:lsdException w:name="table of figures"/>
    <w:lsdException w:name="envelope address"/>
    <w:lsdException w:name="envelope return"/>
    <w:lsdException w:name="footnote reference"/>
    <w:lsdException w:name="annotation reference" w:qFormat="1"/>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semiHidden="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semiHidden="0" w:uiPriority="0" w:unhideWhenUsed="0" w:qFormat="1"/>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qFormat="1"/>
    <w:lsdException w:name="Table Grid" w:semiHidden="0" w:uiPriority="39" w:unhideWhenUsed="0" w:qFormat="1"/>
    <w:lsdException w:name="Table Theme"/>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Heading1"/>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uiPriority w:val="9"/>
    <w:qFormat/>
    <w:pPr>
      <w:keepNext/>
      <w:keepLines/>
      <w:numPr>
        <w:ilvl w:val="0"/>
        <w:numId w:val="1"/>
      </w:numPr>
      <w:spacing w:before="340" w:after="330" w:line="578" w:lineRule="auto"/>
      <w:outlineLvl w:val="0"/>
    </w:pPr>
    <w:rPr>
      <w:b/>
      <w:bCs/>
      <w:kern w:val="44"/>
      <w:sz w:val="44"/>
      <w:szCs w:val="44"/>
    </w:rPr>
  </w:style>
  <w:style w:type="paragraph" w:styleId="Heading2">
    <w:name w:val="heading 2"/>
    <w:basedOn w:val="Normal"/>
    <w:next w:val="-"/>
    <w:link w:val="2Char"/>
    <w:uiPriority w:val="9"/>
    <w:unhideWhenUsed/>
    <w:qFormat/>
    <w:pPr>
      <w:keepNext/>
      <w:keepLines/>
      <w:numPr>
        <w:ilvl w:val="1"/>
        <w:numId w:val="1"/>
      </w:numPr>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
    <w:link w:val="3Char"/>
    <w:unhideWhenUsed/>
    <w:qFormat/>
    <w:pPr>
      <w:keepNext/>
      <w:keepLines/>
      <w:numPr>
        <w:ilvl w:val="2"/>
        <w:numId w:val="1"/>
      </w:numPr>
      <w:spacing w:before="260" w:after="260" w:line="416" w:lineRule="auto"/>
      <w:outlineLvl w:val="2"/>
    </w:pPr>
    <w:rPr>
      <w:b/>
      <w:bCs/>
      <w:sz w:val="32"/>
      <w:szCs w:val="32"/>
    </w:rPr>
  </w:style>
  <w:style w:type="paragraph" w:styleId="Heading4">
    <w:name w:val="heading 4"/>
    <w:basedOn w:val="Normal"/>
    <w:next w:val="-"/>
    <w:link w:val="4"/>
    <w:unhideWhenUsed/>
    <w:qFormat/>
    <w:pPr>
      <w:keepNext/>
      <w:keepLines/>
      <w:numPr>
        <w:ilvl w:val="3"/>
        <w:numId w:val="1"/>
      </w:numPr>
      <w:spacing w:before="280" w:after="290" w:line="376" w:lineRule="auto"/>
      <w:outlineLvl w:val="3"/>
    </w:pPr>
    <w:rPr>
      <w:rFonts w:asciiTheme="majorHAnsi" w:eastAsiaTheme="majorEastAsia" w:hAnsiTheme="majorHAnsi" w:cstheme="majorBidi"/>
      <w:b/>
      <w:bCs/>
      <w:sz w:val="28"/>
      <w:szCs w:val="28"/>
    </w:rPr>
  </w:style>
  <w:style w:type="paragraph" w:styleId="Heading5">
    <w:name w:val="heading 5"/>
    <w:basedOn w:val="Normal"/>
    <w:next w:val="-"/>
    <w:link w:val="5Char"/>
    <w:unhideWhenUsed/>
    <w:qFormat/>
    <w:pPr>
      <w:keepNext/>
      <w:keepLines/>
      <w:numPr>
        <w:ilvl w:val="4"/>
        <w:numId w:val="1"/>
      </w:numPr>
      <w:spacing w:before="280" w:after="290" w:line="376" w:lineRule="auto"/>
      <w:outlineLvl w:val="4"/>
    </w:pPr>
    <w:rPr>
      <w:b/>
      <w:bCs/>
      <w:sz w:val="28"/>
      <w:szCs w:val="28"/>
    </w:rPr>
  </w:style>
  <w:style w:type="paragraph" w:styleId="Heading6">
    <w:name w:val="heading 6"/>
    <w:basedOn w:val="Normal"/>
    <w:next w:val="-"/>
    <w:link w:val="6Char"/>
    <w:unhideWhenUsed/>
    <w:qFormat/>
    <w:pPr>
      <w:keepNext/>
      <w:keepLines/>
      <w:numPr>
        <w:ilvl w:val="5"/>
        <w:numId w:val="1"/>
      </w:numPr>
      <w:spacing w:before="240" w:after="64" w:line="320" w:lineRule="auto"/>
      <w:outlineLvl w:val="5"/>
    </w:pPr>
    <w:rPr>
      <w:rFonts w:asciiTheme="majorHAnsi" w:eastAsiaTheme="majorEastAsia" w:hAnsiTheme="majorHAnsi" w:cstheme="majorBidi"/>
      <w:b/>
      <w:bCs/>
      <w:sz w:val="24"/>
      <w:szCs w:val="24"/>
    </w:rPr>
  </w:style>
  <w:style w:type="paragraph" w:styleId="Heading7">
    <w:name w:val="heading 7"/>
    <w:basedOn w:val="Normal"/>
    <w:next w:val="-"/>
    <w:link w:val="7Char"/>
    <w:unhideWhenUsed/>
    <w:qFormat/>
    <w:pPr>
      <w:keepNext/>
      <w:keepLines/>
      <w:numPr>
        <w:ilvl w:val="6"/>
        <w:numId w:val="1"/>
      </w:numPr>
      <w:spacing w:before="240" w:after="64" w:line="320" w:lineRule="auto"/>
      <w:outlineLvl w:val="6"/>
    </w:pPr>
    <w:rPr>
      <w:b/>
      <w:bCs/>
      <w:sz w:val="24"/>
      <w:szCs w:val="24"/>
    </w:rPr>
  </w:style>
  <w:style w:type="paragraph" w:styleId="Heading8">
    <w:name w:val="heading 8"/>
    <w:basedOn w:val="Normal"/>
    <w:next w:val="Normal"/>
    <w:link w:val="8Char"/>
    <w:unhideWhenUsed/>
    <w:qFormat/>
    <w:pPr>
      <w:keepNext/>
      <w:keepLines/>
      <w:numPr>
        <w:ilvl w:val="7"/>
        <w:numId w:val="1"/>
      </w:numPr>
      <w:spacing w:before="240" w:after="64" w:line="320" w:lineRule="auto"/>
      <w:outlineLvl w:val="7"/>
    </w:pPr>
    <w:rPr>
      <w:rFonts w:asciiTheme="majorHAnsi" w:eastAsiaTheme="majorEastAsia" w:hAnsiTheme="majorHAnsi" w:cstheme="majorBidi"/>
      <w:sz w:val="24"/>
      <w:szCs w:val="24"/>
    </w:rPr>
  </w:style>
  <w:style w:type="paragraph" w:styleId="Heading9">
    <w:name w:val="heading 9"/>
    <w:basedOn w:val="Normal"/>
    <w:next w:val="Normal"/>
    <w:link w:val="9Char"/>
    <w:unhideWhenUsed/>
    <w:qFormat/>
    <w:pPr>
      <w:keepNext/>
      <w:keepLines/>
      <w:numPr>
        <w:ilvl w:val="8"/>
        <w:numId w:val="1"/>
      </w:numPr>
      <w:spacing w:before="240" w:after="64" w:line="320" w:lineRule="auto"/>
      <w:outlineLvl w:val="8"/>
    </w:pPr>
    <w:rPr>
      <w:rFonts w:asciiTheme="majorHAnsi" w:eastAsiaTheme="majorEastAsia" w:hAnsiTheme="majorHAnsi" w:cstheme="majorBidi"/>
      <w:szCs w:val="21"/>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customStyle="1" w:styleId="-">
    <w:name w:val="正文-投标"/>
    <w:basedOn w:val="Normal"/>
    <w:qFormat/>
    <w:pPr>
      <w:spacing w:line="360" w:lineRule="auto"/>
      <w:ind w:firstLine="480" w:firstLineChars="200"/>
    </w:pPr>
    <w:rPr>
      <w:rFonts w:cs="仿宋"/>
    </w:rPr>
  </w:style>
  <w:style w:type="paragraph" w:styleId="NormalIndent">
    <w:name w:val="Normal Indent"/>
    <w:basedOn w:val="Normal"/>
    <w:uiPriority w:val="99"/>
    <w:unhideWhenUsed/>
    <w:qFormat/>
    <w:pPr>
      <w:ind w:left="240" w:right="240" w:leftChars="100" w:rightChars="100"/>
      <w:jc w:val="left"/>
    </w:pPr>
  </w:style>
  <w:style w:type="paragraph" w:styleId="Caption">
    <w:name w:val="caption"/>
    <w:basedOn w:val="Normal"/>
    <w:next w:val="Normal"/>
    <w:uiPriority w:val="35"/>
    <w:unhideWhenUsed/>
    <w:qFormat/>
    <w:rPr>
      <w:rFonts w:ascii="Arial" w:eastAsia="黑体" w:hAnsi="Arial"/>
      <w:sz w:val="20"/>
    </w:rPr>
  </w:style>
  <w:style w:type="paragraph" w:styleId="CommentText">
    <w:name w:val="annotation text"/>
    <w:basedOn w:val="Normal"/>
    <w:link w:val="Char2"/>
    <w:uiPriority w:val="99"/>
    <w:semiHidden/>
    <w:unhideWhenUsed/>
    <w:qFormat/>
    <w:pPr>
      <w:jc w:val="left"/>
    </w:pPr>
  </w:style>
  <w:style w:type="paragraph" w:styleId="BodyTextIndent">
    <w:name w:val="Body Text Indent"/>
    <w:basedOn w:val="Normal"/>
    <w:uiPriority w:val="99"/>
    <w:unhideWhenUsed/>
    <w:qFormat/>
    <w:pPr>
      <w:spacing w:after="120"/>
      <w:ind w:left="420" w:leftChars="200"/>
    </w:p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Char1"/>
    <w:uiPriority w:val="99"/>
    <w:semiHidden/>
    <w:unhideWhenUsed/>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unhideWhenUsed/>
    <w:qFormat/>
  </w:style>
  <w:style w:type="paragraph" w:styleId="TOC2">
    <w:name w:val="toc 2"/>
    <w:basedOn w:val="Normal"/>
    <w:next w:val="Normal"/>
    <w:uiPriority w:val="39"/>
    <w:unhideWhenUsed/>
    <w:qFormat/>
    <w:pPr>
      <w:ind w:left="420" w:leftChars="200"/>
    </w:pPr>
  </w:style>
  <w:style w:type="paragraph" w:styleId="NormalWeb">
    <w:name w:val="Normal (Web)"/>
    <w:basedOn w:val="Normal"/>
    <w:uiPriority w:val="99"/>
    <w:semiHidden/>
    <w:unhideWhenUsed/>
    <w:qFormat/>
    <w:pPr>
      <w:spacing w:before="0" w:beforeAutospacing="1" w:after="0" w:afterAutospacing="1"/>
      <w:ind w:left="0" w:right="0"/>
      <w:jc w:val="left"/>
    </w:pPr>
    <w:rPr>
      <w:kern w:val="0"/>
      <w:sz w:val="24"/>
      <w:lang w:val="en-US" w:eastAsia="zh-CN" w:bidi="ar"/>
    </w:rPr>
  </w:style>
  <w:style w:type="paragraph" w:styleId="CommentSubject">
    <w:name w:val="annotation subject"/>
    <w:basedOn w:val="CommentText"/>
    <w:next w:val="CommentText"/>
    <w:link w:val="Char3"/>
    <w:uiPriority w:val="99"/>
    <w:semiHidden/>
    <w:unhideWhenUsed/>
    <w:qFormat/>
    <w:rPr>
      <w:b/>
      <w:bCs/>
    </w:rPr>
  </w:style>
  <w:style w:type="paragraph" w:styleId="BodyTextFirstIndent2">
    <w:name w:val="Body Text First Indent 2"/>
    <w:basedOn w:val="BodyTextIndent"/>
    <w:qFormat/>
    <w:pPr>
      <w:spacing w:after="120"/>
      <w:ind w:left="420" w:firstLine="210" w:leftChars="200"/>
    </w:p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qFormat/>
    <w:rPr>
      <w:color w:val="0563C1" w:themeColor="hyperlink"/>
      <w:u w:val="single"/>
      <w14:textFill>
        <w14:solidFill>
          <w14:schemeClr w14:val="hlink"/>
        </w14:solidFill>
      </w14:textFill>
    </w:rPr>
  </w:style>
  <w:style w:type="character" w:styleId="CommentReference">
    <w:name w:val="annotation reference"/>
    <w:basedOn w:val="DefaultParagraphFont"/>
    <w:uiPriority w:val="99"/>
    <w:semiHidden/>
    <w:unhideWhenUsed/>
    <w:qFormat/>
    <w:rPr>
      <w:sz w:val="21"/>
      <w:szCs w:val="21"/>
    </w:rPr>
  </w:style>
  <w:style w:type="character" w:customStyle="1" w:styleId="2Char">
    <w:name w:val="标题 2 Char"/>
    <w:basedOn w:val="DefaultParagraphFont"/>
    <w:link w:val="Heading2"/>
    <w:uiPriority w:val="9"/>
    <w:qFormat/>
    <w:rPr>
      <w:rFonts w:asciiTheme="majorHAnsi" w:eastAsiaTheme="majorEastAsia" w:hAnsiTheme="majorHAnsi" w:cstheme="majorBidi"/>
      <w:b/>
      <w:bCs/>
      <w:sz w:val="32"/>
      <w:szCs w:val="32"/>
    </w:rPr>
  </w:style>
  <w:style w:type="paragraph" w:customStyle="1" w:styleId="a">
    <w:name w:val="大纲正文"/>
    <w:basedOn w:val="Normal"/>
    <w:qFormat/>
    <w:pPr>
      <w:keepNext w:val="0"/>
      <w:keepLines w:val="0"/>
      <w:widowControl/>
      <w:suppressLineNumbers w:val="0"/>
      <w:spacing w:before="0" w:beforeAutospacing="0" w:after="0" w:afterAutospacing="0" w:line="360" w:lineRule="auto"/>
      <w:ind w:left="0" w:right="0" w:firstLine="480" w:firstLineChars="200"/>
      <w:jc w:val="left"/>
    </w:pPr>
    <w:rPr>
      <w:rFonts w:ascii="Times New Roman" w:eastAsia="宋体" w:hAnsi="Times New Roman" w:cs="宋体" w:hint="default"/>
      <w:kern w:val="0"/>
      <w:sz w:val="24"/>
      <w:szCs w:val="24"/>
      <w:lang w:val="en-US" w:eastAsia="zh-CN" w:bidi="ar"/>
    </w:rPr>
  </w:style>
  <w:style w:type="character" w:customStyle="1" w:styleId="1Char">
    <w:name w:val="标题 1 Char"/>
    <w:basedOn w:val="DefaultParagraphFont"/>
    <w:link w:val="Heading1"/>
    <w:uiPriority w:val="9"/>
    <w:qFormat/>
    <w:rPr>
      <w:b/>
      <w:bCs/>
      <w:kern w:val="44"/>
      <w:sz w:val="44"/>
      <w:szCs w:val="44"/>
    </w:rPr>
  </w:style>
  <w:style w:type="character" w:customStyle="1" w:styleId="3Char">
    <w:name w:val="标题 3 Char"/>
    <w:basedOn w:val="DefaultParagraphFont"/>
    <w:link w:val="Heading3"/>
    <w:qFormat/>
    <w:rPr>
      <w:b/>
      <w:bCs/>
      <w:sz w:val="32"/>
      <w:szCs w:val="32"/>
    </w:rPr>
  </w:style>
  <w:style w:type="character" w:customStyle="1" w:styleId="4Char">
    <w:name w:val="标题 4 Char"/>
    <w:basedOn w:val="DefaultParagraphFont"/>
    <w:link w:val="Heading4"/>
    <w:qFormat/>
    <w:rPr>
      <w:rFonts w:asciiTheme="majorHAnsi" w:eastAsiaTheme="majorEastAsia" w:hAnsiTheme="majorHAnsi" w:cstheme="majorBidi"/>
      <w:b/>
      <w:bCs/>
      <w:sz w:val="28"/>
      <w:szCs w:val="28"/>
    </w:rPr>
  </w:style>
  <w:style w:type="character" w:customStyle="1" w:styleId="5Char">
    <w:name w:val="标题 5 Char"/>
    <w:basedOn w:val="DefaultParagraphFont"/>
    <w:link w:val="Heading5"/>
    <w:qFormat/>
    <w:rPr>
      <w:b/>
      <w:bCs/>
      <w:sz w:val="28"/>
      <w:szCs w:val="28"/>
    </w:rPr>
  </w:style>
  <w:style w:type="character" w:customStyle="1" w:styleId="6Char">
    <w:name w:val="标题 6 Char"/>
    <w:basedOn w:val="DefaultParagraphFont"/>
    <w:link w:val="Heading6"/>
    <w:qFormat/>
    <w:rPr>
      <w:rFonts w:asciiTheme="majorHAnsi" w:eastAsiaTheme="majorEastAsia" w:hAnsiTheme="majorHAnsi" w:cstheme="majorBidi"/>
      <w:b/>
      <w:bCs/>
      <w:sz w:val="24"/>
      <w:szCs w:val="24"/>
    </w:rPr>
  </w:style>
  <w:style w:type="character" w:customStyle="1" w:styleId="7Char">
    <w:name w:val="标题 7 Char"/>
    <w:basedOn w:val="DefaultParagraphFont"/>
    <w:link w:val="Heading7"/>
    <w:qFormat/>
    <w:rPr>
      <w:b/>
      <w:bCs/>
      <w:sz w:val="24"/>
      <w:szCs w:val="24"/>
    </w:rPr>
  </w:style>
  <w:style w:type="character" w:customStyle="1" w:styleId="8Char">
    <w:name w:val="标题 8 Char"/>
    <w:basedOn w:val="DefaultParagraphFont"/>
    <w:link w:val="Heading8"/>
    <w:qFormat/>
    <w:rPr>
      <w:rFonts w:asciiTheme="majorHAnsi" w:eastAsiaTheme="majorEastAsia" w:hAnsiTheme="majorHAnsi" w:cstheme="majorBidi"/>
      <w:sz w:val="24"/>
      <w:szCs w:val="24"/>
    </w:rPr>
  </w:style>
  <w:style w:type="character" w:customStyle="1" w:styleId="9Char">
    <w:name w:val="标题 9 Char"/>
    <w:basedOn w:val="DefaultParagraphFont"/>
    <w:link w:val="Heading9"/>
    <w:qFormat/>
    <w:rPr>
      <w:rFonts w:asciiTheme="majorHAnsi" w:eastAsiaTheme="majorEastAsia" w:hAnsiTheme="majorHAnsi" w:cstheme="majorBidi"/>
      <w:szCs w:val="21"/>
    </w:rPr>
  </w:style>
  <w:style w:type="paragraph" w:styleId="ListParagraph">
    <w:name w:val="List Paragraph"/>
    <w:basedOn w:val="Normal"/>
    <w:uiPriority w:val="34"/>
    <w:qFormat/>
    <w:pPr>
      <w:ind w:firstLine="420" w:firstLineChars="200"/>
    </w:pPr>
  </w:style>
  <w:style w:type="paragraph" w:customStyle="1" w:styleId="TOCHeading">
    <w:name w:val="TOC Heading"/>
    <w:basedOn w:val="Heading1"/>
    <w:next w:val="Normal"/>
    <w:uiPriority w:val="39"/>
    <w:unhideWhenUsed/>
    <w:qFormat/>
    <w:pPr>
      <w:widowControl/>
      <w:numPr>
        <w:numId w:val="0"/>
      </w:numPr>
      <w:spacing w:before="240" w:after="0" w:line="259" w:lineRule="auto"/>
      <w:jc w:val="left"/>
      <w:outlineLvl w:val="9"/>
    </w:pPr>
    <w:rPr>
      <w:rFonts w:asciiTheme="majorHAnsi" w:eastAsiaTheme="majorEastAsia" w:hAnsiTheme="majorHAnsi" w:cstheme="majorBidi"/>
      <w:b w:val="0"/>
      <w:bCs w:val="0"/>
      <w:color w:val="2E75B6" w:themeColor="accent1" w:themeShade="BF"/>
      <w:kern w:val="0"/>
      <w:sz w:val="32"/>
      <w:szCs w:val="32"/>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Char1">
    <w:name w:val="批注框文本 Char"/>
    <w:basedOn w:val="DefaultParagraphFont"/>
    <w:link w:val="BalloonText"/>
    <w:uiPriority w:val="99"/>
    <w:semiHidden/>
    <w:qFormat/>
    <w:rPr>
      <w:sz w:val="18"/>
      <w:szCs w:val="18"/>
    </w:rPr>
  </w:style>
  <w:style w:type="paragraph" w:customStyle="1" w:styleId="a0">
    <w:name w:val="正文样式"/>
    <w:basedOn w:val="Normal"/>
    <w:qFormat/>
    <w:pPr>
      <w:spacing w:line="360" w:lineRule="auto"/>
      <w:ind w:firstLine="480" w:firstLineChars="200"/>
    </w:pPr>
    <w:rPr>
      <w:rFonts w:ascii="Times New Roman" w:eastAsia="宋体" w:hAnsi="Times New Roman" w:cs="Times New Roman"/>
      <w:sz w:val="24"/>
      <w:szCs w:val="24"/>
    </w:rPr>
  </w:style>
  <w:style w:type="paragraph" w:styleId="NoSpacing">
    <w:name w:val="No Spacing"/>
    <w:uiPriority w:val="1"/>
    <w:qFormat/>
    <w:pPr>
      <w:widowControl w:val="0"/>
      <w:jc w:val="both"/>
    </w:pPr>
    <w:rPr>
      <w:rFonts w:asciiTheme="minorHAnsi" w:eastAsiaTheme="minorEastAsia" w:hAnsiTheme="minorHAnsi" w:cstheme="minorBidi"/>
      <w:kern w:val="2"/>
      <w:sz w:val="21"/>
      <w:szCs w:val="22"/>
      <w:lang w:val="en-US" w:eastAsia="zh-CN" w:bidi="ar-SA"/>
    </w:rPr>
  </w:style>
  <w:style w:type="table" w:customStyle="1" w:styleId="1">
    <w:name w:val="网格型1"/>
    <w:basedOn w:val="TableNormal"/>
    <w:uiPriority w:val="39"/>
    <w:qFormat/>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Char">
    <w:name w:val="正文2 Char Char"/>
    <w:link w:val="2"/>
    <w:qFormat/>
    <w:rPr>
      <w:rFonts w:eastAsia="宋体"/>
      <w:sz w:val="24"/>
    </w:rPr>
  </w:style>
  <w:style w:type="paragraph" w:customStyle="1" w:styleId="2">
    <w:name w:val="正文2"/>
    <w:basedOn w:val="Normal"/>
    <w:next w:val="Normal"/>
    <w:link w:val="2CharChar"/>
    <w:qFormat/>
    <w:pPr>
      <w:widowControl/>
      <w:overflowPunct w:val="0"/>
      <w:autoSpaceDE w:val="0"/>
      <w:autoSpaceDN w:val="0"/>
      <w:adjustRightInd w:val="0"/>
      <w:spacing w:line="480" w:lineRule="atLeast"/>
      <w:ind w:left="1134"/>
      <w:jc w:val="left"/>
      <w:textAlignment w:val="baseline"/>
    </w:pPr>
    <w:rPr>
      <w:rFonts w:eastAsia="宋体"/>
      <w:sz w:val="24"/>
    </w:rPr>
  </w:style>
  <w:style w:type="character" w:customStyle="1" w:styleId="Char2">
    <w:name w:val="批注文字 Char"/>
    <w:basedOn w:val="DefaultParagraphFont"/>
    <w:link w:val="CommentText"/>
    <w:uiPriority w:val="99"/>
    <w:semiHidden/>
    <w:qFormat/>
  </w:style>
  <w:style w:type="character" w:customStyle="1" w:styleId="Char3">
    <w:name w:val="批注主题 Char"/>
    <w:basedOn w:val="Char2"/>
    <w:link w:val="CommentSubject"/>
    <w:uiPriority w:val="99"/>
    <w:semiHidden/>
    <w:qFormat/>
    <w:rPr>
      <w:b/>
      <w:bCs/>
    </w:rPr>
  </w:style>
  <w:style w:type="paragraph" w:customStyle="1" w:styleId="12">
    <w:name w:val="样式12"/>
    <w:basedOn w:val="Normal"/>
    <w:qFormat/>
    <w:pPr>
      <w:keepNext w:val="0"/>
      <w:keepLines w:val="0"/>
      <w:autoSpaceDE w:val="0"/>
      <w:autoSpaceDN w:val="0"/>
      <w:adjustRightInd w:val="0"/>
      <w:snapToGrid w:val="0"/>
      <w:ind w:firstLine="0" w:firstLineChars="0"/>
      <w:jc w:val="left"/>
    </w:pPr>
    <w:rPr>
      <w:rFonts w:ascii="等线" w:hAnsi="等线"/>
      <w:sz w:val="28"/>
      <w:szCs w:val="28"/>
    </w:rPr>
  </w:style>
  <w:style w:type="paragraph" w:customStyle="1" w:styleId="14">
    <w:name w:val="样式14"/>
    <w:basedOn w:val="22"/>
    <w:qFormat/>
    <w:pPr>
      <w:keepNext w:val="0"/>
      <w:keepLines w:val="0"/>
      <w:widowControl w:val="0"/>
      <w:suppressLineNumbers w:val="0"/>
      <w:autoSpaceDE w:val="0"/>
      <w:autoSpaceDN w:val="0"/>
      <w:adjustRightInd w:val="0"/>
      <w:snapToGrid w:val="0"/>
      <w:spacing w:before="0" w:beforeAutospacing="0" w:after="0" w:afterAutospacing="0" w:line="360" w:lineRule="auto"/>
      <w:ind w:left="0" w:right="0" w:firstLine="560" w:firstLineChars="200"/>
      <w:jc w:val="left"/>
    </w:pPr>
    <w:rPr>
      <w:rFonts w:ascii="宋体" w:eastAsia="宋体" w:hAnsi="宋体" w:cs="宋体" w:hint="eastAsia"/>
      <w:kern w:val="2"/>
      <w:sz w:val="28"/>
      <w:szCs w:val="28"/>
      <w:lang w:val="en-US" w:eastAsia="zh-CN" w:bidi="ar"/>
    </w:rPr>
  </w:style>
  <w:style w:type="paragraph" w:customStyle="1" w:styleId="22">
    <w:name w:val="正文22"/>
    <w:basedOn w:val="Normal"/>
    <w:qFormat/>
    <w:pPr>
      <w:ind w:firstLine="560"/>
    </w:pPr>
    <w:rPr>
      <w:rFonts w:ascii="宋体" w:hAnsi="宋体"/>
    </w:rPr>
  </w:style>
  <w:style w:type="paragraph" w:customStyle="1" w:styleId="120">
    <w:name w:val="正文12"/>
    <w:qFormat/>
    <w:pPr>
      <w:jc w:val="both"/>
    </w:pPr>
    <w:rPr>
      <w:rFonts w:ascii="Times New Roman" w:eastAsia="宋体" w:hAnsi="Times New Roman" w:cs="Times New Roman"/>
      <w:kern w:val="2"/>
      <w:sz w:val="21"/>
      <w:szCs w:val="21"/>
      <w:lang w:val="en-US" w:eastAsia="zh-CN" w:bidi="ar-SA"/>
    </w:rPr>
  </w:style>
  <w:style w:type="paragraph" w:customStyle="1" w:styleId="10">
    <w:name w:val="符号 1"/>
    <w:basedOn w:val="BodyTextIndent"/>
    <w:qFormat/>
    <w:pPr>
      <w:keepNext w:val="0"/>
      <w:keepLines w:val="0"/>
      <w:spacing w:after="0"/>
      <w:ind w:firstLine="420" w:firstLineChars="0"/>
    </w:pPr>
    <w:rPr>
      <w:rFonts w:ascii="Times New Roman" w:hAnsi="Times New Roman"/>
      <w:i/>
      <w:iCs/>
      <w:szCs w:val="24"/>
    </w:rPr>
  </w:style>
  <w:style w:type="paragraph" w:customStyle="1" w:styleId="20">
    <w:name w:val="符号 2"/>
    <w:basedOn w:val="10"/>
    <w:qFormat/>
    <w:pPr>
      <w:tabs>
        <w:tab w:val="left" w:pos="1320"/>
      </w:tabs>
      <w:ind w:left="1320" w:hanging="420" w:leftChars="0"/>
    </w:pPr>
    <w:rPr>
      <w:i w:val="0"/>
      <w:iCs w:val="0"/>
      <w:kern w:val="28"/>
    </w:rPr>
  </w:style>
  <w:style w:type="character" w:customStyle="1" w:styleId="4">
    <w:name w:val="标题 4 字符"/>
    <w:link w:val="Heading4"/>
    <w:uiPriority w:val="9"/>
    <w:semiHidden/>
    <w:qFormat/>
    <w:rPr>
      <w:rFonts w:ascii="等线 Light" w:eastAsia="等线 Light" w:hAnsi="等线 Light" w:cs="Times New Roman"/>
      <w:b/>
      <w:bCs/>
      <w:sz w:val="28"/>
      <w:szCs w:val="28"/>
    </w:rPr>
  </w:style>
  <w:style w:type="character" w:customStyle="1" w:styleId="font11">
    <w:name w:val="font11"/>
    <w:basedOn w:val="DefaultParagraphFont"/>
    <w:qFormat/>
    <w:rPr>
      <w:rFonts w:ascii="微软雅黑" w:eastAsia="微软雅黑" w:hAnsi="微软雅黑" w:cs="微软雅黑" w:hint="eastAsia"/>
      <w:color w:val="FF0000"/>
      <w:sz w:val="24"/>
      <w:szCs w:val="24"/>
      <w:u w:val="none"/>
    </w:rPr>
  </w:style>
  <w:style w:type="character" w:customStyle="1" w:styleId="font31">
    <w:name w:val="font31"/>
    <w:basedOn w:val="DefaultParagraphFont"/>
    <w:qFormat/>
    <w:rPr>
      <w:rFonts w:ascii="微软雅黑" w:eastAsia="微软雅黑" w:hAnsi="微软雅黑" w:cs="微软雅黑" w:hint="eastAsia"/>
      <w:color w:val="000000"/>
      <w:sz w:val="24"/>
      <w:szCs w:val="24"/>
      <w:u w:val="none"/>
    </w:rPr>
  </w:style>
  <w:style w:type="paragraph" w:customStyle="1" w:styleId="WPSOffice1">
    <w:name w:val="WPSOffice手动目录 1"/>
    <w:qFormat/>
    <w:pPr>
      <w:ind w:leftChars="0"/>
    </w:pPr>
    <w:rPr>
      <w:rFonts w:ascii="Times New Roman" w:eastAsia="宋体" w:hAnsi="Times New Roman" w:cs="Times New Roman"/>
      <w:sz w:val="20"/>
      <w:szCs w:val="20"/>
    </w:rPr>
  </w:style>
  <w:style w:type="paragraph" w:customStyle="1" w:styleId="WPSOffice2">
    <w:name w:val="WPSOffice手动目录 2"/>
    <w:qFormat/>
    <w:pPr>
      <w:ind w:leftChars="200"/>
    </w:pPr>
    <w:rPr>
      <w:rFonts w:ascii="Times New Roman" w:eastAsia="宋体" w:hAnsi="Times New Roman" w:cs="Times New Roman"/>
      <w:sz w:val="20"/>
      <w:szCs w:val="20"/>
    </w:rPr>
  </w:style>
  <w:style w:type="paragraph" w:customStyle="1" w:styleId="WPSOffice3">
    <w:name w:val="WPSOffice手动目录 3"/>
    <w:qFormat/>
    <w:pPr>
      <w:ind w:leftChars="400"/>
    </w:pPr>
    <w:rPr>
      <w:rFonts w:ascii="Times New Roman" w:eastAsia="宋体" w:hAnsi="Times New Roman" w:cs="Times New Roman"/>
      <w:sz w:val="20"/>
      <w:szCs w:val="20"/>
    </w:rPr>
  </w:style>
  <w:style w:type="paragraph" w:customStyle="1" w:styleId="Normal14">
    <w:name w:val="Normal_14"/>
    <w:qFormat/>
    <w:pPr>
      <w:spacing w:before="120" w:after="240"/>
      <w:jc w:val="both"/>
    </w:pPr>
    <w:rPr>
      <w:rFonts w:asciiTheme="minorHAnsi" w:eastAsiaTheme="minorEastAsia" w:hAnsiTheme="minorHAnsi" w:cstheme="minorBidi"/>
      <w:sz w:val="22"/>
      <w:szCs w:val="22"/>
      <w:lang w:val="en-US" w:eastAsia="en-US" w:bidi="ar-SA"/>
    </w:rPr>
  </w:style>
  <w:style w:type="paragraph" w:customStyle="1" w:styleId="Normal20">
    <w:name w:val="Normal_2_0"/>
    <w:qFormat/>
    <w:pPr>
      <w:spacing w:before="120" w:after="240"/>
      <w:jc w:val="both"/>
    </w:pPr>
    <w:rPr>
      <w:rFonts w:asciiTheme="minorHAnsi" w:eastAsiaTheme="minorEastAsia" w:hAnsiTheme="minorHAnsi" w:cstheme="minorBidi"/>
      <w:sz w:val="22"/>
      <w:szCs w:val="22"/>
      <w:lang w:val="en-US" w:eastAsia="en-US" w:bidi="ar-SA"/>
    </w:rPr>
  </w:style>
  <w:style w:type="paragraph" w:customStyle="1" w:styleId="a1">
    <w:name w:val="表格文字"/>
    <w:basedOn w:val="Normal"/>
    <w:qFormat/>
    <w:pPr>
      <w:spacing w:line="240" w:lineRule="auto"/>
      <w:ind w:left="0" w:firstLine="0"/>
    </w:pPr>
    <w:rPr>
      <w:rFonts w:ascii="宋体" w:hAnsi="宋体"/>
      <w:sz w:val="18"/>
      <w:szCs w:val="18"/>
    </w:rPr>
  </w:style>
  <w:style w:type="paragraph" w:customStyle="1" w:styleId="p1">
    <w:name w:val="p1"/>
    <w:basedOn w:val="Normal"/>
    <w:qFormat/>
    <w:pPr>
      <w:spacing w:before="0" w:beforeAutospacing="0" w:after="0" w:afterAutospacing="0"/>
      <w:ind w:left="0" w:right="0"/>
      <w:jc w:val="left"/>
    </w:pPr>
    <w:rPr>
      <w:rFonts w:ascii="helvetica" w:eastAsia="helvetica" w:hAnsi="helvetica" w:cs="helvetica"/>
      <w:kern w:val="0"/>
      <w:sz w:val="24"/>
      <w:szCs w:val="24"/>
      <w:lang w:val="en-US" w:eastAsia="zh-CN" w:bidi="ar"/>
    </w:rPr>
  </w:style>
  <w:style w:type="paragraph" w:customStyle="1" w:styleId="Normal16">
    <w:name w:val="Normal_16"/>
    <w:qFormat/>
    <w:pPr>
      <w:spacing w:before="120" w:after="240"/>
      <w:jc w:val="both"/>
    </w:pPr>
    <w:rPr>
      <w:rFonts w:asciiTheme="minorHAnsi" w:eastAsiaTheme="minorEastAsia" w:hAnsiTheme="minorHAnsi" w:cstheme="minorBidi"/>
      <w:sz w:val="22"/>
      <w:szCs w:val="22"/>
      <w:lang w:val="en-US" w:eastAsia="en-US" w:bidi="ar-SA"/>
    </w:rPr>
  </w:style>
  <w:style w:type="paragraph" w:customStyle="1" w:styleId="GXSJContent">
    <w:name w:val="GXSJContent"/>
    <w:qFormat/>
    <w:pPr>
      <w:adjustRightInd w:val="0"/>
      <w:snapToGrid w:val="0"/>
      <w:spacing w:line="360" w:lineRule="auto"/>
      <w:ind w:firstLine="200" w:firstLineChars="200"/>
      <w:jc w:val="both"/>
    </w:pPr>
    <w:rPr>
      <w:rFonts w:ascii="宋体" w:eastAsia="宋体" w:hAnsi="宋体" w:cs="Times New Roman"/>
      <w:color w:val="000000"/>
      <w:kern w:val="44"/>
      <w:sz w:val="28"/>
      <w:szCs w:val="22"/>
      <w:lang w:val="en-US" w:eastAsia="zh-CN" w:bidi="ar-SA"/>
    </w:rPr>
  </w:style>
  <w:style w:type="paragraph" w:customStyle="1" w:styleId="GXSJPic">
    <w:name w:val="GXSJPic"/>
    <w:basedOn w:val="Normal"/>
    <w:qFormat/>
    <w:pPr>
      <w:adjustRightInd w:val="0"/>
      <w:snapToGrid w:val="0"/>
      <w:spacing w:line="240" w:lineRule="auto"/>
      <w:jc w:val="center"/>
    </w:pPr>
    <w:rPr>
      <w:bCs/>
      <w:color w:val="000000"/>
      <w:kern w:val="0"/>
      <w:sz w:val="28"/>
    </w:rPr>
  </w:style>
  <w:style w:type="paragraph" w:customStyle="1" w:styleId="GXSJPicNum">
    <w:name w:val="GXSJPicNum"/>
    <w:qFormat/>
    <w:pPr>
      <w:adjustRightInd w:val="0"/>
      <w:snapToGrid w:val="0"/>
      <w:spacing w:line="360" w:lineRule="auto"/>
      <w:jc w:val="center"/>
    </w:pPr>
    <w:rPr>
      <w:rFonts w:ascii="Times New Roman" w:eastAsia="宋体" w:hAnsi="Times New Roman" w:cs="Times New Roman"/>
      <w:color w:val="000000"/>
      <w:kern w:val="44"/>
      <w:sz w:val="28"/>
      <w:szCs w:val="22"/>
      <w:lang w:val="en-US" w:eastAsia="zh-CN" w:bidi="ar-SA"/>
    </w:rPr>
  </w:style>
  <w:style w:type="paragraph" w:customStyle="1" w:styleId="GXSJPoint3">
    <w:name w:val="GXSJPoint3"/>
    <w:basedOn w:val="Normal"/>
    <w:qFormat/>
    <w:pPr>
      <w:numPr>
        <w:ilvl w:val="2"/>
        <w:numId w:val="2"/>
      </w:numPr>
      <w:adjustRightInd w:val="0"/>
      <w:snapToGrid w:val="0"/>
    </w:pPr>
    <w:rPr>
      <w:rFonts w:ascii="宋体" w:hAnsi="宋体"/>
      <w:bCs/>
      <w:color w:val="000000"/>
      <w:kern w:val="0"/>
      <w:sz w:val="28"/>
    </w:rPr>
  </w:style>
  <w:style w:type="paragraph" w:customStyle="1" w:styleId="GXSJTable">
    <w:name w:val="GXSJTable"/>
    <w:qFormat/>
    <w:pPr>
      <w:jc w:val="center"/>
    </w:pPr>
    <w:rPr>
      <w:rFonts w:ascii="Times New Roman" w:eastAsia="宋体" w:hAnsi="宋体" w:cs="Times New Roman"/>
      <w:b/>
      <w:color w:val="000000"/>
      <w:kern w:val="44"/>
      <w:sz w:val="21"/>
      <w:szCs w:val="22"/>
      <w:lang w:val="en-US" w:eastAsia="zh-CN" w:bidi="ar-SA"/>
    </w:rPr>
  </w:style>
  <w:style w:type="paragraph" w:customStyle="1" w:styleId="GXSJTitle3">
    <w:name w:val="GXSJTitle3"/>
    <w:qFormat/>
    <w:pPr>
      <w:numPr>
        <w:ilvl w:val="2"/>
        <w:numId w:val="3"/>
      </w:numPr>
      <w:tabs>
        <w:tab w:val="clear" w:pos="1559"/>
      </w:tabs>
      <w:adjustRightInd w:val="0"/>
      <w:snapToGrid w:val="0"/>
      <w:spacing w:line="360" w:lineRule="auto"/>
      <w:ind w:left="0"/>
      <w:outlineLvl w:val="2"/>
    </w:pPr>
    <w:rPr>
      <w:rFonts w:ascii="Times New Roman" w:eastAsia="黑体" w:hAnsi="Times New Roman" w:cs="Times New Roman"/>
      <w:b/>
      <w:color w:val="000000"/>
      <w:kern w:val="44"/>
      <w:sz w:val="28"/>
      <w:szCs w:val="22"/>
      <w:lang w:val="en-US" w:eastAsia="zh-CN" w:bidi="ar-SA"/>
    </w:rPr>
  </w:style>
  <w:style w:type="paragraph" w:customStyle="1" w:styleId="GXSJPoint1">
    <w:name w:val="GXSJPoint1"/>
    <w:qFormat/>
    <w:pPr>
      <w:numPr>
        <w:ilvl w:val="0"/>
        <w:numId w:val="2"/>
      </w:numPr>
      <w:adjustRightInd w:val="0"/>
      <w:snapToGrid w:val="0"/>
      <w:spacing w:line="360" w:lineRule="auto"/>
      <w:jc w:val="both"/>
    </w:pPr>
    <w:rPr>
      <w:rFonts w:ascii="宋体" w:eastAsia="宋体" w:hAnsi="宋体" w:cs="Times New Roman"/>
      <w:color w:val="000000"/>
      <w:kern w:val="44"/>
      <w:sz w:val="28"/>
      <w:szCs w:val="22"/>
      <w:lang w:val="en-US" w:eastAsia="zh-CN" w:bidi="ar-SA"/>
    </w:rPr>
  </w:style>
  <w:style w:type="paragraph" w:customStyle="1" w:styleId="GXSJPoint2">
    <w:name w:val="GXSJPoint2"/>
    <w:qFormat/>
    <w:pPr>
      <w:numPr>
        <w:ilvl w:val="1"/>
        <w:numId w:val="2"/>
      </w:numPr>
      <w:adjustRightInd w:val="0"/>
      <w:snapToGrid w:val="0"/>
      <w:spacing w:line="360" w:lineRule="auto"/>
      <w:jc w:val="both"/>
    </w:pPr>
    <w:rPr>
      <w:rFonts w:ascii="宋体" w:eastAsia="宋体" w:hAnsi="宋体" w:cs="Times New Roman"/>
      <w:color w:val="000000"/>
      <w:kern w:val="44"/>
      <w:sz w:val="28"/>
      <w:szCs w:val="22"/>
      <w:lang w:val="en-US" w:eastAsia="zh-CN" w:bidi="ar-SA"/>
    </w:rPr>
  </w:style>
  <w:style w:type="paragraph" w:customStyle="1" w:styleId="a2">
    <w:name w:val="图片样式"/>
    <w:basedOn w:val="Normal"/>
    <w:next w:val="Normal"/>
    <w:qFormat/>
    <w:pPr>
      <w:spacing w:line="360" w:lineRule="auto"/>
      <w:jc w:val="center"/>
    </w:pPr>
  </w:style>
  <w:style w:type="paragraph" w:customStyle="1" w:styleId="a3">
    <w:name w:val="图注"/>
    <w:basedOn w:val="-"/>
    <w:qFormat/>
    <w:pPr>
      <w:ind w:firstLine="0" w:firstLineChars="0"/>
      <w:jc w:val="center"/>
    </w:pPr>
    <w:rPr>
      <w:sz w:val="21"/>
    </w:rPr>
  </w:style>
  <w:style w:type="paragraph" w:customStyle="1" w:styleId="a4">
    <w:name w:val="正文（加粗）"/>
    <w:basedOn w:val="Normal"/>
    <w:qFormat/>
    <w:pPr>
      <w:spacing w:line="360" w:lineRule="auto"/>
      <w:ind w:firstLine="482" w:firstLineChars="200"/>
    </w:pPr>
    <w:rPr>
      <w:b/>
      <w:kern w:val="0"/>
      <w:szCs w:val="21"/>
      <w:lang w:val="zh-CN"/>
    </w:rPr>
  </w:style>
  <w:style w:type="paragraph" w:customStyle="1" w:styleId="a5">
    <w:name w:val="表头样式"/>
    <w:basedOn w:val="Normal"/>
    <w:qFormat/>
    <w:pPr>
      <w:snapToGrid w:val="0"/>
      <w:spacing w:line="280" w:lineRule="exact"/>
      <w:jc w:val="center"/>
    </w:pPr>
    <w:rPr>
      <w:rFonts w:cs="仿宋"/>
      <w:szCs w:val="21"/>
    </w:rPr>
  </w:style>
  <w:style w:type="paragraph" w:customStyle="1" w:styleId="a6">
    <w:name w:val="表格内容"/>
    <w:basedOn w:val="Normal"/>
    <w:qFormat/>
    <w:pPr>
      <w:adjustRightInd w:val="0"/>
      <w:snapToGrid w:val="0"/>
      <w:spacing w:line="360" w:lineRule="exact"/>
      <w:jc w:val="center"/>
    </w:pPr>
    <w:rPr>
      <w:rFonts w:cs="仿宋"/>
      <w:szCs w:val="21"/>
    </w:rPr>
  </w:style>
  <w:style w:type="paragraph" w:customStyle="1" w:styleId="a7">
    <w:name w:val="小要点标题"/>
    <w:basedOn w:val="Normal"/>
    <w:next w:val="Normal"/>
    <w:qFormat/>
    <w:pPr>
      <w:numPr>
        <w:ilvl w:val="0"/>
        <w:numId w:val="4"/>
      </w:numPr>
      <w:spacing w:line="360" w:lineRule="auto"/>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yperlink" Target="https://d.book118.com/107055064043006052" TargetMode="External" /><Relationship Id="rId32" Type="http://schemas.openxmlformats.org/officeDocument/2006/relationships/header" Target="header14.xml" /><Relationship Id="rId33" Type="http://schemas.openxmlformats.org/officeDocument/2006/relationships/footer" Target="footer14.xml" /><Relationship Id="rId34" Type="http://schemas.openxmlformats.org/officeDocument/2006/relationships/theme" Target="theme/theme1.xml" /><Relationship Id="rId35" Type="http://schemas.openxmlformats.org/officeDocument/2006/relationships/numbering" Target="numbering.xml" /><Relationship Id="rId36"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C68F4-A92C-4290-9B6C-CE86726F3401}">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18</Pages>
  <Words>42118</Words>
  <Characters>43605</Characters>
  <Application>Microsoft Office Word</Application>
  <DocSecurity>0</DocSecurity>
  <Lines>1</Lines>
  <Paragraphs>1</Paragraphs>
  <ScaleCrop>false</ScaleCrop>
  <Company>LENOVO</Company>
  <LinksUpToDate>false</LinksUpToDate>
  <CharactersWithSpaces>44060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Lamb</cp:lastModifiedBy>
  <cp:revision>1</cp:revision>
  <dcterms:created xsi:type="dcterms:W3CDTF">2018-06-15T01:19:00Z</dcterms:created>
  <dcterms:modified xsi:type="dcterms:W3CDTF">2024-03-12T08:26:40Z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DA964001EC684628B0E15A160D797015</vt:lpwstr>
  </property>
  <property fmtid="{D5CDD505-2E9C-101B-9397-08002B2CF9AE}" pid="3" name="KSOProductBuildVer">
    <vt:lpwstr>2052-11.1.0.14036</vt:lpwstr>
  </property>
</Properties>
</file>