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氮氧化物治理系统项目营销方案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0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3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_Toc19363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_Toc29041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二、氮氧化物治理系统危机管理与应对策略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0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_Toc28520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0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_Toc9980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eastAsia="zh-CN"/>
          </w:rPr>
          <w:t>三、氮氧化物治理系统行业发展现状</w:t>
        </w:r>
        <w:r>
          <w:tab/>
        </w:r>
        <w:r>
          <w:fldChar w:fldCharType="begin"/>
        </w:r>
        <w:r>
          <w:instrText xml:space="preserve"> PAGEREF _Toc500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6" w:history="1">
        <w:r>
          <w:rPr>
            <w:rFonts w:ascii="仿宋" w:eastAsia="仿宋" w:hAnsi="仿宋" w:cs="仿宋" w:hint="eastAsia"/>
            <w:lang w:eastAsia="zh-CN"/>
          </w:rPr>
          <w:t>(一)、氮氧化物治理系统行业整体概况</w:t>
        </w:r>
        <w:r>
          <w:tab/>
        </w:r>
        <w:r>
          <w:fldChar w:fldCharType="begin"/>
        </w:r>
        <w:r>
          <w:instrText xml:space="preserve"> PAGEREF _Toc3446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1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_Toc6461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6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_Toc8946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4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_Toc5864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四、宏观环境分析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2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_Toc21382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5" w:history="1">
        <w:r>
          <w:rPr>
            <w:rFonts w:ascii="仿宋" w:eastAsia="仿宋" w:hAnsi="仿宋" w:cs="仿宋" w:hint="eastAsia"/>
            <w:lang w:eastAsia="zh-CN"/>
          </w:rPr>
          <w:t>五、氮氧化物治理系统项目危机管理</w:t>
        </w:r>
        <w:r>
          <w:tab/>
        </w:r>
        <w:r>
          <w:fldChar w:fldCharType="begin"/>
        </w:r>
        <w:r>
          <w:instrText xml:space="preserve"> PAGEREF _Toc25065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1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_Toc26971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eastAsia="zh-CN"/>
          </w:rPr>
          <w:t>六、氮氧化物治理系统项目风险应对说明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_Toc1526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_Toc24542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_Toc21116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8" w:history="1">
        <w:r>
          <w:rPr>
            <w:rFonts w:ascii="仿宋" w:eastAsia="仿宋" w:hAnsi="仿宋" w:cs="仿宋" w:hint="eastAsia"/>
            <w:lang w:eastAsia="zh-CN"/>
          </w:rPr>
          <w:t>七、氮氧化物治理系统企业战略的制定</w:t>
        </w:r>
        <w:r>
          <w:tab/>
        </w:r>
        <w:r>
          <w:fldChar w:fldCharType="begin"/>
        </w:r>
        <w:r>
          <w:instrText xml:space="preserve"> PAGEREF _Toc14448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3" w:history="1">
        <w:r>
          <w:rPr>
            <w:rFonts w:ascii="仿宋" w:eastAsia="仿宋" w:hAnsi="仿宋" w:cs="仿宋" w:hint="eastAsia"/>
            <w:lang w:eastAsia="zh-CN"/>
          </w:rPr>
          <w:t>(一)、氮氧化物治理系统企业战略的制定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9" w:history="1">
        <w:r>
          <w:rPr>
            <w:rFonts w:ascii="仿宋" w:eastAsia="仿宋" w:hAnsi="仿宋" w:cs="仿宋" w:hint="eastAsia"/>
            <w:lang w:eastAsia="zh-CN"/>
          </w:rPr>
          <w:t>八、氮氧化物治理系统项目组织管理与招投标</w:t>
        </w:r>
        <w:r>
          <w:tab/>
        </w:r>
        <w:r>
          <w:fldChar w:fldCharType="begin"/>
        </w:r>
        <w:r>
          <w:instrText xml:space="preserve"> PAGEREF _Toc11339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(一)、氮氧化物治理系统项目筹建时期的组织与管理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9" w:history="1">
        <w:r>
          <w:rPr>
            <w:rFonts w:ascii="仿宋" w:eastAsia="仿宋" w:hAnsi="仿宋" w:cs="仿宋" w:hint="eastAsia"/>
            <w:lang w:eastAsia="zh-CN"/>
          </w:rPr>
          <w:t>(二)、氮氧化物治理系统项目运行时期的组织与管理</w:t>
        </w:r>
        <w:r>
          <w:tab/>
        </w:r>
        <w:r>
          <w:fldChar w:fldCharType="begin"/>
        </w:r>
        <w:r>
          <w:instrText xml:space="preserve"> PAGEREF _Toc9459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2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_Toc11902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0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_Toc24300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8" w:history="1">
        <w:r>
          <w:rPr>
            <w:rFonts w:ascii="仿宋" w:eastAsia="仿宋" w:hAnsi="仿宋" w:cs="仿宋" w:hint="eastAsia"/>
            <w:lang w:eastAsia="zh-CN"/>
          </w:rPr>
          <w:t>九、产业环境分析</w:t>
        </w:r>
        <w:r>
          <w:tab/>
        </w:r>
        <w:r>
          <w:fldChar w:fldCharType="begin"/>
        </w:r>
        <w:r>
          <w:instrText xml:space="preserve"> PAGEREF _Toc17188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4" w:history="1">
        <w:r>
          <w:rPr>
            <w:rFonts w:ascii="仿宋" w:eastAsia="仿宋" w:hAnsi="仿宋" w:cs="仿宋" w:hint="eastAsia"/>
            <w:lang w:eastAsia="zh-CN"/>
          </w:rPr>
          <w:t>十、氮氧化物治理系统项目节能概况</w:t>
        </w:r>
        <w:r>
          <w:tab/>
        </w:r>
        <w:r>
          <w:fldChar w:fldCharType="begin"/>
        </w:r>
        <w:r>
          <w:instrText xml:space="preserve"> PAGEREF _Toc28564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_Toc2087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(二)、氮氧化物治理系统项目所在地能源消费及能源供应条件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13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_Toc28813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0" w:history="1">
        <w:r>
          <w:rPr>
            <w:rFonts w:ascii="仿宋" w:eastAsia="仿宋" w:hAnsi="仿宋" w:cs="仿宋" w:hint="eastAsia"/>
            <w:lang w:eastAsia="zh-CN"/>
          </w:rPr>
          <w:t>(四)、氮氧化物治理系统项目预期节能综合评价</w:t>
        </w:r>
        <w:r>
          <w:tab/>
        </w:r>
        <w:r>
          <w:fldChar w:fldCharType="begin"/>
        </w:r>
        <w:r>
          <w:instrText xml:space="preserve"> PAGEREF _Toc22050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" w:history="1">
        <w:r>
          <w:rPr>
            <w:rFonts w:ascii="仿宋" w:eastAsia="仿宋" w:hAnsi="仿宋" w:cs="仿宋" w:hint="eastAsia"/>
            <w:lang w:eastAsia="zh-CN"/>
          </w:rPr>
          <w:t>(五)、氮氧化物治理系统项目节能设计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2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_Toc26512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8" w:history="1">
        <w:r>
          <w:rPr>
            <w:rFonts w:ascii="仿宋" w:eastAsia="仿宋" w:hAnsi="仿宋" w:cs="仿宋" w:hint="eastAsia"/>
            <w:lang w:eastAsia="zh-CN"/>
          </w:rPr>
          <w:t>十一、第二十八章公司与员工法律关系</w:t>
        </w:r>
        <w:r>
          <w:tab/>
        </w:r>
        <w:r>
          <w:fldChar w:fldCharType="begin"/>
        </w:r>
        <w:r>
          <w:instrText xml:space="preserve"> PAGEREF _Toc19938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8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_Toc7768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5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_Toc29215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7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_Toc30977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十二、供应链管理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_Toc11253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5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_Toc3505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5" w:history="1">
        <w:r>
          <w:rPr>
            <w:rFonts w:ascii="仿宋" w:eastAsia="仿宋" w:hAnsi="仿宋" w:cs="仿宋" w:hint="eastAsia"/>
            <w:lang w:eastAsia="zh-CN"/>
          </w:rPr>
          <w:t>十三、氮氧化物治理系统公司治理与社会责任</w:t>
        </w:r>
        <w:r>
          <w:tab/>
        </w:r>
        <w:r>
          <w:fldChar w:fldCharType="begin"/>
        </w:r>
        <w:r>
          <w:instrText xml:space="preserve"> PAGEREF _Toc8415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4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_Toc31254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3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_Toc4433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9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_Toc29359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2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_Toc15691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十四、人力资源的特点及管理过程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2" w:history="1">
        <w:r>
          <w:rPr>
            <w:rFonts w:ascii="仿宋" w:eastAsia="仿宋" w:hAnsi="仿宋" w:cs="仿宋" w:hint="eastAsia"/>
            <w:lang w:eastAsia="zh-CN"/>
          </w:rPr>
          <w:t>十五、安全与劳动保护</w:t>
        </w:r>
        <w:r>
          <w:tab/>
        </w:r>
        <w:r>
          <w:fldChar w:fldCharType="begin"/>
        </w:r>
        <w:r>
          <w:instrText xml:space="preserve"> PAGEREF _Toc27632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5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9" w:history="1">
        <w:r>
          <w:rPr>
            <w:rFonts w:ascii="仿宋" w:eastAsia="仿宋" w:hAnsi="仿宋" w:cs="仿宋" w:hint="eastAsia"/>
            <w:lang w:eastAsia="zh-CN"/>
          </w:rPr>
          <w:t>十六、客户关系管理方案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" w:history="1">
        <w:r>
          <w:rPr>
            <w:rFonts w:ascii="仿宋" w:eastAsia="仿宋" w:hAnsi="仿宋" w:cs="仿宋" w:hint="eastAsia"/>
            <w:lang w:eastAsia="zh-CN"/>
          </w:rPr>
          <w:t>(一)、客户关系建立与维护</w:t>
        </w:r>
        <w:r>
          <w:tab/>
        </w:r>
        <w:r>
          <w:fldChar w:fldCharType="begin"/>
        </w:r>
        <w:r>
          <w:instrText xml:space="preserve"> PAGEREF _Toc1052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4" w:history="1">
        <w:r>
          <w:rPr>
            <w:rFonts w:ascii="仿宋" w:eastAsia="仿宋" w:hAnsi="仿宋" w:cs="仿宋" w:hint="eastAsia"/>
            <w:lang w:eastAsia="zh-CN"/>
          </w:rPr>
          <w:t>(二)、客户投诉处理与服务改进</w:t>
        </w:r>
        <w:r>
          <w:tab/>
        </w:r>
        <w:r>
          <w:fldChar w:fldCharType="begin"/>
        </w:r>
        <w:r>
          <w:instrText xml:space="preserve"> PAGEREF _Toc6624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eastAsia="zh-CN"/>
          </w:rPr>
          <w:t>(三)、客户满意度调查与反馈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" w:history="1">
        <w:r>
          <w:rPr>
            <w:rFonts w:ascii="仿宋" w:eastAsia="仿宋" w:hAnsi="仿宋" w:cs="仿宋" w:hint="eastAsia"/>
            <w:lang w:eastAsia="zh-CN"/>
          </w:rPr>
          <w:t>(四)、客户忠诚度提升策略</w:t>
        </w:r>
        <w:r>
          <w:tab/>
        </w:r>
        <w:r>
          <w:fldChar w:fldCharType="begin"/>
        </w:r>
        <w:r>
          <w:instrText xml:space="preserve"> PAGEREF _Toc2961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2" w:history="1">
        <w:r>
          <w:rPr>
            <w:rFonts w:ascii="仿宋" w:eastAsia="仿宋" w:hAnsi="仿宋" w:cs="仿宋" w:hint="eastAsia"/>
            <w:lang w:eastAsia="zh-CN"/>
          </w:rPr>
          <w:t>(五)、客户关系管理系统应用</w:t>
        </w:r>
        <w:r>
          <w:tab/>
        </w:r>
        <w:r>
          <w:fldChar w:fldCharType="begin"/>
        </w:r>
        <w:r>
          <w:instrText xml:space="preserve"> PAGEREF _Toc28702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3" w:history="1">
        <w:r>
          <w:rPr>
            <w:rFonts w:ascii="仿宋" w:eastAsia="仿宋" w:hAnsi="仿宋" w:cs="仿宋" w:hint="eastAsia"/>
            <w:lang w:eastAsia="zh-CN"/>
          </w:rPr>
          <w:t>十七、员工职业发展教育与培训</w:t>
        </w:r>
        <w:r>
          <w:tab/>
        </w:r>
        <w:r>
          <w:fldChar w:fldCharType="begin"/>
        </w:r>
        <w:r>
          <w:instrText xml:space="preserve"> PAGEREF _Toc10633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4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_Toc9474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2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_Toc21542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十八、生产控制的方式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十九、氮氧化物治理系统场地规划方案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eastAsia="zh-CN"/>
          </w:rPr>
          <w:t>(一)、氮氧化物治理系统场地布局原则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2" w:history="1">
        <w:r>
          <w:rPr>
            <w:rFonts w:ascii="仿宋" w:eastAsia="仿宋" w:hAnsi="仿宋" w:cs="仿宋" w:hint="eastAsia"/>
            <w:lang w:eastAsia="zh-CN"/>
          </w:rPr>
          <w:t>(二)、氮氧化物治理系统场地装修设计方案</w:t>
        </w:r>
        <w:r>
          <w:tab/>
        </w:r>
        <w:r>
          <w:fldChar w:fldCharType="begin"/>
        </w:r>
        <w:r>
          <w:instrText xml:space="preserve"> PAGEREF _Toc32692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二十、氮氧化物治理系统项目优势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_Toc5085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73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_Toc21731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5" w:history="1">
        <w:r>
          <w:rPr>
            <w:rFonts w:ascii="仿宋" w:eastAsia="仿宋" w:hAnsi="仿宋" w:cs="仿宋" w:hint="eastAsia"/>
            <w:lang w:eastAsia="zh-CN"/>
          </w:rPr>
          <w:t>二十一、制度建设与管理</w:t>
        </w:r>
        <w:r>
          <w:tab/>
        </w:r>
        <w:r>
          <w:fldChar w:fldCharType="begin"/>
        </w:r>
        <w:r>
          <w:instrText xml:space="preserve"> PAGEREF _Toc29275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8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_Toc31128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0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63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7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组建监理团队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监理的重要环节中，一个强大的监理团队是至关重要的。首先，我们需要明确监理团队的组织结构，该团队由监理经理、监理工程师和质量专员等职责明确的成员组成。我们将充分考虑各成员的专业背景和经验，以确保监理团队具备充足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制定监理计划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监理计划将明确监理的总体框架和目标。该计划将包括监理的重点、监理频次、监理报告的提交周期等项目各个阶段的细节。我们的目标是确保监理工作能有系统地推进，全面覆盖项目的各个方面。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引入先进的监理工具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https://d.book118.com/107120111053006052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氮氧化物治理系统项目营销方案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氮氧化物治理系统项目营销方案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氮氧化物治理系统项目营销方案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氮氧化物治理系统项目营销方案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氮氧化物治理系统项目营销方案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3A50DA"/>
    <w:rsid w:val="4593521B"/>
    <w:rsid w:val="653A50D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7120111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2024-03-13T09:46:00Z</dcterms:created>
  <dcterms:modified xsi:type="dcterms:W3CDTF">2024-03-13T09:46:48Z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2219B453500547E0B355A743B7C118CF_11</vt:lpwstr>
  </property>
  <property fmtid="{D5CDD505-2E9C-101B-9397-08002B2CF9AE}" pid="3" name="KSOProductBuildVer">
    <vt:lpwstr>2052-12.1.0.16399</vt:lpwstr>
  </property>
</Properties>
</file>