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水泥砖机相关行业公司成立方案及可行性研究报告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二、水泥砖机筹建公司基本信息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_Toc15571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(一)、水泥砖机项目选址原则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(五)、水泥砖机项目选址综合评价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_Toc27489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仿宋" w:eastAsia="仿宋" w:hAnsi="仿宋" w:cs="仿宋" w:hint="eastAsia"/>
            <w:lang w:eastAsia="zh-CN"/>
          </w:rPr>
          <w:t>(一)、水泥砖机项目进度安排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(二)、水泥砖机项目实施保障措施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_Toc23455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_Toc25698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_Toc5898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八、水泥砖机项目经济效益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_Toc5100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8" w:history="1">
        <w:r>
          <w:rPr>
            <w:rFonts w:ascii="仿宋" w:eastAsia="仿宋" w:hAnsi="仿宋" w:cs="仿宋" w:hint="eastAsia"/>
            <w:lang w:eastAsia="zh-CN"/>
          </w:rPr>
          <w:t>(三)、水泥砖机项目盈利能力分析</w:t>
        </w:r>
        <w:r>
          <w:tab/>
        </w:r>
        <w:r>
          <w:fldChar w:fldCharType="begin"/>
        </w:r>
        <w:r>
          <w:instrText xml:space="preserve"> PAGEREF _Toc29928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九、水泥砖机项目风险分析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6" w:history="1">
        <w:r>
          <w:rPr>
            <w:rFonts w:ascii="仿宋" w:eastAsia="仿宋" w:hAnsi="仿宋" w:cs="仿宋" w:hint="eastAsia"/>
            <w:lang w:eastAsia="zh-CN"/>
          </w:rPr>
          <w:t>(一)、水泥砖机项目风险分析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4" w:history="1">
        <w:r>
          <w:rPr>
            <w:rFonts w:ascii="仿宋" w:eastAsia="仿宋" w:hAnsi="仿宋" w:cs="仿宋" w:hint="eastAsia"/>
            <w:lang w:eastAsia="zh-CN"/>
          </w:rPr>
          <w:t>(二)、水泥砖机项目风险对策</w:t>
        </w:r>
        <w:r>
          <w:tab/>
        </w:r>
        <w:r>
          <w:fldChar w:fldCharType="begin"/>
        </w:r>
        <w:r>
          <w:instrText xml:space="preserve"> PAGEREF _Toc23204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十一、水泥砖机项目总结分析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(一)、社会责任水泥砖机项目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_Toc786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_Toc27557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_Toc13930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1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https://d.book118.com/107125042161006032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7125042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2024-01-01T20:35:00Z</dcterms:created>
  <dcterms:modified xsi:type="dcterms:W3CDTF">2024-01-01T20:35:51Z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30B2A27C1BB2421DA196CCE04C7EB6EF_11</vt:lpwstr>
  </property>
  <property fmtid="{D5CDD505-2E9C-101B-9397-08002B2CF9AE}" pid="3" name="KSOProductBuildVer">
    <vt:lpwstr>2052-12.1.0.16120</vt:lpwstr>
  </property>
</Properties>
</file>