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CNJ202型低压甲醇催化剂项目计划设计方案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45" w:history="1">
        <w:r>
          <w:rPr>
            <w:rFonts w:ascii="仿宋" w:eastAsia="仿宋" w:hAnsi="仿宋" w:cs="仿宋" w:hint="eastAsia"/>
            <w:lang w:eastAsia="zh-CN"/>
          </w:rPr>
          <w:t>前言</w:t>
        </w:r>
        <w:r>
          <w:tab/>
        </w:r>
        <w:r>
          <w:fldChar w:fldCharType="begin"/>
        </w:r>
        <w:r>
          <w:instrText xml:space="preserve"> PAGEREF _Toc23245 \h </w:instrText>
        </w:r>
        <w:r>
          <w:fldChar w:fldCharType="separate"/>
        </w:r>
        <w:r>
          <w:t>3</w:t>
        </w:r>
        <w:r>
          <w:fldChar w:fldCharType="end"/>
        </w:r>
      </w:hyperlink>
    </w:p>
    <w:p>
      <w:pPr>
        <w:pStyle w:val="TOC1"/>
        <w:tabs>
          <w:tab w:val="right" w:leader="dot" w:pos="8306"/>
        </w:tabs>
      </w:pPr>
      <w:hyperlink w:anchor="_Toc16908" w:history="1">
        <w:r>
          <w:rPr>
            <w:rFonts w:ascii="仿宋" w:eastAsia="仿宋" w:hAnsi="仿宋" w:cs="仿宋" w:hint="eastAsia"/>
            <w:lang w:eastAsia="zh-CN"/>
          </w:rPr>
          <w:t>一、市场分析、调研</w:t>
        </w:r>
        <w:r>
          <w:tab/>
        </w:r>
        <w:r>
          <w:fldChar w:fldCharType="begin"/>
        </w:r>
        <w:r>
          <w:instrText xml:space="preserve"> PAGEREF _Toc16908 \h </w:instrText>
        </w:r>
        <w:r>
          <w:fldChar w:fldCharType="separate"/>
        </w:r>
        <w:r>
          <w:t>3</w:t>
        </w:r>
        <w:r>
          <w:fldChar w:fldCharType="end"/>
        </w:r>
      </w:hyperlink>
    </w:p>
    <w:p>
      <w:pPr>
        <w:pStyle w:val="TOC2"/>
        <w:tabs>
          <w:tab w:val="right" w:leader="dot" w:pos="8306"/>
        </w:tabs>
      </w:pPr>
      <w:hyperlink w:anchor="_Toc16570" w:history="1">
        <w:r>
          <w:rPr>
            <w:rFonts w:ascii="仿宋" w:eastAsia="仿宋" w:hAnsi="仿宋" w:cs="仿宋" w:hint="eastAsia"/>
            <w:lang w:eastAsia="zh-CN"/>
          </w:rPr>
          <w:t>(一)、CNJ202型低压甲醇催化剂行业分析</w:t>
        </w:r>
        <w:r>
          <w:tab/>
        </w:r>
        <w:r>
          <w:fldChar w:fldCharType="begin"/>
        </w:r>
        <w:r>
          <w:instrText xml:space="preserve"> PAGEREF _Toc16570 \h </w:instrText>
        </w:r>
        <w:r>
          <w:fldChar w:fldCharType="separate"/>
        </w:r>
        <w:r>
          <w:t>3</w:t>
        </w:r>
        <w:r>
          <w:fldChar w:fldCharType="end"/>
        </w:r>
      </w:hyperlink>
    </w:p>
    <w:p>
      <w:pPr>
        <w:pStyle w:val="TOC2"/>
        <w:tabs>
          <w:tab w:val="right" w:leader="dot" w:pos="8306"/>
        </w:tabs>
      </w:pPr>
      <w:hyperlink w:anchor="_Toc21723" w:history="1">
        <w:r>
          <w:rPr>
            <w:rFonts w:ascii="仿宋" w:eastAsia="仿宋" w:hAnsi="仿宋" w:cs="仿宋" w:hint="eastAsia"/>
            <w:lang w:eastAsia="zh-CN"/>
          </w:rPr>
          <w:t>(二)、CNJ202型低压甲醇催化剂市场分析预测</w:t>
        </w:r>
        <w:r>
          <w:tab/>
        </w:r>
        <w:r>
          <w:fldChar w:fldCharType="begin"/>
        </w:r>
        <w:r>
          <w:instrText xml:space="preserve"> PAGEREF _Toc21723 \h </w:instrText>
        </w:r>
        <w:r>
          <w:fldChar w:fldCharType="separate"/>
        </w:r>
        <w:r>
          <w:t>4</w:t>
        </w:r>
        <w:r>
          <w:fldChar w:fldCharType="end"/>
        </w:r>
      </w:hyperlink>
    </w:p>
    <w:p>
      <w:pPr>
        <w:pStyle w:val="TOC1"/>
        <w:tabs>
          <w:tab w:val="right" w:leader="dot" w:pos="8306"/>
        </w:tabs>
      </w:pPr>
      <w:hyperlink w:anchor="_Toc8106" w:history="1">
        <w:r>
          <w:rPr>
            <w:rFonts w:ascii="仿宋" w:eastAsia="仿宋" w:hAnsi="仿宋" w:cs="仿宋" w:hint="eastAsia"/>
            <w:lang w:eastAsia="zh-CN"/>
          </w:rPr>
          <w:t>二、工艺说明</w:t>
        </w:r>
        <w:r>
          <w:tab/>
        </w:r>
        <w:r>
          <w:fldChar w:fldCharType="begin"/>
        </w:r>
        <w:r>
          <w:instrText xml:space="preserve"> PAGEREF _Toc8106 \h </w:instrText>
        </w:r>
        <w:r>
          <w:fldChar w:fldCharType="separate"/>
        </w:r>
        <w:r>
          <w:t>5</w:t>
        </w:r>
        <w:r>
          <w:fldChar w:fldCharType="end"/>
        </w:r>
      </w:hyperlink>
    </w:p>
    <w:p>
      <w:pPr>
        <w:pStyle w:val="TOC2"/>
        <w:tabs>
          <w:tab w:val="right" w:leader="dot" w:pos="8306"/>
        </w:tabs>
      </w:pPr>
      <w:hyperlink w:anchor="_Toc17048" w:history="1">
        <w:r>
          <w:rPr>
            <w:rFonts w:ascii="仿宋" w:eastAsia="仿宋" w:hAnsi="仿宋" w:cs="仿宋" w:hint="eastAsia"/>
            <w:lang w:eastAsia="zh-CN"/>
          </w:rPr>
          <w:t>(一)、技术管理特点</w:t>
        </w:r>
        <w:r>
          <w:tab/>
        </w:r>
        <w:r>
          <w:fldChar w:fldCharType="begin"/>
        </w:r>
        <w:r>
          <w:instrText xml:space="preserve"> PAGEREF _Toc17048 \h </w:instrText>
        </w:r>
        <w:r>
          <w:fldChar w:fldCharType="separate"/>
        </w:r>
        <w:r>
          <w:t>5</w:t>
        </w:r>
        <w:r>
          <w:fldChar w:fldCharType="end"/>
        </w:r>
      </w:hyperlink>
    </w:p>
    <w:p>
      <w:pPr>
        <w:pStyle w:val="TOC2"/>
        <w:tabs>
          <w:tab w:val="right" w:leader="dot" w:pos="8306"/>
        </w:tabs>
      </w:pPr>
      <w:hyperlink w:anchor="_Toc17643" w:history="1">
        <w:r>
          <w:rPr>
            <w:rFonts w:ascii="仿宋" w:eastAsia="仿宋" w:hAnsi="仿宋" w:cs="仿宋" w:hint="eastAsia"/>
            <w:lang w:eastAsia="zh-CN"/>
          </w:rPr>
          <w:t>(二)、CNJ202型低压甲醇催化剂项目工艺技术设计方案</w:t>
        </w:r>
        <w:r>
          <w:tab/>
        </w:r>
        <w:r>
          <w:fldChar w:fldCharType="begin"/>
        </w:r>
        <w:r>
          <w:instrText xml:space="preserve"> PAGEREF _Toc17643 \h </w:instrText>
        </w:r>
        <w:r>
          <w:fldChar w:fldCharType="separate"/>
        </w:r>
        <w:r>
          <w:t>6</w:t>
        </w:r>
        <w:r>
          <w:fldChar w:fldCharType="end"/>
        </w:r>
      </w:hyperlink>
    </w:p>
    <w:p>
      <w:pPr>
        <w:pStyle w:val="TOC2"/>
        <w:tabs>
          <w:tab w:val="right" w:leader="dot" w:pos="8306"/>
        </w:tabs>
      </w:pPr>
      <w:hyperlink w:anchor="_Toc23818" w:history="1">
        <w:r>
          <w:rPr>
            <w:rFonts w:ascii="仿宋" w:eastAsia="仿宋" w:hAnsi="仿宋" w:cs="仿宋" w:hint="eastAsia"/>
            <w:lang w:eastAsia="zh-CN"/>
          </w:rPr>
          <w:t>(三)、设备选型方案</w:t>
        </w:r>
        <w:r>
          <w:tab/>
        </w:r>
        <w:r>
          <w:fldChar w:fldCharType="begin"/>
        </w:r>
        <w:r>
          <w:instrText xml:space="preserve"> PAGEREF _Toc23818 \h </w:instrText>
        </w:r>
        <w:r>
          <w:fldChar w:fldCharType="separate"/>
        </w:r>
        <w:r>
          <w:t>7</w:t>
        </w:r>
        <w:r>
          <w:fldChar w:fldCharType="end"/>
        </w:r>
      </w:hyperlink>
    </w:p>
    <w:p>
      <w:pPr>
        <w:pStyle w:val="TOC1"/>
        <w:tabs>
          <w:tab w:val="right" w:leader="dot" w:pos="8306"/>
        </w:tabs>
      </w:pPr>
      <w:hyperlink w:anchor="_Toc22039" w:history="1">
        <w:r>
          <w:rPr>
            <w:rFonts w:ascii="仿宋" w:eastAsia="仿宋" w:hAnsi="仿宋" w:cs="仿宋" w:hint="eastAsia"/>
            <w:lang w:eastAsia="zh-CN"/>
          </w:rPr>
          <w:t>三、CNJ202型低压甲醇催化剂项目选址可行性分析</w:t>
        </w:r>
        <w:r>
          <w:tab/>
        </w:r>
        <w:r>
          <w:fldChar w:fldCharType="begin"/>
        </w:r>
        <w:r>
          <w:instrText xml:space="preserve"> PAGEREF _Toc22039 \h </w:instrText>
        </w:r>
        <w:r>
          <w:fldChar w:fldCharType="separate"/>
        </w:r>
        <w:r>
          <w:t>9</w:t>
        </w:r>
        <w:r>
          <w:fldChar w:fldCharType="end"/>
        </w:r>
      </w:hyperlink>
    </w:p>
    <w:p>
      <w:pPr>
        <w:pStyle w:val="TOC2"/>
        <w:tabs>
          <w:tab w:val="right" w:leader="dot" w:pos="8306"/>
        </w:tabs>
      </w:pPr>
      <w:hyperlink w:anchor="_Toc2727" w:history="1">
        <w:r>
          <w:rPr>
            <w:rFonts w:ascii="仿宋" w:eastAsia="仿宋" w:hAnsi="仿宋" w:cs="仿宋" w:hint="eastAsia"/>
            <w:lang w:eastAsia="zh-CN"/>
          </w:rPr>
          <w:t>(一)、CNJ202型低压甲醇催化剂项目选址</w:t>
        </w:r>
        <w:r>
          <w:tab/>
        </w:r>
        <w:r>
          <w:fldChar w:fldCharType="begin"/>
        </w:r>
        <w:r>
          <w:instrText xml:space="preserve"> PAGEREF _Toc2727 \h </w:instrText>
        </w:r>
        <w:r>
          <w:fldChar w:fldCharType="separate"/>
        </w:r>
        <w:r>
          <w:t>9</w:t>
        </w:r>
        <w:r>
          <w:fldChar w:fldCharType="end"/>
        </w:r>
      </w:hyperlink>
    </w:p>
    <w:p>
      <w:pPr>
        <w:pStyle w:val="TOC2"/>
        <w:tabs>
          <w:tab w:val="right" w:leader="dot" w:pos="8306"/>
        </w:tabs>
      </w:pPr>
      <w:hyperlink w:anchor="_Toc8705" w:history="1">
        <w:r>
          <w:rPr>
            <w:rFonts w:ascii="仿宋" w:eastAsia="仿宋" w:hAnsi="仿宋" w:cs="仿宋" w:hint="eastAsia"/>
            <w:lang w:eastAsia="zh-CN"/>
          </w:rPr>
          <w:t>(二)、用地控制指标</w:t>
        </w:r>
        <w:r>
          <w:tab/>
        </w:r>
        <w:r>
          <w:fldChar w:fldCharType="begin"/>
        </w:r>
        <w:r>
          <w:instrText xml:space="preserve"> PAGEREF _Toc8705 \h </w:instrText>
        </w:r>
        <w:r>
          <w:fldChar w:fldCharType="separate"/>
        </w:r>
        <w:r>
          <w:t>9</w:t>
        </w:r>
        <w:r>
          <w:fldChar w:fldCharType="end"/>
        </w:r>
      </w:hyperlink>
    </w:p>
    <w:p>
      <w:pPr>
        <w:pStyle w:val="TOC2"/>
        <w:tabs>
          <w:tab w:val="right" w:leader="dot" w:pos="8306"/>
        </w:tabs>
      </w:pPr>
      <w:hyperlink w:anchor="_Toc16453" w:history="1">
        <w:r>
          <w:rPr>
            <w:rFonts w:ascii="仿宋" w:eastAsia="仿宋" w:hAnsi="仿宋" w:cs="仿宋" w:hint="eastAsia"/>
            <w:lang w:eastAsia="zh-CN"/>
          </w:rPr>
          <w:t>(三)、节约用地措施</w:t>
        </w:r>
        <w:r>
          <w:tab/>
        </w:r>
        <w:r>
          <w:fldChar w:fldCharType="begin"/>
        </w:r>
        <w:r>
          <w:instrText xml:space="preserve"> PAGEREF _Toc16453 \h </w:instrText>
        </w:r>
        <w:r>
          <w:fldChar w:fldCharType="separate"/>
        </w:r>
        <w:r>
          <w:t>11</w:t>
        </w:r>
        <w:r>
          <w:fldChar w:fldCharType="end"/>
        </w:r>
      </w:hyperlink>
    </w:p>
    <w:p>
      <w:pPr>
        <w:pStyle w:val="TOC2"/>
        <w:tabs>
          <w:tab w:val="right" w:leader="dot" w:pos="8306"/>
        </w:tabs>
      </w:pPr>
      <w:hyperlink w:anchor="_Toc28210" w:history="1">
        <w:r>
          <w:rPr>
            <w:rFonts w:ascii="仿宋" w:eastAsia="仿宋" w:hAnsi="仿宋" w:cs="仿宋" w:hint="eastAsia"/>
            <w:lang w:eastAsia="zh-CN"/>
          </w:rPr>
          <w:t>(四)、总图布置方案</w:t>
        </w:r>
        <w:r>
          <w:tab/>
        </w:r>
        <w:r>
          <w:fldChar w:fldCharType="begin"/>
        </w:r>
        <w:r>
          <w:instrText xml:space="preserve"> PAGEREF _Toc28210 \h </w:instrText>
        </w:r>
        <w:r>
          <w:fldChar w:fldCharType="separate"/>
        </w:r>
        <w:r>
          <w:t>12</w:t>
        </w:r>
        <w:r>
          <w:fldChar w:fldCharType="end"/>
        </w:r>
      </w:hyperlink>
    </w:p>
    <w:p>
      <w:pPr>
        <w:pStyle w:val="TOC2"/>
        <w:tabs>
          <w:tab w:val="right" w:leader="dot" w:pos="8306"/>
        </w:tabs>
      </w:pPr>
      <w:hyperlink w:anchor="_Toc26922" w:history="1">
        <w:r>
          <w:rPr>
            <w:rFonts w:ascii="仿宋" w:eastAsia="仿宋" w:hAnsi="仿宋" w:cs="仿宋" w:hint="eastAsia"/>
            <w:lang w:eastAsia="zh-CN"/>
          </w:rPr>
          <w:t>(五)、选址综合评价</w:t>
        </w:r>
        <w:r>
          <w:tab/>
        </w:r>
        <w:r>
          <w:fldChar w:fldCharType="begin"/>
        </w:r>
        <w:r>
          <w:instrText xml:space="preserve"> PAGEREF _Toc26922 \h </w:instrText>
        </w:r>
        <w:r>
          <w:fldChar w:fldCharType="separate"/>
        </w:r>
        <w:r>
          <w:t>13</w:t>
        </w:r>
        <w:r>
          <w:fldChar w:fldCharType="end"/>
        </w:r>
      </w:hyperlink>
    </w:p>
    <w:p>
      <w:pPr>
        <w:pStyle w:val="TOC1"/>
        <w:tabs>
          <w:tab w:val="right" w:leader="dot" w:pos="8306"/>
        </w:tabs>
      </w:pPr>
      <w:hyperlink w:anchor="_Toc19766" w:history="1">
        <w:r>
          <w:rPr>
            <w:rFonts w:ascii="仿宋" w:eastAsia="仿宋" w:hAnsi="仿宋" w:cs="仿宋" w:hint="eastAsia"/>
            <w:lang w:eastAsia="zh-CN"/>
          </w:rPr>
          <w:t>四、CNJ202型低压甲醇催化剂项目文档管理</w:t>
        </w:r>
        <w:r>
          <w:tab/>
        </w:r>
        <w:r>
          <w:fldChar w:fldCharType="begin"/>
        </w:r>
        <w:r>
          <w:instrText xml:space="preserve"> PAGEREF _Toc19766 \h </w:instrText>
        </w:r>
        <w:r>
          <w:fldChar w:fldCharType="separate"/>
        </w:r>
        <w:r>
          <w:t>15</w:t>
        </w:r>
        <w:r>
          <w:fldChar w:fldCharType="end"/>
        </w:r>
      </w:hyperlink>
    </w:p>
    <w:p>
      <w:pPr>
        <w:pStyle w:val="TOC2"/>
        <w:tabs>
          <w:tab w:val="right" w:leader="dot" w:pos="8306"/>
        </w:tabs>
      </w:pPr>
      <w:hyperlink w:anchor="_Toc14505" w:history="1">
        <w:r>
          <w:rPr>
            <w:rFonts w:ascii="仿宋" w:eastAsia="仿宋" w:hAnsi="仿宋" w:cs="仿宋" w:hint="eastAsia"/>
            <w:lang w:eastAsia="zh-CN"/>
          </w:rPr>
          <w:t>(一)、文档编制与审查</w:t>
        </w:r>
        <w:r>
          <w:tab/>
        </w:r>
        <w:r>
          <w:fldChar w:fldCharType="begin"/>
        </w:r>
        <w:r>
          <w:instrText xml:space="preserve"> PAGEREF _Toc14505 \h </w:instrText>
        </w:r>
        <w:r>
          <w:fldChar w:fldCharType="separate"/>
        </w:r>
        <w:r>
          <w:t>15</w:t>
        </w:r>
        <w:r>
          <w:fldChar w:fldCharType="end"/>
        </w:r>
      </w:hyperlink>
    </w:p>
    <w:p>
      <w:pPr>
        <w:pStyle w:val="TOC2"/>
        <w:tabs>
          <w:tab w:val="right" w:leader="dot" w:pos="8306"/>
        </w:tabs>
      </w:pPr>
      <w:hyperlink w:anchor="_Toc11323" w:history="1">
        <w:r>
          <w:rPr>
            <w:rFonts w:ascii="仿宋" w:eastAsia="仿宋" w:hAnsi="仿宋" w:cs="仿宋" w:hint="eastAsia"/>
            <w:lang w:eastAsia="zh-CN"/>
          </w:rPr>
          <w:t>(二)、文档发布与分发</w:t>
        </w:r>
        <w:r>
          <w:tab/>
        </w:r>
        <w:r>
          <w:fldChar w:fldCharType="begin"/>
        </w:r>
        <w:r>
          <w:instrText xml:space="preserve"> PAGEREF _Toc11323 \h </w:instrText>
        </w:r>
        <w:r>
          <w:fldChar w:fldCharType="separate"/>
        </w:r>
        <w:r>
          <w:t>16</w:t>
        </w:r>
        <w:r>
          <w:fldChar w:fldCharType="end"/>
        </w:r>
      </w:hyperlink>
    </w:p>
    <w:p>
      <w:pPr>
        <w:pStyle w:val="TOC2"/>
        <w:tabs>
          <w:tab w:val="right" w:leader="dot" w:pos="8306"/>
        </w:tabs>
      </w:pPr>
      <w:hyperlink w:anchor="_Toc31160" w:history="1">
        <w:r>
          <w:rPr>
            <w:rFonts w:ascii="仿宋" w:eastAsia="仿宋" w:hAnsi="仿宋" w:cs="仿宋" w:hint="eastAsia"/>
            <w:lang w:eastAsia="zh-CN"/>
          </w:rPr>
          <w:t>(三)、文档存档与归档</w:t>
        </w:r>
        <w:r>
          <w:tab/>
        </w:r>
        <w:r>
          <w:fldChar w:fldCharType="begin"/>
        </w:r>
        <w:r>
          <w:instrText xml:space="preserve"> PAGEREF _Toc31160 \h </w:instrText>
        </w:r>
        <w:r>
          <w:fldChar w:fldCharType="separate"/>
        </w:r>
        <w:r>
          <w:t>17</w:t>
        </w:r>
        <w:r>
          <w:fldChar w:fldCharType="end"/>
        </w:r>
      </w:hyperlink>
    </w:p>
    <w:p>
      <w:pPr>
        <w:pStyle w:val="TOC1"/>
        <w:tabs>
          <w:tab w:val="right" w:leader="dot" w:pos="8306"/>
        </w:tabs>
      </w:pPr>
      <w:hyperlink w:anchor="_Toc31449" w:history="1">
        <w:r>
          <w:rPr>
            <w:rFonts w:ascii="仿宋" w:eastAsia="仿宋" w:hAnsi="仿宋" w:cs="仿宋" w:hint="eastAsia"/>
            <w:lang w:eastAsia="zh-CN"/>
          </w:rPr>
          <w:t>五、CNJ202型低压甲醇催化剂项目可持续发展</w:t>
        </w:r>
        <w:r>
          <w:tab/>
        </w:r>
        <w:r>
          <w:fldChar w:fldCharType="begin"/>
        </w:r>
        <w:r>
          <w:instrText xml:space="preserve"> PAGEREF _Toc31449 \h </w:instrText>
        </w:r>
        <w:r>
          <w:fldChar w:fldCharType="separate"/>
        </w:r>
        <w:r>
          <w:t>18</w:t>
        </w:r>
        <w:r>
          <w:fldChar w:fldCharType="end"/>
        </w:r>
      </w:hyperlink>
    </w:p>
    <w:p>
      <w:pPr>
        <w:pStyle w:val="TOC2"/>
        <w:tabs>
          <w:tab w:val="right" w:leader="dot" w:pos="8306"/>
        </w:tabs>
      </w:pPr>
      <w:hyperlink w:anchor="_Toc21535" w:history="1">
        <w:r>
          <w:rPr>
            <w:rFonts w:ascii="仿宋" w:eastAsia="仿宋" w:hAnsi="仿宋" w:cs="仿宋" w:hint="eastAsia"/>
            <w:lang w:eastAsia="zh-CN"/>
          </w:rPr>
          <w:t>(一)、可持续战略与实践</w:t>
        </w:r>
        <w:r>
          <w:tab/>
        </w:r>
        <w:r>
          <w:fldChar w:fldCharType="begin"/>
        </w:r>
        <w:r>
          <w:instrText xml:space="preserve"> PAGEREF _Toc21535 \h </w:instrText>
        </w:r>
        <w:r>
          <w:fldChar w:fldCharType="separate"/>
        </w:r>
        <w:r>
          <w:t>18</w:t>
        </w:r>
        <w:r>
          <w:fldChar w:fldCharType="end"/>
        </w:r>
      </w:hyperlink>
    </w:p>
    <w:p>
      <w:pPr>
        <w:pStyle w:val="TOC2"/>
        <w:tabs>
          <w:tab w:val="right" w:leader="dot" w:pos="8306"/>
        </w:tabs>
      </w:pPr>
      <w:hyperlink w:anchor="_Toc9728" w:history="1">
        <w:r>
          <w:rPr>
            <w:rFonts w:ascii="仿宋" w:eastAsia="仿宋" w:hAnsi="仿宋" w:cs="仿宋" w:hint="eastAsia"/>
            <w:lang w:eastAsia="zh-CN"/>
          </w:rPr>
          <w:t>(二)、环保与社会责任</w:t>
        </w:r>
        <w:r>
          <w:tab/>
        </w:r>
        <w:r>
          <w:fldChar w:fldCharType="begin"/>
        </w:r>
        <w:r>
          <w:instrText xml:space="preserve"> PAGEREF _Toc9728 \h </w:instrText>
        </w:r>
        <w:r>
          <w:fldChar w:fldCharType="separate"/>
        </w:r>
        <w:r>
          <w:t>19</w:t>
        </w:r>
        <w:r>
          <w:fldChar w:fldCharType="end"/>
        </w:r>
      </w:hyperlink>
    </w:p>
    <w:p>
      <w:pPr>
        <w:pStyle w:val="TOC1"/>
        <w:tabs>
          <w:tab w:val="right" w:leader="dot" w:pos="8306"/>
        </w:tabs>
      </w:pPr>
      <w:hyperlink w:anchor="_Toc31792" w:history="1">
        <w:r>
          <w:rPr>
            <w:rFonts w:ascii="仿宋" w:eastAsia="仿宋" w:hAnsi="仿宋" w:cs="仿宋" w:hint="eastAsia"/>
            <w:lang w:eastAsia="zh-CN"/>
          </w:rPr>
          <w:t>六、CNJ202型低压甲醇催化剂项目建设单位说明</w:t>
        </w:r>
        <w:r>
          <w:tab/>
        </w:r>
        <w:r>
          <w:fldChar w:fldCharType="begin"/>
        </w:r>
        <w:r>
          <w:instrText xml:space="preserve"> PAGEREF _Toc31792 \h </w:instrText>
        </w:r>
        <w:r>
          <w:fldChar w:fldCharType="separate"/>
        </w:r>
        <w:r>
          <w:t>20</w:t>
        </w:r>
        <w:r>
          <w:fldChar w:fldCharType="end"/>
        </w:r>
      </w:hyperlink>
    </w:p>
    <w:p>
      <w:pPr>
        <w:pStyle w:val="TOC2"/>
        <w:tabs>
          <w:tab w:val="right" w:leader="dot" w:pos="8306"/>
        </w:tabs>
      </w:pPr>
      <w:hyperlink w:anchor="_Toc10072" w:history="1">
        <w:r>
          <w:rPr>
            <w:rFonts w:ascii="仿宋" w:eastAsia="仿宋" w:hAnsi="仿宋" w:cs="仿宋" w:hint="eastAsia"/>
            <w:lang w:eastAsia="zh-CN"/>
          </w:rPr>
          <w:t>(一)、CNJ202型低压甲醇催化剂项目承办单位基本情况</w:t>
        </w:r>
        <w:r>
          <w:tab/>
        </w:r>
        <w:r>
          <w:fldChar w:fldCharType="begin"/>
        </w:r>
        <w:r>
          <w:instrText xml:space="preserve"> PAGEREF _Toc10072 \h </w:instrText>
        </w:r>
        <w:r>
          <w:fldChar w:fldCharType="separate"/>
        </w:r>
        <w:r>
          <w:t>20</w:t>
        </w:r>
        <w:r>
          <w:fldChar w:fldCharType="end"/>
        </w:r>
      </w:hyperlink>
    </w:p>
    <w:p>
      <w:pPr>
        <w:pStyle w:val="TOC2"/>
        <w:tabs>
          <w:tab w:val="right" w:leader="dot" w:pos="8306"/>
        </w:tabs>
      </w:pPr>
      <w:hyperlink w:anchor="_Toc10534" w:history="1">
        <w:r>
          <w:rPr>
            <w:rFonts w:ascii="仿宋" w:eastAsia="仿宋" w:hAnsi="仿宋" w:cs="仿宋" w:hint="eastAsia"/>
            <w:lang w:eastAsia="zh-CN"/>
          </w:rPr>
          <w:t>(二)、公司经济效益分析</w:t>
        </w:r>
        <w:r>
          <w:tab/>
        </w:r>
        <w:r>
          <w:fldChar w:fldCharType="begin"/>
        </w:r>
        <w:r>
          <w:instrText xml:space="preserve"> PAGEREF _Toc10534 \h </w:instrText>
        </w:r>
        <w:r>
          <w:fldChar w:fldCharType="separate"/>
        </w:r>
        <w:r>
          <w:t>21</w:t>
        </w:r>
        <w:r>
          <w:fldChar w:fldCharType="end"/>
        </w:r>
      </w:hyperlink>
    </w:p>
    <w:p>
      <w:pPr>
        <w:pStyle w:val="TOC1"/>
        <w:tabs>
          <w:tab w:val="right" w:leader="dot" w:pos="8306"/>
        </w:tabs>
      </w:pPr>
      <w:hyperlink w:anchor="_Toc13464" w:history="1">
        <w:r>
          <w:rPr>
            <w:rFonts w:ascii="仿宋" w:eastAsia="仿宋" w:hAnsi="仿宋" w:cs="仿宋" w:hint="eastAsia"/>
            <w:lang w:eastAsia="zh-CN"/>
          </w:rPr>
          <w:t>七、CNJ202型低压甲醇催化剂项目财务管理</w:t>
        </w:r>
        <w:r>
          <w:tab/>
        </w:r>
        <w:r>
          <w:fldChar w:fldCharType="begin"/>
        </w:r>
        <w:r>
          <w:instrText xml:space="preserve"> PAGEREF _Toc13464 \h </w:instrText>
        </w:r>
        <w:r>
          <w:fldChar w:fldCharType="separate"/>
        </w:r>
        <w:r>
          <w:t>22</w:t>
        </w:r>
        <w:r>
          <w:fldChar w:fldCharType="end"/>
        </w:r>
      </w:hyperlink>
    </w:p>
    <w:p>
      <w:pPr>
        <w:pStyle w:val="TOC2"/>
        <w:tabs>
          <w:tab w:val="right" w:leader="dot" w:pos="8306"/>
        </w:tabs>
      </w:pPr>
      <w:hyperlink w:anchor="_Toc20384" w:history="1">
        <w:r>
          <w:rPr>
            <w:rFonts w:ascii="仿宋" w:eastAsia="仿宋" w:hAnsi="仿宋" w:cs="仿宋" w:hint="eastAsia"/>
            <w:lang w:eastAsia="zh-CN"/>
          </w:rPr>
          <w:t>(一)、资金需求大</w:t>
        </w:r>
        <w:r>
          <w:tab/>
        </w:r>
        <w:r>
          <w:fldChar w:fldCharType="begin"/>
        </w:r>
        <w:r>
          <w:instrText xml:space="preserve"> PAGEREF _Toc20384 \h </w:instrText>
        </w:r>
        <w:r>
          <w:fldChar w:fldCharType="separate"/>
        </w:r>
        <w:r>
          <w:t>22</w:t>
        </w:r>
        <w:r>
          <w:fldChar w:fldCharType="end"/>
        </w:r>
      </w:hyperlink>
    </w:p>
    <w:p>
      <w:pPr>
        <w:pStyle w:val="TOC2"/>
        <w:tabs>
          <w:tab w:val="right" w:leader="dot" w:pos="8306"/>
        </w:tabs>
      </w:pPr>
      <w:hyperlink w:anchor="_Toc13983" w:history="1">
        <w:r>
          <w:rPr>
            <w:rFonts w:ascii="仿宋" w:eastAsia="仿宋" w:hAnsi="仿宋" w:cs="仿宋" w:hint="eastAsia"/>
            <w:lang w:eastAsia="zh-CN"/>
          </w:rPr>
          <w:t>(二)、研发周期长</w:t>
        </w:r>
        <w:r>
          <w:tab/>
        </w:r>
        <w:r>
          <w:fldChar w:fldCharType="begin"/>
        </w:r>
        <w:r>
          <w:instrText xml:space="preserve"> PAGEREF _Toc13983 \h </w:instrText>
        </w:r>
        <w:r>
          <w:fldChar w:fldCharType="separate"/>
        </w:r>
        <w:r>
          <w:t>23</w:t>
        </w:r>
        <w:r>
          <w:fldChar w:fldCharType="end"/>
        </w:r>
      </w:hyperlink>
    </w:p>
    <w:p>
      <w:pPr>
        <w:pStyle w:val="TOC2"/>
        <w:tabs>
          <w:tab w:val="right" w:leader="dot" w:pos="8306"/>
        </w:tabs>
      </w:pPr>
      <w:hyperlink w:anchor="_Toc18643" w:history="1">
        <w:r>
          <w:rPr>
            <w:rFonts w:ascii="仿宋" w:eastAsia="仿宋" w:hAnsi="仿宋" w:cs="仿宋" w:hint="eastAsia"/>
            <w:lang w:eastAsia="zh-CN"/>
          </w:rPr>
          <w:t>(三)、市场风险大</w:t>
        </w:r>
        <w:r>
          <w:tab/>
        </w:r>
        <w:r>
          <w:fldChar w:fldCharType="begin"/>
        </w:r>
        <w:r>
          <w:instrText xml:space="preserve"> PAGEREF _Toc18643 \h </w:instrText>
        </w:r>
        <w:r>
          <w:fldChar w:fldCharType="separate"/>
        </w:r>
        <w:r>
          <w:t>24</w:t>
        </w:r>
        <w:r>
          <w:fldChar w:fldCharType="end"/>
        </w:r>
      </w:hyperlink>
    </w:p>
    <w:p>
      <w:pPr>
        <w:pStyle w:val="TOC2"/>
        <w:tabs>
          <w:tab w:val="right" w:leader="dot" w:pos="8306"/>
        </w:tabs>
      </w:pPr>
      <w:hyperlink w:anchor="_Toc11860" w:history="1">
        <w:r>
          <w:rPr>
            <w:rFonts w:ascii="仿宋" w:eastAsia="仿宋" w:hAnsi="仿宋" w:cs="仿宋" w:hint="eastAsia"/>
            <w:lang w:eastAsia="zh-CN"/>
          </w:rPr>
          <w:t>(四)、利润率高</w:t>
        </w:r>
        <w:r>
          <w:tab/>
        </w:r>
        <w:r>
          <w:fldChar w:fldCharType="begin"/>
        </w:r>
        <w:r>
          <w:instrText xml:space="preserve"> PAGEREF _Toc11860 \h </w:instrText>
        </w:r>
        <w:r>
          <w:fldChar w:fldCharType="separate"/>
        </w:r>
        <w:r>
          <w:t>27</w:t>
        </w:r>
        <w:r>
          <w:fldChar w:fldCharType="end"/>
        </w:r>
      </w:hyperlink>
    </w:p>
    <w:p>
      <w:pPr>
        <w:pStyle w:val="TOC1"/>
        <w:tabs>
          <w:tab w:val="right" w:leader="dot" w:pos="8306"/>
        </w:tabs>
      </w:pPr>
      <w:hyperlink w:anchor="_Toc5221" w:history="1">
        <w:r>
          <w:rPr>
            <w:rFonts w:ascii="仿宋" w:eastAsia="仿宋" w:hAnsi="仿宋" w:cs="仿宋" w:hint="eastAsia"/>
            <w:lang w:eastAsia="zh-CN"/>
          </w:rPr>
          <w:t>八、CNJ202型低压甲醇催化剂项目经营效益</w:t>
        </w:r>
        <w:r>
          <w:tab/>
        </w:r>
        <w:r>
          <w:fldChar w:fldCharType="begin"/>
        </w:r>
        <w:r>
          <w:instrText xml:space="preserve"> PAGEREF _Toc5221 \h </w:instrText>
        </w:r>
        <w:r>
          <w:fldChar w:fldCharType="separate"/>
        </w:r>
        <w:r>
          <w:t>29</w:t>
        </w:r>
        <w:r>
          <w:fldChar w:fldCharType="end"/>
        </w:r>
      </w:hyperlink>
    </w:p>
    <w:p>
      <w:pPr>
        <w:pStyle w:val="TOC2"/>
        <w:tabs>
          <w:tab w:val="right" w:leader="dot" w:pos="8306"/>
        </w:tabs>
      </w:pPr>
      <w:hyperlink w:anchor="_Toc7584" w:history="1">
        <w:r>
          <w:rPr>
            <w:rFonts w:ascii="仿宋" w:eastAsia="仿宋" w:hAnsi="仿宋" w:cs="仿宋" w:hint="eastAsia"/>
            <w:lang w:eastAsia="zh-CN"/>
          </w:rPr>
          <w:t>(一)、经济评价财务测算</w:t>
        </w:r>
        <w:r>
          <w:tab/>
        </w:r>
        <w:r>
          <w:fldChar w:fldCharType="begin"/>
        </w:r>
        <w:r>
          <w:instrText xml:space="preserve"> PAGEREF _Toc7584 \h </w:instrText>
        </w:r>
        <w:r>
          <w:fldChar w:fldCharType="separate"/>
        </w:r>
        <w:r>
          <w:t>29</w:t>
        </w:r>
        <w:r>
          <w:fldChar w:fldCharType="end"/>
        </w:r>
      </w:hyperlink>
    </w:p>
    <w:p>
      <w:pPr>
        <w:pStyle w:val="TOC2"/>
        <w:tabs>
          <w:tab w:val="right" w:leader="dot" w:pos="8306"/>
        </w:tabs>
      </w:pPr>
      <w:hyperlink w:anchor="_Toc4629" w:history="1">
        <w:r>
          <w:rPr>
            <w:rFonts w:ascii="仿宋" w:eastAsia="仿宋" w:hAnsi="仿宋" w:cs="仿宋" w:hint="eastAsia"/>
            <w:lang w:eastAsia="zh-CN"/>
          </w:rPr>
          <w:t>(二)、CNJ202型低压甲醇催化剂项目盈利能力分析</w:t>
        </w:r>
        <w:r>
          <w:tab/>
        </w:r>
        <w:r>
          <w:fldChar w:fldCharType="begin"/>
        </w:r>
        <w:r>
          <w:instrText xml:space="preserve"> PAGEREF _Toc4629 \h </w:instrText>
        </w:r>
        <w:r>
          <w:fldChar w:fldCharType="separate"/>
        </w:r>
        <w:r>
          <w:t>31</w:t>
        </w:r>
        <w:r>
          <w:fldChar w:fldCharType="end"/>
        </w:r>
      </w:hyperlink>
    </w:p>
    <w:p>
      <w:pPr>
        <w:pStyle w:val="TOC1"/>
        <w:tabs>
          <w:tab w:val="right" w:leader="dot" w:pos="8306"/>
        </w:tabs>
      </w:pPr>
      <w:hyperlink w:anchor="_Toc31987" w:history="1">
        <w:r>
          <w:rPr>
            <w:rFonts w:ascii="仿宋" w:eastAsia="仿宋" w:hAnsi="仿宋" w:cs="仿宋" w:hint="eastAsia"/>
            <w:lang w:eastAsia="zh-CN"/>
          </w:rPr>
          <w:t>九、生产安全保护</w:t>
        </w:r>
        <w:r>
          <w:tab/>
        </w:r>
        <w:r>
          <w:fldChar w:fldCharType="begin"/>
        </w:r>
        <w:r>
          <w:instrText xml:space="preserve"> PAGEREF _Toc31987 \h </w:instrText>
        </w:r>
        <w:r>
          <w:fldChar w:fldCharType="separate"/>
        </w:r>
        <w:r>
          <w:t>32</w:t>
        </w:r>
        <w:r>
          <w:fldChar w:fldCharType="end"/>
        </w:r>
      </w:hyperlink>
    </w:p>
    <w:p>
      <w:pPr>
        <w:pStyle w:val="TOC2"/>
        <w:tabs>
          <w:tab w:val="right" w:leader="dot" w:pos="8306"/>
        </w:tabs>
      </w:pPr>
      <w:hyperlink w:anchor="_Toc14740" w:history="1">
        <w:r>
          <w:rPr>
            <w:rFonts w:ascii="仿宋" w:eastAsia="仿宋" w:hAnsi="仿宋" w:cs="仿宋" w:hint="eastAsia"/>
            <w:lang w:eastAsia="zh-CN"/>
          </w:rPr>
          <w:t>(一)、消防安全</w:t>
        </w:r>
        <w:r>
          <w:tab/>
        </w:r>
        <w:r>
          <w:fldChar w:fldCharType="begin"/>
        </w:r>
        <w:r>
          <w:instrText xml:space="preserve"> PAGEREF _Toc14740 \h </w:instrText>
        </w:r>
        <w:r>
          <w:fldChar w:fldCharType="separate"/>
        </w:r>
        <w:r>
          <w:t>32</w:t>
        </w:r>
        <w:r>
          <w:fldChar w:fldCharType="end"/>
        </w:r>
      </w:hyperlink>
    </w:p>
    <w:p>
      <w:pPr>
        <w:pStyle w:val="TOC2"/>
        <w:tabs>
          <w:tab w:val="right" w:leader="dot" w:pos="8306"/>
        </w:tabs>
      </w:pPr>
      <w:hyperlink w:anchor="_Toc18995" w:history="1">
        <w:r>
          <w:rPr>
            <w:rFonts w:ascii="仿宋" w:eastAsia="仿宋" w:hAnsi="仿宋" w:cs="仿宋" w:hint="eastAsia"/>
            <w:lang w:eastAsia="zh-CN"/>
          </w:rPr>
          <w:t>(二)、防火防爆总图布置措施</w:t>
        </w:r>
        <w:r>
          <w:tab/>
        </w:r>
        <w:r>
          <w:fldChar w:fldCharType="begin"/>
        </w:r>
        <w:r>
          <w:instrText xml:space="preserve"> PAGEREF _Toc18995 \h </w:instrText>
        </w:r>
        <w:r>
          <w:fldChar w:fldCharType="separate"/>
        </w:r>
        <w:r>
          <w:t>33</w:t>
        </w:r>
        <w:r>
          <w:fldChar w:fldCharType="end"/>
        </w:r>
      </w:hyperlink>
    </w:p>
    <w:p>
      <w:pPr>
        <w:pStyle w:val="TOC2"/>
        <w:tabs>
          <w:tab w:val="right" w:leader="dot" w:pos="8306"/>
        </w:tabs>
      </w:pPr>
      <w:hyperlink w:anchor="_Toc19006" w:history="1">
        <w:r>
          <w:rPr>
            <w:rFonts w:ascii="仿宋" w:eastAsia="仿宋" w:hAnsi="仿宋" w:cs="仿宋" w:hint="eastAsia"/>
            <w:lang w:eastAsia="zh-CN"/>
          </w:rPr>
          <w:t>(三)、自然灾害防范措施</w:t>
        </w:r>
        <w:r>
          <w:tab/>
        </w:r>
        <w:r>
          <w:fldChar w:fldCharType="begin"/>
        </w:r>
        <w:r>
          <w:instrText xml:space="preserve"> PAGEREF _Toc19006 \h </w:instrText>
        </w:r>
        <w:r>
          <w:fldChar w:fldCharType="separate"/>
        </w:r>
        <w:r>
          <w:t>34</w:t>
        </w:r>
        <w:r>
          <w:fldChar w:fldCharType="end"/>
        </w:r>
      </w:hyperlink>
    </w:p>
    <w:p>
      <w:pPr>
        <w:pStyle w:val="TOC2"/>
        <w:tabs>
          <w:tab w:val="right" w:leader="dot" w:pos="8306"/>
        </w:tabs>
      </w:pPr>
      <w:hyperlink w:anchor="_Toc25621" w:history="1">
        <w:r>
          <w:rPr>
            <w:rFonts w:ascii="仿宋" w:eastAsia="仿宋" w:hAnsi="仿宋" w:cs="仿宋" w:hint="eastAsia"/>
            <w:lang w:eastAsia="zh-CN"/>
          </w:rPr>
          <w:t>(四)、安全色及安全标志使用要求</w:t>
        </w:r>
        <w:r>
          <w:tab/>
        </w:r>
        <w:r>
          <w:fldChar w:fldCharType="begin"/>
        </w:r>
        <w:r>
          <w:instrText xml:space="preserve"> PAGEREF _Toc25621 \h </w:instrText>
        </w:r>
        <w:r>
          <w:fldChar w:fldCharType="separate"/>
        </w:r>
        <w:r>
          <w:t>36</w:t>
        </w:r>
        <w:r>
          <w:fldChar w:fldCharType="end"/>
        </w:r>
      </w:hyperlink>
    </w:p>
    <w:p>
      <w:pPr>
        <w:pStyle w:val="TOC2"/>
        <w:tabs>
          <w:tab w:val="right" w:leader="dot" w:pos="8306"/>
        </w:tabs>
      </w:pPr>
      <w:hyperlink w:anchor="_Toc31129" w:history="1">
        <w:r>
          <w:rPr>
            <w:rFonts w:ascii="仿宋" w:eastAsia="仿宋" w:hAnsi="仿宋" w:cs="仿宋" w:hint="eastAsia"/>
            <w:lang w:eastAsia="zh-CN"/>
          </w:rPr>
          <w:t>(五)、防尘防毒措施</w:t>
        </w:r>
        <w:r>
          <w:tab/>
        </w:r>
        <w:r>
          <w:fldChar w:fldCharType="begin"/>
        </w:r>
        <w:r>
          <w:instrText xml:space="preserve"> PAGEREF _Toc31129 \h </w:instrText>
        </w:r>
        <w:r>
          <w:fldChar w:fldCharType="separate"/>
        </w:r>
        <w:r>
          <w:t>37</w:t>
        </w:r>
        <w:r>
          <w:fldChar w:fldCharType="end"/>
        </w:r>
      </w:hyperlink>
    </w:p>
    <w:p>
      <w:pPr>
        <w:pStyle w:val="TOC2"/>
        <w:tabs>
          <w:tab w:val="right" w:leader="dot" w:pos="8306"/>
        </w:tabs>
      </w:pPr>
      <w:hyperlink w:anchor="_Toc15649" w:history="1">
        <w:r>
          <w:rPr>
            <w:rFonts w:ascii="仿宋" w:eastAsia="仿宋" w:hAnsi="仿宋" w:cs="仿宋" w:hint="eastAsia"/>
            <w:lang w:eastAsia="zh-CN"/>
          </w:rPr>
          <w:t>(六)、防静电、触电防护及防雷措施</w:t>
        </w:r>
        <w:r>
          <w:tab/>
        </w:r>
        <w:r>
          <w:fldChar w:fldCharType="begin"/>
        </w:r>
        <w:r>
          <w:instrText xml:space="preserve"> PAGEREF _Toc15649 \h </w:instrText>
        </w:r>
        <w:r>
          <w:fldChar w:fldCharType="separate"/>
        </w:r>
        <w:r>
          <w:t>38</w:t>
        </w:r>
        <w:r>
          <w:fldChar w:fldCharType="end"/>
        </w:r>
      </w:hyperlink>
    </w:p>
    <w:p>
      <w:pPr>
        <w:pStyle w:val="TOC2"/>
        <w:tabs>
          <w:tab w:val="right" w:leader="dot" w:pos="8306"/>
        </w:tabs>
      </w:pPr>
      <w:hyperlink w:anchor="_Toc7871" w:history="1">
        <w:r>
          <w:rPr>
            <w:rFonts w:ascii="仿宋" w:eastAsia="仿宋" w:hAnsi="仿宋" w:cs="仿宋" w:hint="eastAsia"/>
            <w:lang w:eastAsia="zh-CN"/>
          </w:rPr>
          <w:t>(七)、机械设备安全保障措施</w:t>
        </w:r>
        <w:r>
          <w:tab/>
        </w:r>
        <w:r>
          <w:fldChar w:fldCharType="begin"/>
        </w:r>
        <w:r>
          <w:instrText xml:space="preserve"> PAGEREF _Toc7871 \h </w:instrText>
        </w:r>
        <w:r>
          <w:fldChar w:fldCharType="separate"/>
        </w:r>
        <w:r>
          <w:t>39</w:t>
        </w:r>
        <w:r>
          <w:fldChar w:fldCharType="end"/>
        </w:r>
      </w:hyperlink>
    </w:p>
    <w:p>
      <w:pPr>
        <w:pStyle w:val="TOC1"/>
        <w:tabs>
          <w:tab w:val="right" w:leader="dot" w:pos="8306"/>
        </w:tabs>
      </w:pPr>
      <w:hyperlink w:anchor="_Toc3059" w:history="1">
        <w:r>
          <w:rPr>
            <w:rFonts w:ascii="仿宋" w:eastAsia="仿宋" w:hAnsi="仿宋" w:cs="仿宋" w:hint="eastAsia"/>
            <w:lang w:eastAsia="zh-CN"/>
          </w:rPr>
          <w:t>十、CNJ202型低压甲醇催化剂项目技术管理</w:t>
        </w:r>
        <w:r>
          <w:tab/>
        </w:r>
        <w:r>
          <w:fldChar w:fldCharType="begin"/>
        </w:r>
        <w:r>
          <w:instrText xml:space="preserve"> PAGEREF _Toc3059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0" w:history="1">
        <w:r>
          <w:rPr>
            <w:rFonts w:ascii="仿宋" w:eastAsia="仿宋" w:hAnsi="仿宋" w:cs="仿宋" w:hint="eastAsia"/>
            <w:lang w:eastAsia="zh-CN"/>
          </w:rPr>
          <w:t>(一)、技术方案选用方向</w:t>
        </w:r>
        <w:r>
          <w:tab/>
        </w:r>
        <w:r>
          <w:fldChar w:fldCharType="begin"/>
        </w:r>
        <w:r>
          <w:instrText xml:space="preserve"> PAGEREF _Toc2590 \h </w:instrText>
        </w:r>
        <w:r>
          <w:fldChar w:fldCharType="separate"/>
        </w:r>
        <w:r>
          <w:t>41</w:t>
        </w:r>
        <w:r>
          <w:fldChar w:fldCharType="end"/>
        </w:r>
      </w:hyperlink>
    </w:p>
    <w:p>
      <w:pPr>
        <w:pStyle w:val="TOC2"/>
        <w:tabs>
          <w:tab w:val="right" w:leader="dot" w:pos="8306"/>
        </w:tabs>
      </w:pPr>
      <w:hyperlink w:anchor="_Toc2683" w:history="1">
        <w:r>
          <w:rPr>
            <w:rFonts w:ascii="仿宋" w:eastAsia="仿宋" w:hAnsi="仿宋" w:cs="仿宋" w:hint="eastAsia"/>
            <w:lang w:eastAsia="zh-CN"/>
          </w:rPr>
          <w:t>(二)、工艺技术方案选用原则</w:t>
        </w:r>
        <w:r>
          <w:tab/>
        </w:r>
        <w:r>
          <w:fldChar w:fldCharType="begin"/>
        </w:r>
        <w:r>
          <w:instrText xml:space="preserve"> PAGEREF _Toc2683 \h </w:instrText>
        </w:r>
        <w:r>
          <w:fldChar w:fldCharType="separate"/>
        </w:r>
        <w:r>
          <w:t>43</w:t>
        </w:r>
        <w:r>
          <w:fldChar w:fldCharType="end"/>
        </w:r>
      </w:hyperlink>
    </w:p>
    <w:p>
      <w:pPr>
        <w:pStyle w:val="TOC2"/>
        <w:tabs>
          <w:tab w:val="right" w:leader="dot" w:pos="8306"/>
        </w:tabs>
      </w:pPr>
      <w:hyperlink w:anchor="_Toc29747" w:history="1">
        <w:r>
          <w:rPr>
            <w:rFonts w:ascii="仿宋" w:eastAsia="仿宋" w:hAnsi="仿宋" w:cs="仿宋" w:hint="eastAsia"/>
            <w:lang w:eastAsia="zh-CN"/>
          </w:rPr>
          <w:t>(三)、工艺技术方案要求</w:t>
        </w:r>
        <w:r>
          <w:tab/>
        </w:r>
        <w:r>
          <w:fldChar w:fldCharType="begin"/>
        </w:r>
        <w:r>
          <w:instrText xml:space="preserve"> PAGEREF _Toc29747 \h </w:instrText>
        </w:r>
        <w:r>
          <w:fldChar w:fldCharType="separate"/>
        </w:r>
        <w:r>
          <w:t>45</w:t>
        </w:r>
        <w:r>
          <w:fldChar w:fldCharType="end"/>
        </w:r>
      </w:hyperlink>
    </w:p>
    <w:p>
      <w:pPr>
        <w:pStyle w:val="TOC1"/>
        <w:tabs>
          <w:tab w:val="right" w:leader="dot" w:pos="8306"/>
        </w:tabs>
      </w:pPr>
      <w:hyperlink w:anchor="_Toc9292" w:history="1">
        <w:r>
          <w:rPr>
            <w:rFonts w:ascii="仿宋" w:eastAsia="仿宋" w:hAnsi="仿宋" w:cs="仿宋" w:hint="eastAsia"/>
            <w:lang w:eastAsia="zh-CN"/>
          </w:rPr>
          <w:t>十一、CNJ202型低压甲醇催化剂项目社会影响</w:t>
        </w:r>
        <w:r>
          <w:tab/>
        </w:r>
        <w:r>
          <w:fldChar w:fldCharType="begin"/>
        </w:r>
        <w:r>
          <w:instrText xml:space="preserve"> PAGEREF _Toc9292 \h </w:instrText>
        </w:r>
        <w:r>
          <w:fldChar w:fldCharType="separate"/>
        </w:r>
        <w:r>
          <w:t>47</w:t>
        </w:r>
        <w:r>
          <w:fldChar w:fldCharType="end"/>
        </w:r>
      </w:hyperlink>
    </w:p>
    <w:p>
      <w:pPr>
        <w:pStyle w:val="TOC2"/>
        <w:tabs>
          <w:tab w:val="right" w:leader="dot" w:pos="8306"/>
        </w:tabs>
      </w:pPr>
      <w:hyperlink w:anchor="_Toc815" w:history="1">
        <w:r>
          <w:rPr>
            <w:rFonts w:ascii="仿宋" w:eastAsia="仿宋" w:hAnsi="仿宋" w:cs="仿宋" w:hint="eastAsia"/>
            <w:lang w:eastAsia="zh-CN"/>
          </w:rPr>
          <w:t>(一)、社会责任与义务</w:t>
        </w:r>
        <w:r>
          <w:tab/>
        </w:r>
        <w:r>
          <w:fldChar w:fldCharType="begin"/>
        </w:r>
        <w:r>
          <w:instrText xml:space="preserve"> PAGEREF _Toc815 \h </w:instrText>
        </w:r>
        <w:r>
          <w:fldChar w:fldCharType="separate"/>
        </w:r>
        <w:r>
          <w:t>47</w:t>
        </w:r>
        <w:r>
          <w:fldChar w:fldCharType="end"/>
        </w:r>
      </w:hyperlink>
    </w:p>
    <w:p>
      <w:pPr>
        <w:pStyle w:val="TOC2"/>
        <w:tabs>
          <w:tab w:val="right" w:leader="dot" w:pos="8306"/>
        </w:tabs>
      </w:pPr>
      <w:hyperlink w:anchor="_Toc13361" w:history="1">
        <w:r>
          <w:rPr>
            <w:rFonts w:ascii="仿宋" w:eastAsia="仿宋" w:hAnsi="仿宋" w:cs="仿宋" w:hint="eastAsia"/>
            <w:lang w:eastAsia="zh-CN"/>
          </w:rPr>
          <w:t>(二)、社会参与与沟通</w:t>
        </w:r>
        <w:r>
          <w:tab/>
        </w:r>
        <w:r>
          <w:fldChar w:fldCharType="begin"/>
        </w:r>
        <w:r>
          <w:instrText xml:space="preserve"> PAGEREF _Toc13361 \h </w:instrText>
        </w:r>
        <w:r>
          <w:fldChar w:fldCharType="separate"/>
        </w:r>
        <w:r>
          <w:t>48</w:t>
        </w:r>
        <w:r>
          <w:fldChar w:fldCharType="end"/>
        </w:r>
      </w:hyperlink>
    </w:p>
    <w:p>
      <w:pPr>
        <w:pStyle w:val="TOC1"/>
        <w:tabs>
          <w:tab w:val="right" w:leader="dot" w:pos="8306"/>
        </w:tabs>
      </w:pPr>
      <w:hyperlink w:anchor="_Toc9888" w:history="1">
        <w:r>
          <w:rPr>
            <w:rFonts w:ascii="仿宋" w:eastAsia="仿宋" w:hAnsi="仿宋" w:cs="仿宋" w:hint="eastAsia"/>
            <w:lang w:eastAsia="zh-CN"/>
          </w:rPr>
          <w:t>十二、CNJ202型低压甲醇催化剂项目人力资源管理</w:t>
        </w:r>
        <w:r>
          <w:tab/>
        </w:r>
        <w:r>
          <w:fldChar w:fldCharType="begin"/>
        </w:r>
        <w:r>
          <w:instrText xml:space="preserve"> PAGEREF _Toc9888 \h </w:instrText>
        </w:r>
        <w:r>
          <w:fldChar w:fldCharType="separate"/>
        </w:r>
        <w:r>
          <w:t>49</w:t>
        </w:r>
        <w:r>
          <w:fldChar w:fldCharType="end"/>
        </w:r>
      </w:hyperlink>
    </w:p>
    <w:p>
      <w:pPr>
        <w:pStyle w:val="TOC2"/>
        <w:tabs>
          <w:tab w:val="right" w:leader="dot" w:pos="8306"/>
        </w:tabs>
      </w:pPr>
      <w:hyperlink w:anchor="_Toc13219" w:history="1">
        <w:r>
          <w:rPr>
            <w:rFonts w:ascii="仿宋" w:eastAsia="仿宋" w:hAnsi="仿宋" w:cs="仿宋" w:hint="eastAsia"/>
            <w:lang w:eastAsia="zh-CN"/>
          </w:rPr>
          <w:t>(一)、建立健全的预算管理制度</w:t>
        </w:r>
        <w:r>
          <w:tab/>
        </w:r>
        <w:r>
          <w:fldChar w:fldCharType="begin"/>
        </w:r>
        <w:r>
          <w:instrText xml:space="preserve"> PAGEREF _Toc13219 \h </w:instrText>
        </w:r>
        <w:r>
          <w:fldChar w:fldCharType="separate"/>
        </w:r>
        <w:r>
          <w:t>49</w:t>
        </w:r>
        <w:r>
          <w:fldChar w:fldCharType="end"/>
        </w:r>
      </w:hyperlink>
    </w:p>
    <w:p>
      <w:pPr>
        <w:pStyle w:val="TOC2"/>
        <w:tabs>
          <w:tab w:val="right" w:leader="dot" w:pos="8306"/>
        </w:tabs>
      </w:pPr>
      <w:hyperlink w:anchor="_Toc16795" w:history="1">
        <w:r>
          <w:rPr>
            <w:rFonts w:ascii="仿宋" w:eastAsia="仿宋" w:hAnsi="仿宋" w:cs="仿宋" w:hint="eastAsia"/>
            <w:lang w:eastAsia="zh-CN"/>
          </w:rPr>
          <w:t>(二)、加强资金流动监控</w:t>
        </w:r>
        <w:r>
          <w:tab/>
        </w:r>
        <w:r>
          <w:fldChar w:fldCharType="begin"/>
        </w:r>
        <w:r>
          <w:instrText xml:space="preserve"> PAGEREF _Toc16795 \h </w:instrText>
        </w:r>
        <w:r>
          <w:fldChar w:fldCharType="separate"/>
        </w:r>
        <w:r>
          <w:t>51</w:t>
        </w:r>
        <w:r>
          <w:fldChar w:fldCharType="end"/>
        </w:r>
      </w:hyperlink>
    </w:p>
    <w:p>
      <w:pPr>
        <w:pStyle w:val="TOC2"/>
        <w:tabs>
          <w:tab w:val="right" w:leader="dot" w:pos="8306"/>
        </w:tabs>
      </w:pPr>
      <w:hyperlink w:anchor="_Toc4831" w:history="1">
        <w:r>
          <w:rPr>
            <w:rFonts w:ascii="仿宋" w:eastAsia="仿宋" w:hAnsi="仿宋" w:cs="仿宋" w:hint="eastAsia"/>
            <w:lang w:eastAsia="zh-CN"/>
          </w:rPr>
          <w:t>(三)、制定完善的风险控制机制</w:t>
        </w:r>
        <w:r>
          <w:tab/>
        </w:r>
        <w:r>
          <w:fldChar w:fldCharType="begin"/>
        </w:r>
        <w:r>
          <w:instrText xml:space="preserve"> PAGEREF _Toc4831 \h </w:instrText>
        </w:r>
        <w:r>
          <w:fldChar w:fldCharType="separate"/>
        </w:r>
        <w:r>
          <w:t>52</w:t>
        </w:r>
        <w:r>
          <w:fldChar w:fldCharType="end"/>
        </w:r>
      </w:hyperlink>
    </w:p>
    <w:p>
      <w:pPr>
        <w:pStyle w:val="TOC2"/>
        <w:tabs>
          <w:tab w:val="right" w:leader="dot" w:pos="8306"/>
        </w:tabs>
      </w:pPr>
      <w:hyperlink w:anchor="_Toc7929" w:history="1">
        <w:r>
          <w:rPr>
            <w:rFonts w:ascii="仿宋" w:eastAsia="仿宋" w:hAnsi="仿宋" w:cs="仿宋" w:hint="eastAsia"/>
            <w:lang w:eastAsia="zh-CN"/>
          </w:rPr>
          <w:t>(四)、优化成本管理</w:t>
        </w:r>
        <w:r>
          <w:tab/>
        </w:r>
        <w:r>
          <w:fldChar w:fldCharType="begin"/>
        </w:r>
        <w:r>
          <w:instrText xml:space="preserve"> PAGEREF _Toc7929 \h </w:instrText>
        </w:r>
        <w:r>
          <w:fldChar w:fldCharType="separate"/>
        </w:r>
        <w:r>
          <w:t>54</w:t>
        </w:r>
        <w:r>
          <w:fldChar w:fldCharType="end"/>
        </w:r>
      </w:hyperlink>
    </w:p>
    <w:p>
      <w:pPr>
        <w:pStyle w:val="TOC1"/>
        <w:tabs>
          <w:tab w:val="right" w:leader="dot" w:pos="8306"/>
        </w:tabs>
      </w:pPr>
      <w:hyperlink w:anchor="_Toc26279" w:history="1">
        <w:r>
          <w:rPr>
            <w:rFonts w:ascii="仿宋" w:eastAsia="仿宋" w:hAnsi="仿宋" w:cs="仿宋" w:hint="eastAsia"/>
            <w:lang w:eastAsia="zh-CN"/>
          </w:rPr>
          <w:t>十三、CNJ202型低压甲醇催化剂项目实施保障措施</w:t>
        </w:r>
        <w:r>
          <w:tab/>
        </w:r>
        <w:r>
          <w:fldChar w:fldCharType="begin"/>
        </w:r>
        <w:r>
          <w:instrText xml:space="preserve"> PAGEREF _Toc26279 \h </w:instrText>
        </w:r>
        <w:r>
          <w:fldChar w:fldCharType="separate"/>
        </w:r>
        <w:r>
          <w:t>55</w:t>
        </w:r>
        <w:r>
          <w:fldChar w:fldCharType="end"/>
        </w:r>
      </w:hyperlink>
    </w:p>
    <w:p>
      <w:pPr>
        <w:pStyle w:val="TOC2"/>
        <w:tabs>
          <w:tab w:val="right" w:leader="dot" w:pos="8306"/>
        </w:tabs>
      </w:pPr>
      <w:hyperlink w:anchor="_Toc18589" w:history="1">
        <w:r>
          <w:rPr>
            <w:rFonts w:ascii="仿宋" w:eastAsia="仿宋" w:hAnsi="仿宋" w:cs="仿宋" w:hint="eastAsia"/>
            <w:lang w:eastAsia="zh-CN"/>
          </w:rPr>
          <w:t>(一)、CNJ202型低压甲醇催化剂项目实施保障机制</w:t>
        </w:r>
        <w:r>
          <w:tab/>
        </w:r>
        <w:r>
          <w:fldChar w:fldCharType="begin"/>
        </w:r>
        <w:r>
          <w:instrText xml:space="preserve"> PAGEREF _Toc18589 \h </w:instrText>
        </w:r>
        <w:r>
          <w:fldChar w:fldCharType="separate"/>
        </w:r>
        <w:r>
          <w:t>55</w:t>
        </w:r>
        <w:r>
          <w:fldChar w:fldCharType="end"/>
        </w:r>
      </w:hyperlink>
    </w:p>
    <w:p>
      <w:pPr>
        <w:pStyle w:val="TOC2"/>
        <w:tabs>
          <w:tab w:val="right" w:leader="dot" w:pos="8306"/>
        </w:tabs>
      </w:pPr>
      <w:hyperlink w:anchor="_Toc16618" w:history="1">
        <w:r>
          <w:rPr>
            <w:rFonts w:ascii="仿宋" w:eastAsia="仿宋" w:hAnsi="仿宋" w:cs="仿宋" w:hint="eastAsia"/>
            <w:lang w:eastAsia="zh-CN"/>
          </w:rPr>
          <w:t>(二)、CNJ202型低压甲醇催化剂项目法律合规要求</w:t>
        </w:r>
        <w:r>
          <w:tab/>
        </w:r>
        <w:r>
          <w:fldChar w:fldCharType="begin"/>
        </w:r>
        <w:r>
          <w:instrText xml:space="preserve"> PAGEREF _Toc16618 \h </w:instrText>
        </w:r>
        <w:r>
          <w:fldChar w:fldCharType="separate"/>
        </w:r>
        <w:r>
          <w:t>59</w:t>
        </w:r>
        <w:r>
          <w:fldChar w:fldCharType="end"/>
        </w:r>
      </w:hyperlink>
    </w:p>
    <w:p>
      <w:pPr>
        <w:pStyle w:val="TOC2"/>
        <w:tabs>
          <w:tab w:val="right" w:leader="dot" w:pos="8306"/>
        </w:tabs>
      </w:pPr>
      <w:hyperlink w:anchor="_Toc25063" w:history="1">
        <w:r>
          <w:rPr>
            <w:rFonts w:ascii="仿宋" w:eastAsia="仿宋" w:hAnsi="仿宋" w:cs="仿宋" w:hint="eastAsia"/>
            <w:lang w:eastAsia="zh-CN"/>
          </w:rPr>
          <w:t>(三)、CNJ202型低压甲醇催化剂项目合同管理与法律事务</w:t>
        </w:r>
        <w:r>
          <w:tab/>
        </w:r>
        <w:r>
          <w:fldChar w:fldCharType="begin"/>
        </w:r>
        <w:r>
          <w:instrText xml:space="preserve"> PAGEREF _Toc25063 \h </w:instrText>
        </w:r>
        <w:r>
          <w:fldChar w:fldCharType="separate"/>
        </w:r>
        <w:r>
          <w:t>64</w:t>
        </w:r>
        <w:r>
          <w:fldChar w:fldCharType="end"/>
        </w:r>
      </w:hyperlink>
    </w:p>
    <w:p>
      <w:pPr>
        <w:pStyle w:val="TOC2"/>
        <w:tabs>
          <w:tab w:val="right" w:leader="dot" w:pos="8306"/>
        </w:tabs>
      </w:pPr>
      <w:hyperlink w:anchor="_Toc29683" w:history="1">
        <w:r>
          <w:rPr>
            <w:rFonts w:ascii="仿宋" w:eastAsia="仿宋" w:hAnsi="仿宋" w:cs="仿宋" w:hint="eastAsia"/>
            <w:lang w:eastAsia="zh-CN"/>
          </w:rPr>
          <w:t>(四)、CNJ202型低压甲醇催化剂项目知识产权保护策略</w:t>
        </w:r>
        <w:r>
          <w:tab/>
        </w:r>
        <w:r>
          <w:fldChar w:fldCharType="begin"/>
        </w:r>
        <w:r>
          <w:instrText xml:space="preserve"> PAGEREF _Toc29683 \h </w:instrText>
        </w:r>
        <w:r>
          <w:fldChar w:fldCharType="separate"/>
        </w:r>
        <w:r>
          <w:t>70</w:t>
        </w:r>
        <w:r>
          <w:fldChar w:fldCharType="end"/>
        </w:r>
      </w:hyperlink>
    </w:p>
    <w:p>
      <w:pPr>
        <w:pStyle w:val="TOC1"/>
        <w:tabs>
          <w:tab w:val="right" w:leader="dot" w:pos="8306"/>
        </w:tabs>
      </w:pPr>
      <w:hyperlink w:anchor="_Toc26299" w:history="1">
        <w:r>
          <w:rPr>
            <w:rFonts w:ascii="仿宋" w:eastAsia="仿宋" w:hAnsi="仿宋" w:cs="仿宋" w:hint="eastAsia"/>
            <w:lang w:eastAsia="zh-CN"/>
          </w:rPr>
          <w:t>十四、供应链管理</w:t>
        </w:r>
        <w:r>
          <w:tab/>
        </w:r>
        <w:r>
          <w:fldChar w:fldCharType="begin"/>
        </w:r>
        <w:r>
          <w:instrText xml:space="preserve"> PAGEREF _Toc26299 \h </w:instrText>
        </w:r>
        <w:r>
          <w:fldChar w:fldCharType="separate"/>
        </w:r>
        <w:r>
          <w:t>73</w:t>
        </w:r>
        <w:r>
          <w:fldChar w:fldCharType="end"/>
        </w:r>
      </w:hyperlink>
    </w:p>
    <w:p>
      <w:pPr>
        <w:pStyle w:val="TOC2"/>
        <w:tabs>
          <w:tab w:val="right" w:leader="dot" w:pos="8306"/>
        </w:tabs>
      </w:pPr>
      <w:hyperlink w:anchor="_Toc15308" w:history="1">
        <w:r>
          <w:rPr>
            <w:rFonts w:ascii="仿宋" w:eastAsia="仿宋" w:hAnsi="仿宋" w:cs="仿宋" w:hint="eastAsia"/>
            <w:lang w:eastAsia="zh-CN"/>
          </w:rPr>
          <w:t>(一)、供应链战略规划</w:t>
        </w:r>
        <w:r>
          <w:tab/>
        </w:r>
        <w:r>
          <w:fldChar w:fldCharType="begin"/>
        </w:r>
        <w:r>
          <w:instrText xml:space="preserve"> PAGEREF _Toc15308 \h </w:instrText>
        </w:r>
        <w:r>
          <w:fldChar w:fldCharType="separate"/>
        </w:r>
        <w:r>
          <w:t>73</w:t>
        </w:r>
        <w:r>
          <w:fldChar w:fldCharType="end"/>
        </w:r>
      </w:hyperlink>
    </w:p>
    <w:p>
      <w:pPr>
        <w:pStyle w:val="TOC2"/>
        <w:tabs>
          <w:tab w:val="right" w:leader="dot" w:pos="8306"/>
        </w:tabs>
      </w:pPr>
      <w:hyperlink w:anchor="_Toc31688" w:history="1">
        <w:r>
          <w:rPr>
            <w:rFonts w:ascii="仿宋" w:eastAsia="仿宋" w:hAnsi="仿宋" w:cs="仿宋" w:hint="eastAsia"/>
            <w:lang w:eastAsia="zh-CN"/>
          </w:rPr>
          <w:t>(二)、供应商选择与合作</w:t>
        </w:r>
        <w:r>
          <w:tab/>
        </w:r>
        <w:r>
          <w:fldChar w:fldCharType="begin"/>
        </w:r>
        <w:r>
          <w:instrText xml:space="preserve"> PAGEREF _Toc31688 \h </w:instrText>
        </w:r>
        <w:r>
          <w:fldChar w:fldCharType="separate"/>
        </w:r>
        <w:r>
          <w:t>75</w:t>
        </w:r>
        <w:r>
          <w:fldChar w:fldCharType="end"/>
        </w:r>
      </w:hyperlink>
    </w:p>
    <w:p>
      <w:pPr>
        <w:pStyle w:val="TOC2"/>
        <w:tabs>
          <w:tab w:val="right" w:leader="dot" w:pos="8306"/>
        </w:tabs>
      </w:pPr>
      <w:hyperlink w:anchor="_Toc26615" w:history="1">
        <w:r>
          <w:rPr>
            <w:rFonts w:ascii="仿宋" w:eastAsia="仿宋" w:hAnsi="仿宋" w:cs="仿宋" w:hint="eastAsia"/>
            <w:lang w:eastAsia="zh-CN"/>
          </w:rPr>
          <w:t>(三)、物流与库存管理</w:t>
        </w:r>
        <w:r>
          <w:tab/>
        </w:r>
        <w:r>
          <w:fldChar w:fldCharType="begin"/>
        </w:r>
        <w:r>
          <w:instrText xml:space="preserve"> PAGEREF _Toc26615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0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570"/>
      <w:r>
        <w:rPr>
          <w:rFonts w:ascii="仿宋" w:eastAsia="仿宋" w:hAnsi="仿宋" w:cs="仿宋" w:hint="eastAsia"/>
          <w:lang w:eastAsia="zh-CN"/>
        </w:rPr>
        <w:t>(一)、CNJ202型低压甲醇催化剂行业分析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NJ202型低压甲醇催化剂行业一直以来都是市场的关注焦点。行业内的发展趋势、竞争态势以及潜在机会都对CNJ202型低压甲醇催化剂项目的推进产生深远的影响。通过深入研究行业的整体概貌，我们将更好地理解行业的核心特征，为CNJ202型低压甲醇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J202型低压甲醇催化剂行业，技术一直是推动创新和发展的关键因素。我们将对当前技术趋势进行详尽分析，包括但不限于人工智能、大数据应用、先进制造技术等。这有助于CNJ202型低压甲醇催化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NJ202型低压甲醇催化剂项目成功的基础。我们将对主要竞争对手进行深入研究，包括其市场份额、产品特点、市场定位等。通过全面了解竞争对手的优势和劣势，CNJ202型低压甲醇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723"/>
      <w:r>
        <w:rPr>
          <w:rFonts w:ascii="仿宋" w:eastAsia="仿宋" w:hAnsi="仿宋" w:cs="仿宋" w:hint="eastAsia"/>
          <w:sz w:val="28"/>
          <w:lang w:eastAsia="zh-CN"/>
        </w:rPr>
        <w:t>(二)、CNJ202型低压甲醇催化剂市场分析预测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NJ202型低压甲醇催化剂市场未来的增长趋势。这包括市场的整体规模、各细分领域的发展趋势等。CNJ202型低压甲醇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NJ202型低压甲醇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NJ202型低压甲醇催化剂项目实施过程中需要充分考虑的因素。我们将对市场风险进行全面评估，包括但不限于政策法规风险、市场竞争风险、技术变革风险等。通过对潜在风险的深入分析，CNJ202型低压甲醇催化剂项目可以制定相应的风险缓解策略，降低不确定性对CNJ202型低压甲醇催化剂项目的影响。</w:t>
      </w:r>
    </w:p>
    <w:p>
      <w:pPr>
        <w:pStyle w:val="Heading1"/>
        <w:ind w:firstLine="560" w:firstLineChars="200"/>
        <w:rPr>
          <w:rFonts w:ascii="仿宋" w:eastAsia="仿宋" w:hAnsi="仿宋" w:cs="仿宋" w:hint="eastAsia"/>
          <w:sz w:val="28"/>
          <w:lang w:eastAsia="zh-CN"/>
        </w:rPr>
      </w:pPr>
      <w:bookmarkStart w:id="5" w:name="_Toc810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0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NJ202型低压甲醇催化剂项目的技术管理特点体现在其创新导向。通过引入最先进的技术趋势和解决方案，CNJ202型低压甲醇催化剂项目致力于提升科技含量、提高质量和效率水平。这意味着我们将采用最新的工具和方法，确保CNJ202型低压甲醇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NJ202型低压甲醇催化剂项目技术管理的显著特征。通过整合不同领域的技术资源，我们实现了跨学科的协同工作。这有助于优化技术架构，提高整体效能。此外，整合性策略还促进了不同技术团队之间的紧密沟通和高效合作，确保CNJ202型低压甲醇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NJ202型低压甲醇催化剂项目所采用的技术。通过不断优化技术方案，CNJ202型低压甲醇催化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NJ202型低压甲醇催化剂项目团队将在CNJ202型低压甲醇催化剂项目初期识别可能的技术风险，并采取相应的预防和应对措施。通过建立健全的风险评估机制，CNJ202型低压甲醇催化剂项目能够在实施过程中及时发现并解决潜在的技术问题，保障CNJ202型低压甲醇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NJ202型低压甲醇催化剂项目中，技术将成为CNJ202型低压甲醇催化剂项目成功的有力支持。这一深度剖析揭示了技术管理在CNJ202型低压甲醇催化剂项目实施中的关键作用，为CNJ202型低压甲醇催化剂项目的技术基础奠定了坚实的基础。</w:t>
      </w:r>
    </w:p>
    <w:p>
      <w:pPr>
        <w:pStyle w:val="Heading2"/>
        <w:ind w:firstLine="560" w:firstLineChars="200"/>
        <w:rPr>
          <w:rFonts w:ascii="仿宋" w:eastAsia="仿宋" w:hAnsi="仿宋" w:cs="仿宋" w:hint="eastAsia"/>
          <w:sz w:val="28"/>
          <w:lang w:eastAsia="zh-CN"/>
        </w:rPr>
      </w:pPr>
      <w:bookmarkStart w:id="7" w:name="_Toc17643"/>
      <w:r>
        <w:rPr>
          <w:rFonts w:ascii="仿宋" w:eastAsia="仿宋" w:hAnsi="仿宋" w:cs="仿宋" w:hint="eastAsia"/>
          <w:sz w:val="28"/>
          <w:lang w:eastAsia="zh-CN"/>
        </w:rPr>
        <w:t>(二)、CNJ202型低压甲醇催化剂项目工艺技术设计方案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NJ202型低压甲醇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CNJ202型低压甲醇催化剂项目将严格按照相关行业规范要求进行组织。通过有效控制产品质量，CNJ202型低压甲醇催化剂项目将致力于为顾客提供优质的CNJ202型低压甲醇催化剂项目产品和良好的服务。这体现了CNJ202型低压甲醇催化剂项目对于生产活动合规性和质量标准的高度重视，为CNJ202型低压甲醇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NJ202型低压甲醇催化剂项目注重生态效益和清洁生产原则。CNJ202型低压甲醇催化剂项目建设将紧密结合地方特色经济发展，与社会经济发展规划和区域环境保护规划方案相协调一致。通过与当地区域自然生态系统的结合，CNJ202型低压甲醇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NJ202型低压甲醇催化剂项目产品具有多样化的客户需求和个性化的特点。因此，CNJ202型低压甲醇催化剂项目产品规格品种多样，且单批生产数量较小。为满足这一特点，CNJ202型低压甲醇催化剂项目承办单位将建设先进的柔性制造生产线。通过广泛应用柔性制造技术，CNJ202型低压甲醇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NJ202型低压甲醇催化剂项目采用的技术具有较高的技术含量和自动化水平，处于国内先进水平。这一技术选用不仅体现了对生产效率、质量和环境友好性的高标准要求，同时为CNJ202型低压甲醇催化剂项目的可持续发展奠定了坚实的基础。</w:t>
      </w:r>
    </w:p>
    <w:p>
      <w:pPr>
        <w:pStyle w:val="Heading2"/>
        <w:ind w:firstLine="560" w:firstLineChars="200"/>
        <w:rPr>
          <w:rFonts w:ascii="仿宋" w:eastAsia="仿宋" w:hAnsi="仿宋" w:cs="仿宋" w:hint="eastAsia"/>
          <w:sz w:val="28"/>
          <w:lang w:eastAsia="zh-CN"/>
        </w:rPr>
      </w:pPr>
      <w:bookmarkStart w:id="8" w:name="_Toc238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为确保CNJ202型低压甲醇催化剂项目的高效生产和技术实施，我们制定了一套精心设计的设备选型方案，以满足CNJ202型低压甲醇催化剂项目生产、质量和环保的要求。该方案的主要特点如下：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NJ202型低压甲醇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NJ202型低压甲醇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039"/>
      <w:r>
        <w:rPr>
          <w:rFonts w:ascii="仿宋" w:eastAsia="仿宋" w:hAnsi="仿宋" w:cs="仿宋" w:hint="eastAsia"/>
          <w:sz w:val="28"/>
          <w:lang w:eastAsia="zh-CN"/>
        </w:rPr>
        <w:t>三、CNJ202型低压甲醇催化剂项目选址可行性分析</w:t>
      </w:r>
      <w:bookmarkEnd w:id="9"/>
    </w:p>
    <w:p>
      <w:pPr>
        <w:pStyle w:val="Heading2"/>
        <w:rPr>
          <w:rFonts w:ascii="仿宋" w:eastAsia="仿宋" w:hAnsi="仿宋" w:cs="仿宋" w:hint="eastAsia"/>
          <w:lang w:eastAsia="zh-CN"/>
        </w:rPr>
      </w:pPr>
      <w:bookmarkStart w:id="10" w:name="_Toc2727"/>
      <w:r>
        <w:rPr>
          <w:rFonts w:ascii="仿宋" w:eastAsia="仿宋" w:hAnsi="仿宋" w:cs="仿宋" w:hint="eastAsia"/>
          <w:lang w:eastAsia="zh-CN"/>
        </w:rPr>
        <w:t>(一)、CNJ202型低压甲醇催化剂项目选址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该CNJ202型低压甲醇催化剂项目选址位于XX省XX市XX区XXX街道</w:t>
      </w:r>
    </w:p>
    <w:p>
      <w:pPr>
        <w:pStyle w:val="Heading2"/>
        <w:ind w:firstLine="560" w:firstLineChars="200"/>
        <w:rPr>
          <w:rFonts w:ascii="仿宋" w:eastAsia="仿宋" w:hAnsi="仿宋" w:cs="仿宋" w:hint="eastAsia"/>
          <w:sz w:val="28"/>
          <w:lang w:eastAsia="zh-CN"/>
        </w:rPr>
      </w:pPr>
      <w:bookmarkStart w:id="11" w:name="_Toc870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NJ202型低压甲醇催化剂项目的征地面积将根据CNJ202型低压甲醇催化剂项目的实际规模和需求进行精确规划。具体面积XXX平方米，旨在确保CNJ202型低压甲醇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净用地面积是在征地面积基础上去除不可利用面积后的实际可开发用地。具体面积XXX平方米，考虑到环保、交通、安全等多方面因素，以确保CNJ202型低压甲醇催化剂项目在整体利用效率上达到最优。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CNJ202型低压甲醇催化剂项目计划建设的建筑总规模具体面积XXX平方米。这一规模的确定综合考虑了CNJ202型低压甲醇催化剂项目的性质、规模，以及城市规划的相关要求，确保建筑布局与周边环境协调一致。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绿地率是CNJ202型低压甲醇催化剂项目用地中被规划为绿地的比例。具体面积XXX平方米，旨在通过合理规划绿地，改善CNJ202型低压甲醇催化剂项目周边环境，提升居民生活质量，并符合城市整体绿化规划。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容积率是用地上可以建设的建筑总体积与用地面积之比。具体面积XXX，通过合理的容积率规划，确保CNJ202型低压甲醇催化剂项目建筑规模与周边环境和谐共生。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NJ202型低压甲醇催化剂项目选址与当地城市规划相一致，具体面积XXX平方米。通过与城市规划部门深入沟通，确保CNJ202型低压甲醇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NJ202型低压甲醇催化剂项目选址符合当地产业政策，具体面积XXX平方米。这包括CNJ202型低压甲醇催化剂项目对当地经济的促进作用，以及对相关产业的带动效应，确保CNJ202型低压甲醇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NJ202型低压甲醇催化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确保CNJ202型低压甲醇催化剂项目选址具备必要的公共设施配套，具体面积XXX平方米。这包括交通便利性、教育、医疗等基础设施，以提高居民生活品质，使得CNJ202型低压甲醇催化剂项目选址更具吸引力。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考虑用地总体要求对当地社会稳定性的影响，具体面积XXX平方米。通过深入了解当地社区反馈，确保CNJ202型低压甲醇催化剂项目的选址和建设过程对当地社会和谐稳定产生积极作用。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NJ202型低压甲醇催化剂项目选址不仅符合法规和规划，还在实际操作中具有可行性。这一全面规划将为CNJ202型低压甲醇催化剂项目的成功实施提供坚实的基础，确保CNJ202型低压甲醇催化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45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J202型低压甲醇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NJ202型低压甲醇催化剂项目的设备规划和空间设计中，我们将采取灵活设备布局的措施。设备布局将根据实际需求进行灵活设计，避免不必要的浪费。通过合理规划设备摆放位置，我们将提高设备的利用率，减少设备间距，以确保CNJ202型低压甲醇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NJ202型低压甲醇催化剂项目内部引入共享设施的概念，例如共享会议室、办公区等。通过这种方式，我们可以减少对资源的重复建设，提高资源共享效率，从而减小CNJ202型低压甲醇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21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NJ202型低压甲醇催化剂项目的总图布置中，我们将不同功能区域进行明确的规划，以最大程度满足CNJ202型低压甲醇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92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NJ202型低压甲醇催化剂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NJ202型低压甲醇催化剂项目对环境的影响是综合评价的重要因素之一。我们将详细考虑选址周边的自然环境、生态保护区、水源地等情况，确保CNJ202型低压甲醇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对选址的评价还需充分考虑当地政府的产业政策和法规。我们将详细了解CNJ202型低压甲醇催化剂项目所在地的相关政策，确保CNJ202型低压甲醇催化剂项目的规划和运营与当地法规相符，降低不必要的法律风险。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考虑到社会稳定性对企业运营的重要性，我们将评估选址地区的社会安全情况、劳工关系、社区反馈等方面，以确保CNJ202型低压甲醇催化剂项目的建设和运营不会受到社会稳定性的负面影响。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最后，我们将综合考虑用地成本，包括土地购置费用、土地开发成本等。通过对用地成本的详细评估，我们能够做出更为精确的经济效益分析，为CNJ202型低压甲醇催化剂项目的投资决策提供有力支持。</w:t>
      </w:r>
    </w:p>
    <w:p>
      <w:pPr>
        <w:pStyle w:val="Heading1"/>
        <w:ind w:firstLine="560" w:firstLineChars="200"/>
        <w:rPr>
          <w:rFonts w:ascii="仿宋" w:eastAsia="仿宋" w:hAnsi="仿宋" w:cs="仿宋" w:hint="eastAsia"/>
          <w:sz w:val="28"/>
          <w:lang w:eastAsia="zh-CN"/>
        </w:rPr>
      </w:pPr>
      <w:bookmarkStart w:id="15" w:name="_Toc19766"/>
      <w:r>
        <w:rPr>
          <w:rFonts w:ascii="仿宋" w:eastAsia="仿宋" w:hAnsi="仿宋" w:cs="仿宋" w:hint="eastAsia"/>
          <w:sz w:val="28"/>
          <w:lang w:eastAsia="zh-CN"/>
        </w:rPr>
        <w:t>四、CNJ202型低压甲醇催化剂项目文档管理</w:t>
      </w:r>
      <w:bookmarkEnd w:id="15"/>
    </w:p>
    <w:p>
      <w:pPr>
        <w:pStyle w:val="Heading2"/>
        <w:rPr>
          <w:rFonts w:ascii="仿宋" w:eastAsia="仿宋" w:hAnsi="仿宋" w:cs="仿宋" w:hint="eastAsia"/>
          <w:lang w:eastAsia="zh-CN"/>
        </w:rPr>
      </w:pPr>
      <w:bookmarkStart w:id="16" w:name="_Toc1450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CNJ202型低压甲醇催化剂项目高度重视文档的质量和准确性，以支持CNJ202型低压甲醇催化剂项目的各项活动和决策。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NJ202型低压甲醇催化剂项目文档的编制始于CNJ202型低压甲醇催化剂项目计划的初期，我们制定了详细的文档编制计划，明确了每个文档的内容、格式和编写责任人。在CNJ202型低压甲醇催化剂项目启动阶段，我们首先编制了CNJ202型低压甲醇催化剂项目章程，明确定义了CNJ202型低压甲醇催化剂项目的目标、范围、风险等关键要素。随后，CNJ202型低压甲醇催化剂项目团队根据计划陆续编制了需求文档、设计文档、测试文档等各类文档，确保CNJ202型低压甲醇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NJ202型低压甲醇催化剂项目管理中的重要环节，旨在确保CNJ202型低压甲醇催化剂项目文档符合质量标准和CNJ202型低压甲醇催化剂项目需求。在CNJ202型低压甲醇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NJ202型低压甲醇催化剂项目相关利益方和专业领域的专家对文档进行独立审查。这有助于获取更全面、客观的反馈，确保CNJ202型低压甲醇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NJ202型低压甲醇催化剂项目在文档编制与审查方面建立了严格的管理机制，通过规范的流程和多维度的审查，确保CNJ202型低压甲醇催化剂项目文档的质量、准确性和可靠性，为CNJ202型低压甲醇催化剂项目的顺利推进提供了有力支持。</w:t>
      </w:r>
    </w:p>
    <w:p>
      <w:pPr>
        <w:pStyle w:val="Heading2"/>
        <w:ind w:firstLine="560" w:firstLineChars="200"/>
        <w:rPr>
          <w:rFonts w:ascii="仿宋" w:eastAsia="仿宋" w:hAnsi="仿宋" w:cs="仿宋" w:hint="eastAsia"/>
          <w:sz w:val="28"/>
          <w:lang w:eastAsia="zh-CN"/>
        </w:rPr>
      </w:pPr>
      <w:bookmarkStart w:id="17" w:name="_Toc1132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在CNJ202型低压甲醇催化剂项目中，我们致力于优化文档发布与分发过程，以确保信息的高效传递和团队间协作的顺畅进行。以下是我们采取的关键优化策略：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我们通过多渠道发布文档，包括电子邮件、CNJ202型低压甲醇催化剂项目管理平台、内部网站等，以满足不同团队成员的偏好和需求。多渠道发布确保了信息的全面覆盖。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https://d.book118.com/107150122053006054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E93322"/>
    <w:rsid w:val="5CE93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50122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2024-03-07T03:25:00Z</dcterms:created>
  <dcterms:modified xsi:type="dcterms:W3CDTF">2024-03-07T03:25:26Z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29F6B0D8535B4269B1A044ED9A8AEEC6_11</vt:lpwstr>
  </property>
  <property fmtid="{D5CDD505-2E9C-101B-9397-08002B2CF9AE}" pid="3" name="KSOProductBuildVer">
    <vt:lpwstr>2052-12.1.0.16388</vt:lpwstr>
  </property>
</Properties>
</file>