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马克杯项目创业投资方案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一、SWOT分析说明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_Toc8079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_Toc25430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eastAsia="zh-CN"/>
          </w:rPr>
          <w:t>四、评价单元的划分</w:t>
        </w:r>
        <w:r>
          <w:tab/>
        </w:r>
        <w:r>
          <w:fldChar w:fldCharType="begin"/>
        </w:r>
        <w:r>
          <w:instrText xml:space="preserve"> PAGEREF _Toc19803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五、马克杯生产计划的编制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(一)、马克杯生产计划的编制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eastAsia="zh-CN"/>
          </w:rPr>
          <w:t>六、技术创新风险的探讨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七、战略制订框架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_Toc21004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八、发展规划分析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九、SWOT分析说明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十、S W O T 分 析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" w:history="1">
        <w:r>
          <w:rPr>
            <w:rFonts w:ascii="仿宋" w:eastAsia="仿宋" w:hAnsi="仿宋" w:cs="仿宋" w:hint="eastAsia"/>
            <w:lang w:eastAsia="zh-CN"/>
          </w:rPr>
          <w:t>十一、环境保护分析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十二、马克杯项目创新与研发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十三、马克杯项目风险分析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2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_Toc32142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eastAsia="zh-CN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_Toc27212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(一)、马克杯项目工程设计总体要求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十五、节能方案分析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十六、品质与服务体验优化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0" w:history="1">
        <w:r>
          <w:rPr>
            <w:rFonts w:ascii="仿宋" w:eastAsia="仿宋" w:hAnsi="仿宋" w:cs="仿宋" w:hint="eastAsia"/>
            <w:lang w:eastAsia="zh-CN"/>
          </w:rPr>
          <w:t>十七、法人治理结构</w:t>
        </w:r>
        <w:r>
          <w:tab/>
        </w:r>
        <w:r>
          <w:fldChar w:fldCharType="begin"/>
        </w:r>
        <w:r>
          <w:instrText xml:space="preserve"> PAGEREF _Toc26110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2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_Toc5922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eastAsia="zh-CN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_Toc5946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_Toc32578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二十、制度建设与员工手册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_Toc23391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9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_Toc30079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二十一、总结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二十二马克杯行业企业内外不同利益主体的影响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(一)、马克杯行业企业内外不同利益主体的影响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83"/>
      <w:r>
        <w:rPr>
          <w:rFonts w:ascii="仿宋" w:eastAsia="仿宋" w:hAnsi="仿宋" w:cs="仿宋" w:hint="eastAsia"/>
          <w:sz w:val="28"/>
          <w:lang w:eastAsia="zh-CN"/>
        </w:rPr>
        <w:t>一、SWOT分析说明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80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一、技术研发领先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技术投入高: 马克杯公司在技术研发方面持续投入高额资金，致力于推动科技创新，形成了一系列拥有自主知识产权的核心技术。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自主知识产权: 马克杯公司在研发过程中积极进行技术成果的转化，取得了多项自主知识产权，确保产品在技术与质量方面保持显著优势。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自有技术开发: 公司主要生产线均是基于自有技术的研发成果，使得产品在市场上具备独特性和竞争优势。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二、核心团队稳定高效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资深团队: 公司的核心团队由经验丰富的资深专业人士组成，拥有多年马克杯行业研发、经营管理和市场拓展的宝贵经验。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https://d.book118.com/107153160033006045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马克杯项目创业投资方案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B414D6"/>
    <w:rsid w:val="4593521B"/>
    <w:rsid w:val="47B414D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7153160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2024-02-23T07:47:00Z</dcterms:created>
  <dcterms:modified xsi:type="dcterms:W3CDTF">2024-02-23T07:47:46Z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2430AC5F176E4757A382123598D8DB3A_11</vt:lpwstr>
  </property>
  <property fmtid="{D5CDD505-2E9C-101B-9397-08002B2CF9AE}" pid="3" name="KSOProductBuildVer">
    <vt:lpwstr>2052-12.1.0.16250</vt:lpwstr>
  </property>
</Properties>
</file>