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eastAsia="宋体" w:hint="eastAsia"/>
          <w:b/>
          <w:sz w:val="32"/>
          <w:lang w:eastAsia="zh-CN"/>
        </w:rPr>
      </w:pPr>
      <w:r>
        <w:rPr>
          <w:b/>
          <w:sz w:val="32"/>
        </w:rPr>
        <w:t>化学检验员试题1</w:t>
      </w:r>
    </w:p>
    <w:p>
      <w:pPr>
        <w:rPr>
          <w:rFonts w:eastAsia="宋体" w:hint="eastAsia"/>
          <w:b/>
          <w:sz w:val="32"/>
          <w:lang w:eastAsia="zh-CN"/>
        </w:rPr>
      </w:pPr>
    </w:p>
    <w:p>
      <w:pPr>
        <w:spacing w:line="360" w:lineRule="auto"/>
        <w:rPr>
          <w:rFonts w:eastAsia="宋体" w:hint="eastAsia"/>
          <w:lang w:eastAsia="zh-CN"/>
        </w:rPr>
      </w:pPr>
      <w:r>
        <w:rPr>
          <w:rFonts w:ascii="Times New Roman" w:eastAsia="Times New Roman" w:hAnsi="Times New Roman" w:cs="Times New Roman"/>
        </w:rPr>
        <w:t>1.</w:t>
      </w:r>
      <w:r>
        <w:rPr>
          <w:rFonts w:ascii="PMingLiU" w:eastAsia="PMingLiU" w:hAnsi="PMingLiU" w:cs="PMingLiU"/>
        </w:rPr>
        <w:t>按照标准化对象划分，通常将标准分为技术标准、</w:t>
      </w:r>
      <w:r>
        <w:rPr>
          <w:rFonts w:ascii="Times New Roman" w:eastAsia="Times New Roman" w:hAnsi="Times New Roman" w:cs="Times New Roman"/>
        </w:rPr>
        <w:t>( )</w:t>
      </w:r>
      <w:r>
        <w:rPr>
          <w:rFonts w:ascii="PMingLiU" w:eastAsia="PMingLiU" w:hAnsi="PMingLiU" w:cs="PMingLiU"/>
        </w:rPr>
        <w:t>和工作标准三大类。</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推荐标准</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强制性标准</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行业标准</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管理标准</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 </w:t>
      </w:r>
      <w:r>
        <w:rPr>
          <w:rFonts w:ascii="PMingLiU" w:eastAsia="PMingLiU" w:hAnsi="PMingLiU" w:cs="PMingLiU"/>
        </w:rPr>
        <w:t>我国的国家标准的制定部门是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国务院有关行政主管部门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国务院标准化行政主管部门</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省、自治区和直辖市标准化行政主管部门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科学研究部门</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3. ( )</w:t>
      </w:r>
      <w:r>
        <w:rPr>
          <w:rFonts w:ascii="PMingLiU" w:eastAsia="PMingLiU" w:hAnsi="PMingLiU" w:cs="PMingLiU"/>
        </w:rPr>
        <w:t>是制定标准、推行标准化、实施标准化管理和监督的依据。</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《中华人民共和国标准化法》</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《中华人民共和国产品质量法》</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《中华人民共和国产品计量法》</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《国家标准管理办法》</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4. </w:t>
      </w:r>
      <w:r>
        <w:rPr>
          <w:rFonts w:ascii="PMingLiU" w:eastAsia="PMingLiU" w:hAnsi="PMingLiU" w:cs="PMingLiU"/>
        </w:rPr>
        <w:t>计量就是实现单位统一</w:t>
      </w:r>
      <w:r>
        <w:rPr>
          <w:rFonts w:ascii="Times New Roman" w:eastAsia="Times New Roman" w:hAnsi="Times New Roman" w:cs="Times New Roman"/>
        </w:rPr>
        <w:t>,</w:t>
      </w:r>
      <w:r>
        <w:rPr>
          <w:rFonts w:ascii="PMingLiU" w:eastAsia="PMingLiU" w:hAnsi="PMingLiU" w:cs="PMingLiU"/>
        </w:rPr>
        <w:t>量值准确可靠的活动</w:t>
      </w:r>
      <w:r>
        <w:rPr>
          <w:rFonts w:ascii="Times New Roman" w:eastAsia="Times New Roman" w:hAnsi="Times New Roman" w:cs="Times New Roman"/>
        </w:rPr>
        <w:t>,</w:t>
      </w:r>
      <w:r>
        <w:rPr>
          <w:rFonts w:ascii="PMingLiU" w:eastAsia="PMingLiU" w:hAnsi="PMingLiU" w:cs="PMingLiU"/>
        </w:rPr>
        <w:t>其全面特点是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统一、准确、可靠</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代表性、完整性、严密性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准确性、一致性、溯源性、法制性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准确性、统一性、法制性</w:t>
            </w:r>
          </w:p>
        </w:tc>
      </w:tr>
    </w:tbl>
    <w:p>
      <w:pPr>
        <w:spacing w:line="360" w:lineRule="auto"/>
        <w:rPr>
          <w:rFonts w:eastAsia="宋体" w:hint="eastAsia"/>
          <w:lang w:eastAsia="zh-CN"/>
        </w:rPr>
      </w:pPr>
    </w:p>
    <w:p>
      <w:pPr>
        <w:spacing w:line="360" w:lineRule="auto"/>
        <w:rPr>
          <w:rFonts w:eastAsia="宋体" w:hint="eastAsia"/>
          <w:lang w:eastAsia="zh-CN"/>
        </w:rPr>
        <w:sectPr>
          <w:pgSz w:w="12240" w:h="15840"/>
          <w:pgMar w:top="1440" w:right="1800" w:bottom="1440" w:left="1800" w:header="708" w:footer="708" w:gutter="0"/>
          <w:cols w:num="1" w:space="708"/>
          <w:docGrid w:linePitch="360" w:charSpace="0"/>
        </w:sectPr>
      </w:pPr>
      <w:r>
        <w:rPr>
          <w:rFonts w:ascii="Times New Roman" w:eastAsia="Times New Roman" w:hAnsi="Times New Roman" w:cs="Times New Roman"/>
        </w:rPr>
        <w:t xml:space="preserve">5. </w:t>
      </w:r>
      <w:r>
        <w:rPr>
          <w:rFonts w:ascii="PMingLiU" w:eastAsia="PMingLiU" w:hAnsi="PMingLiU" w:cs="PMingLiU"/>
        </w:rPr>
        <w:t>计量的特点包括准确性、一致性、</w:t>
      </w:r>
      <w:r>
        <w:rPr>
          <w:rFonts w:ascii="Times New Roman" w:eastAsia="Times New Roman" w:hAnsi="Times New Roman" w:cs="Times New Roman"/>
        </w:rPr>
        <w:t>( )</w:t>
      </w:r>
      <w:r>
        <w:rPr>
          <w:rFonts w:ascii="PMingLiU" w:eastAsia="PMingLiU" w:hAnsi="PMingLiU" w:cs="PMingLiU"/>
        </w:rPr>
        <w:t>、法制性。</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完整性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严密性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代表性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溯源性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6. ( )</w:t>
      </w:r>
      <w:r>
        <w:rPr>
          <w:rFonts w:ascii="PMingLiU" w:eastAsia="PMingLiU" w:hAnsi="PMingLiU" w:cs="PMingLiU"/>
        </w:rPr>
        <w:t>是指在统一计量单位的基础上，无论在何时、何地、采用何种方法，使用何种器具，以及由何人测量，只要符合有关的要求，其测量结果就应在给定的区间内一致。</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准确性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一致性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溯源性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法制性</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7. ( )</w:t>
      </w:r>
      <w:r>
        <w:rPr>
          <w:rFonts w:ascii="PMingLiU" w:eastAsia="PMingLiU" w:hAnsi="PMingLiU" w:cs="PMingLiU"/>
        </w:rPr>
        <w:t>是指任何一个测量结果或计量标准的值，都通过一条具有规定不确定度的连续比较链，与计量基准联系起来。</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准确性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一致性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溯源性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法制性</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8. </w:t>
      </w:r>
      <w:r>
        <w:rPr>
          <w:rFonts w:ascii="PMingLiU" w:eastAsia="PMingLiU" w:hAnsi="PMingLiU" w:cs="PMingLiU"/>
        </w:rPr>
        <w:t>下列计量器具中</w:t>
      </w:r>
      <w:r>
        <w:rPr>
          <w:rFonts w:ascii="Times New Roman" w:eastAsia="Times New Roman" w:hAnsi="Times New Roman" w:cs="Times New Roman"/>
        </w:rPr>
        <w:t>,</w:t>
      </w:r>
      <w:r>
        <w:rPr>
          <w:rFonts w:ascii="PMingLiU" w:eastAsia="PMingLiU" w:hAnsi="PMingLiU" w:cs="PMingLiU"/>
        </w:rPr>
        <w:t>属于实物量具的是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砝码</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功率表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玻璃温度计</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体温计</w:t>
            </w:r>
          </w:p>
        </w:tc>
      </w:tr>
    </w:tbl>
    <w:p>
      <w:pPr>
        <w:spacing w:line="360" w:lineRule="auto"/>
        <w:rPr>
          <w:rFonts w:eastAsia="宋体" w:hint="eastAsia"/>
          <w:lang w:eastAsia="zh-CN"/>
        </w:rPr>
      </w:pPr>
    </w:p>
    <w:p>
      <w:pPr>
        <w:spacing w:line="360" w:lineRule="auto"/>
        <w:rPr>
          <w:rFonts w:eastAsia="宋体" w:hint="eastAsia"/>
          <w:lang w:eastAsia="zh-CN"/>
        </w:rPr>
        <w:sectPr>
          <w:type w:val="nextPage"/>
          <w:pgSz w:w="12240" w:h="15840"/>
          <w:pgMar w:top="1440" w:right="1800" w:bottom="1440" w:left="1800" w:header="708" w:footer="708" w:gutter="0"/>
          <w:pgNumType w:start="2"/>
          <w:cols w:num="1" w:space="708"/>
          <w:titlePg w:val="0"/>
          <w:docGrid w:linePitch="360" w:charSpace="0"/>
        </w:sectPr>
      </w:pPr>
      <w:r>
        <w:rPr>
          <w:rFonts w:ascii="Times New Roman" w:eastAsia="Times New Roman" w:hAnsi="Times New Roman" w:cs="Times New Roman"/>
        </w:rPr>
        <w:t xml:space="preserve">9. </w:t>
      </w:r>
      <w:r>
        <w:rPr>
          <w:rFonts w:ascii="PMingLiU" w:eastAsia="PMingLiU" w:hAnsi="PMingLiU" w:cs="PMingLiU"/>
        </w:rPr>
        <w:t>计量器具根据结构形式可分为</w:t>
      </w:r>
      <w:r>
        <w:rPr>
          <w:rFonts w:ascii="Times New Roman" w:eastAsia="Times New Roman" w:hAnsi="Times New Roman" w:cs="Times New Roman"/>
        </w:rPr>
        <w:t>( )</w:t>
      </w:r>
      <w:r>
        <w:rPr>
          <w:rFonts w:ascii="PMingLiU" w:eastAsia="PMingLiU" w:hAnsi="PMingLiU" w:cs="PMingLiU"/>
        </w:rPr>
        <w:t>、计量仪器（仪表）、计量装置、标准物质。</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量筒</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实物量具</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电子天平</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电流表</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10. </w:t>
      </w:r>
      <w:r>
        <w:rPr>
          <w:rFonts w:ascii="PMingLiU" w:eastAsia="PMingLiU" w:hAnsi="PMingLiU" w:cs="PMingLiU"/>
        </w:rPr>
        <w:t>测量仪器保持其计量特性随时间恒定的能力称为</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漂移</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稳定性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灵敏度</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偏移</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11. </w:t>
      </w:r>
      <w:r>
        <w:rPr>
          <w:rFonts w:ascii="PMingLiU" w:eastAsia="PMingLiU" w:hAnsi="PMingLiU" w:cs="PMingLiU"/>
        </w:rPr>
        <w:t>测量仪器的标称范围上限值和下限值之差的绝对值称为</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测量范围</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量程</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标称范围</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最大允许误差</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12. </w:t>
      </w:r>
      <w:r>
        <w:rPr>
          <w:rFonts w:ascii="PMingLiU" w:eastAsia="PMingLiU" w:hAnsi="PMingLiU" w:cs="PMingLiU"/>
        </w:rPr>
        <w:t>测量仪器的误差处于规定的极限范围内的被测量量的示值范围为</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标称范围</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量程</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测量范围</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操作范围</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13. </w:t>
      </w:r>
      <w:r>
        <w:rPr>
          <w:rFonts w:ascii="PMingLiU" w:eastAsia="PMingLiU" w:hAnsi="PMingLiU" w:cs="PMingLiU"/>
        </w:rPr>
        <w:t>显示装置能有效辨别的最小示值差称为</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灵敏度</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分辨力</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sectPr>
          <w:type w:val="nextPage"/>
          <w:pgSz w:w="12240" w:h="15840"/>
          <w:pgMar w:top="1440" w:right="1800" w:bottom="1440" w:left="1800" w:header="708" w:footer="708" w:gutter="0"/>
          <w:pgNumType w:start="3"/>
          <w:cols w:num="1" w:space="708"/>
          <w:titlePg w:val="0"/>
          <w:docGrid w:linePitch="360" w:charSpace="0"/>
        </w:sectPr>
      </w:pP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稳定性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偏移</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14. </w:t>
      </w:r>
      <w:r>
        <w:rPr>
          <w:rFonts w:ascii="PMingLiU" w:eastAsia="PMingLiU" w:hAnsi="PMingLiU" w:cs="PMingLiU"/>
        </w:rPr>
        <w:t>我国法定计量单位是由</w:t>
      </w:r>
      <w:r>
        <w:rPr>
          <w:rFonts w:ascii="Times New Roman" w:eastAsia="Times New Roman" w:hAnsi="Times New Roman" w:cs="Times New Roman"/>
        </w:rPr>
        <w:t>( )</w:t>
      </w:r>
      <w:r>
        <w:rPr>
          <w:rFonts w:ascii="PMingLiU" w:eastAsia="PMingLiU" w:hAnsi="PMingLiU" w:cs="PMingLiU"/>
        </w:rPr>
        <w:t>两部分计量单位组成的。</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国际单位制和国家选定的其他计量单位；</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国际单位制和习惯使用的其他计量单位；</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国际单位制和国家单位制；</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国际单位制和国际上使用的其他计量单位</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15. </w:t>
      </w:r>
      <w:r>
        <w:rPr>
          <w:rFonts w:ascii="PMingLiU" w:eastAsia="PMingLiU" w:hAnsi="PMingLiU" w:cs="PMingLiU"/>
        </w:rPr>
        <w:t>我国法定计量单位的主体是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CGS</w:t>
            </w:r>
            <w:r>
              <w:rPr>
                <w:rFonts w:ascii="PMingLiU" w:eastAsia="PMingLiU" w:hAnsi="PMingLiU" w:cs="PMingLiU"/>
              </w:rPr>
              <w:t>单位制</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工程单位制</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SI</w:t>
            </w:r>
            <w:r>
              <w:rPr>
                <w:rFonts w:ascii="PMingLiU" w:eastAsia="PMingLiU" w:hAnsi="PMingLiU" w:cs="PMingLiU"/>
              </w:rPr>
              <w:t>单位制</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MKS</w:t>
            </w:r>
            <w:r>
              <w:rPr>
                <w:rFonts w:ascii="PMingLiU" w:eastAsia="PMingLiU" w:hAnsi="PMingLiU" w:cs="PMingLiU"/>
              </w:rPr>
              <w:t>单位制</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16. </w:t>
      </w:r>
      <w:r>
        <w:rPr>
          <w:rFonts w:ascii="PMingLiU" w:eastAsia="PMingLiU" w:hAnsi="PMingLiU" w:cs="PMingLiU"/>
        </w:rPr>
        <w:t>下列不属于</w:t>
      </w:r>
      <w:r>
        <w:rPr>
          <w:rFonts w:ascii="Times New Roman" w:eastAsia="Times New Roman" w:hAnsi="Times New Roman" w:cs="Times New Roman"/>
        </w:rPr>
        <w:t>SI</w:t>
      </w:r>
      <w:r>
        <w:rPr>
          <w:rFonts w:ascii="PMingLiU" w:eastAsia="PMingLiU" w:hAnsi="PMingLiU" w:cs="PMingLiU"/>
        </w:rPr>
        <w:t>基本单位的是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电流</w:t>
            </w:r>
            <w:r>
              <w:rPr>
                <w:rFonts w:ascii="Times New Roman" w:eastAsia="Times New Roman" w:hAnsi="Times New Roman" w:cs="Times New Roman"/>
              </w:rPr>
              <w:t>A</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摄氏温度</w:t>
            </w:r>
            <w:r>
              <w:rPr>
                <w:rFonts w:ascii="Times New Roman" w:eastAsia="Times New Roman" w:hAnsi="Times New Roman" w:cs="Times New Roman"/>
              </w:rPr>
              <w:t>℃</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物质的量</w:t>
            </w:r>
            <w:r>
              <w:rPr>
                <w:rFonts w:ascii="Times New Roman" w:eastAsia="Times New Roman" w:hAnsi="Times New Roman" w:cs="Times New Roman"/>
              </w:rPr>
              <w:t>mol</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长度</w:t>
            </w:r>
            <w:r>
              <w:rPr>
                <w:rFonts w:ascii="Times New Roman" w:eastAsia="Times New Roman" w:hAnsi="Times New Roman" w:cs="Times New Roman"/>
              </w:rPr>
              <w:t>m</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17. h</w:t>
      </w:r>
      <w:r>
        <w:rPr>
          <w:rFonts w:ascii="PMingLiU" w:eastAsia="PMingLiU" w:hAnsi="PMingLiU" w:cs="PMingLiU"/>
        </w:rPr>
        <w:t>等于</w:t>
      </w:r>
      <w:r>
        <w:rPr>
          <w:rFonts w:ascii="Times New Roman" w:eastAsia="Times New Roman" w:hAnsi="Times New Roman" w:cs="Times New Roman"/>
        </w:rPr>
        <w:t>( )s</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2400</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360</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3600</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4800</w:t>
            </w:r>
          </w:p>
        </w:tc>
      </w:tr>
    </w:tbl>
    <w:p>
      <w:pPr>
        <w:spacing w:line="360" w:lineRule="auto"/>
        <w:rPr>
          <w:rFonts w:eastAsia="宋体" w:hint="eastAsia"/>
          <w:lang w:eastAsia="zh-CN"/>
        </w:rPr>
        <w:sectPr>
          <w:type w:val="nextPage"/>
          <w:pgSz w:w="12240" w:h="15840"/>
          <w:pgMar w:top="1440" w:right="1800" w:bottom="1440" w:left="1800" w:header="708" w:footer="708" w:gutter="0"/>
          <w:pgNumType w:start="4"/>
          <w:cols w:num="1" w:space="708"/>
          <w:titlePg w:val="0"/>
          <w:docGrid w:linePitch="360" w:charSpace="0"/>
        </w:sectPr>
      </w:pPr>
    </w:p>
    <w:p>
      <w:pPr>
        <w:spacing w:line="360" w:lineRule="auto"/>
        <w:rPr>
          <w:rFonts w:eastAsia="宋体" w:hint="eastAsia"/>
          <w:lang w:eastAsia="zh-CN"/>
        </w:rPr>
      </w:pPr>
      <w:r>
        <w:rPr>
          <w:rFonts w:ascii="Times New Roman" w:eastAsia="Times New Roman" w:hAnsi="Times New Roman" w:cs="Times New Roman"/>
        </w:rPr>
        <w:t>18. 1L</w:t>
      </w:r>
      <w:r>
        <w:rPr>
          <w:rFonts w:ascii="PMingLiU" w:eastAsia="PMingLiU" w:hAnsi="PMingLiU" w:cs="PMingLiU"/>
        </w:rPr>
        <w:t>等于</w:t>
      </w:r>
      <w:r>
        <w:rPr>
          <w:rFonts w:ascii="Times New Roman" w:eastAsia="Times New Roman" w:hAnsi="Times New Roman" w:cs="Times New Roman"/>
        </w:rPr>
        <w:t>1(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m3</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dm3</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cm3</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mm3</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19. 6500</w:t>
      </w:r>
      <w:r>
        <w:rPr>
          <w:rFonts w:ascii="PMingLiU" w:eastAsia="PMingLiU" w:hAnsi="PMingLiU" w:cs="PMingLiU"/>
        </w:rPr>
        <w:t>千克</w:t>
      </w:r>
      <w:r>
        <w:rPr>
          <w:rFonts w:ascii="Times New Roman" w:eastAsia="Times New Roman" w:hAnsi="Times New Roman" w:cs="Times New Roman"/>
        </w:rPr>
        <w:t>=( )</w:t>
      </w:r>
      <w:r>
        <w:rPr>
          <w:rFonts w:ascii="PMingLiU" w:eastAsia="PMingLiU" w:hAnsi="PMingLiU" w:cs="PMingLiU"/>
        </w:rPr>
        <w:t>吨。</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6.5</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65</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0.65</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650</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20. 1</w:t>
      </w:r>
      <w:r>
        <w:rPr>
          <w:rFonts w:ascii="PMingLiU" w:eastAsia="PMingLiU" w:hAnsi="PMingLiU" w:cs="PMingLiU"/>
        </w:rPr>
        <w:t>立方米</w:t>
      </w:r>
      <w:r>
        <w:rPr>
          <w:rFonts w:ascii="Times New Roman" w:eastAsia="Times New Roman" w:hAnsi="Times New Roman" w:cs="Times New Roman"/>
        </w:rPr>
        <w:t>=( )</w:t>
      </w:r>
      <w:r>
        <w:rPr>
          <w:rFonts w:ascii="PMingLiU" w:eastAsia="PMingLiU" w:hAnsi="PMingLiU" w:cs="PMingLiU"/>
        </w:rPr>
        <w:t>立方分米。</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10</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100</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1000</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10000</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21. </w:t>
      </w:r>
      <w:r>
        <w:rPr>
          <w:rFonts w:ascii="PMingLiU" w:eastAsia="PMingLiU" w:hAnsi="PMingLiU" w:cs="PMingLiU"/>
        </w:rPr>
        <w:t>计量检定是查明和确认测量仪器是否符合</w:t>
      </w:r>
      <w:r>
        <w:rPr>
          <w:rFonts w:ascii="Times New Roman" w:eastAsia="Times New Roman" w:hAnsi="Times New Roman" w:cs="Times New Roman"/>
        </w:rPr>
        <w:t>( )</w:t>
      </w:r>
      <w:r>
        <w:rPr>
          <w:rFonts w:ascii="PMingLiU" w:eastAsia="PMingLiU" w:hAnsi="PMingLiU" w:cs="PMingLiU"/>
        </w:rPr>
        <w:t>要求的活动，它包括检查、加标记和（或）出具检定证书。</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允许误差范围</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准确度等级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法定</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标准</w:t>
            </w:r>
          </w:p>
        </w:tc>
      </w:tr>
    </w:tbl>
    <w:p>
      <w:pPr>
        <w:spacing w:line="360" w:lineRule="auto"/>
        <w:rPr>
          <w:rFonts w:eastAsia="宋体" w:hint="eastAsia"/>
          <w:lang w:eastAsia="zh-CN"/>
        </w:rPr>
      </w:pPr>
    </w:p>
    <w:p>
      <w:pPr>
        <w:spacing w:line="360" w:lineRule="auto"/>
        <w:rPr>
          <w:rFonts w:eastAsia="宋体" w:hint="eastAsia"/>
          <w:lang w:eastAsia="zh-CN"/>
        </w:rPr>
        <w:sectPr>
          <w:type w:val="nextPage"/>
          <w:pgSz w:w="12240" w:h="15840"/>
          <w:pgMar w:top="1440" w:right="1800" w:bottom="1440" w:left="1800" w:header="708" w:footer="708" w:gutter="0"/>
          <w:pgNumType w:start="5"/>
          <w:cols w:num="1" w:space="708"/>
          <w:titlePg w:val="0"/>
          <w:docGrid w:linePitch="360" w:charSpace="0"/>
        </w:sectPr>
      </w:pPr>
      <w:r>
        <w:rPr>
          <w:rFonts w:ascii="Times New Roman" w:eastAsia="Times New Roman" w:hAnsi="Times New Roman" w:cs="Times New Roman"/>
        </w:rPr>
        <w:t xml:space="preserve">22. </w:t>
      </w:r>
      <w:r>
        <w:rPr>
          <w:rFonts w:ascii="PMingLiU" w:eastAsia="PMingLiU" w:hAnsi="PMingLiU" w:cs="PMingLiU"/>
        </w:rPr>
        <w:t>企业的</w:t>
      </w:r>
      <w:r>
        <w:rPr>
          <w:rFonts w:ascii="Times New Roman" w:eastAsia="Times New Roman" w:hAnsi="Times New Roman" w:cs="Times New Roman"/>
        </w:rPr>
        <w:t>( )</w:t>
      </w:r>
      <w:r>
        <w:rPr>
          <w:rFonts w:ascii="PMingLiU" w:eastAsia="PMingLiU" w:hAnsi="PMingLiU" w:cs="PMingLiU"/>
        </w:rPr>
        <w:t>计量标准器具属于强制检定的计量器具。</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所有</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最高</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在用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最低</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23. </w:t>
      </w:r>
      <w:r>
        <w:rPr>
          <w:rFonts w:ascii="PMingLiU" w:eastAsia="PMingLiU" w:hAnsi="PMingLiU" w:cs="PMingLiU"/>
        </w:rPr>
        <w:t>计量检定规程是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为进行计量检定，评定计量器具计量性能，判断计量器具是否合格而制定的法定性技术文件。</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计量执法人员对计量器具进行监督管理的重要法定依据。</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从计量基准到各等级的计量标准直至工作计量器具的检定程序的技术规定。</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一种进行计量检定、校准、测试所依据的方法标准。</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24. </w:t>
      </w:r>
      <w:r>
        <w:rPr>
          <w:rFonts w:ascii="PMingLiU" w:eastAsia="PMingLiU" w:hAnsi="PMingLiU" w:cs="PMingLiU"/>
        </w:rPr>
        <w:t>计量检定必须按照</w:t>
      </w:r>
      <w:r>
        <w:rPr>
          <w:rFonts w:ascii="Times New Roman" w:eastAsia="Times New Roman" w:hAnsi="Times New Roman" w:cs="Times New Roman"/>
        </w:rPr>
        <w:t>( )</w:t>
      </w:r>
      <w:r>
        <w:rPr>
          <w:rFonts w:ascii="PMingLiU" w:eastAsia="PMingLiU" w:hAnsi="PMingLiU" w:cs="PMingLiU"/>
        </w:rPr>
        <w:t>进行。</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国家计量检定系统表</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地方计量检定系统表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国家标准</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检定规程</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25. </w:t>
      </w:r>
      <w:r>
        <w:rPr>
          <w:rFonts w:ascii="PMingLiU" w:eastAsia="PMingLiU" w:hAnsi="PMingLiU" w:cs="PMingLiU"/>
        </w:rPr>
        <w:t>由一种元素组成的物质</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一定是一种单质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一定是纯净物</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一定是化合物</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可能是纯净物也可能是混合物</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26. </w:t>
      </w:r>
      <w:r>
        <w:rPr>
          <w:rFonts w:ascii="PMingLiU" w:eastAsia="PMingLiU" w:hAnsi="PMingLiU" w:cs="PMingLiU"/>
        </w:rPr>
        <w:t>构成物质的基本粒子是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只有分子</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只有原子</w:t>
            </w:r>
          </w:p>
        </w:tc>
      </w:tr>
    </w:tbl>
    <w:p>
      <w:pPr>
        <w:sectPr>
          <w:type w:val="nextPage"/>
          <w:pgSz w:w="12240" w:h="15840"/>
          <w:pgMar w:top="1440" w:right="1800" w:bottom="1440" w:left="1800" w:header="708" w:footer="708" w:gutter="0"/>
          <w:pgNumType w:start="6"/>
          <w:cols w:num="1" w:space="708"/>
          <w:titlePg w:val="0"/>
          <w:docGrid w:linePitch="360" w:charSpace="0"/>
        </w:sectPr>
      </w:pP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只有离子</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分子、原子、离子</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27. </w:t>
      </w:r>
      <w:r>
        <w:rPr>
          <w:rFonts w:ascii="PMingLiU" w:eastAsia="PMingLiU" w:hAnsi="PMingLiU" w:cs="PMingLiU"/>
        </w:rPr>
        <w:t>同种元素的原子和离子都一定具有相同的</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核外电子数</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核电荷数</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中子数</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最外层电子数</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28. </w:t>
      </w:r>
      <w:r>
        <w:rPr>
          <w:rFonts w:ascii="PMingLiU" w:eastAsia="PMingLiU" w:hAnsi="PMingLiU" w:cs="PMingLiU"/>
        </w:rPr>
        <w:t>下列符号既能表示一种元素，又能表示这种元素的一个原子，还能表示由这种元素组成的单质，它是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Cu</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Cl</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N</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H2</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29. </w:t>
      </w:r>
      <w:r>
        <w:rPr>
          <w:rFonts w:ascii="PMingLiU" w:eastAsia="PMingLiU" w:hAnsi="PMingLiU" w:cs="PMingLiU"/>
        </w:rPr>
        <w:t>下列符号所表示的元素全部为金属元素的是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O</w:t>
            </w:r>
            <w:r>
              <w:rPr>
                <w:rFonts w:ascii="PMingLiU" w:eastAsia="PMingLiU" w:hAnsi="PMingLiU" w:cs="PMingLiU"/>
              </w:rPr>
              <w:t>、</w:t>
            </w:r>
            <w:r>
              <w:rPr>
                <w:rFonts w:ascii="Times New Roman" w:eastAsia="Times New Roman" w:hAnsi="Times New Roman" w:cs="Times New Roman"/>
              </w:rPr>
              <w:t>H</w:t>
            </w:r>
            <w:r>
              <w:rPr>
                <w:rFonts w:ascii="PMingLiU" w:eastAsia="PMingLiU" w:hAnsi="PMingLiU" w:cs="PMingLiU"/>
              </w:rPr>
              <w:t>、</w:t>
            </w:r>
            <w:r>
              <w:rPr>
                <w:rFonts w:ascii="Times New Roman" w:eastAsia="Times New Roman" w:hAnsi="Times New Roman" w:cs="Times New Roman"/>
              </w:rPr>
              <w:t>Cl</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Al</w:t>
            </w:r>
            <w:r>
              <w:rPr>
                <w:rFonts w:ascii="PMingLiU" w:eastAsia="PMingLiU" w:hAnsi="PMingLiU" w:cs="PMingLiU"/>
              </w:rPr>
              <w:t>、</w:t>
            </w:r>
            <w:r>
              <w:rPr>
                <w:rFonts w:ascii="Times New Roman" w:eastAsia="Times New Roman" w:hAnsi="Times New Roman" w:cs="Times New Roman"/>
              </w:rPr>
              <w:t>Fe</w:t>
            </w:r>
            <w:r>
              <w:rPr>
                <w:rFonts w:ascii="PMingLiU" w:eastAsia="PMingLiU" w:hAnsi="PMingLiU" w:cs="PMingLiU"/>
              </w:rPr>
              <w:t>、</w:t>
            </w:r>
            <w:r>
              <w:rPr>
                <w:rFonts w:ascii="Times New Roman" w:eastAsia="Times New Roman" w:hAnsi="Times New Roman" w:cs="Times New Roman"/>
              </w:rPr>
              <w:t>Zn</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H</w:t>
            </w:r>
            <w:r>
              <w:rPr>
                <w:rFonts w:ascii="PMingLiU" w:eastAsia="PMingLiU" w:hAnsi="PMingLiU" w:cs="PMingLiU"/>
              </w:rPr>
              <w:t>、</w:t>
            </w:r>
            <w:r>
              <w:rPr>
                <w:rFonts w:ascii="Times New Roman" w:eastAsia="Times New Roman" w:hAnsi="Times New Roman" w:cs="Times New Roman"/>
              </w:rPr>
              <w:t>P</w:t>
            </w:r>
            <w:r>
              <w:rPr>
                <w:rFonts w:ascii="PMingLiU" w:eastAsia="PMingLiU" w:hAnsi="PMingLiU" w:cs="PMingLiU"/>
              </w:rPr>
              <w:t>、</w:t>
            </w:r>
            <w:r>
              <w:rPr>
                <w:rFonts w:ascii="Times New Roman" w:eastAsia="Times New Roman" w:hAnsi="Times New Roman" w:cs="Times New Roman"/>
              </w:rPr>
              <w:t>Si</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Hg</w:t>
            </w:r>
            <w:r>
              <w:rPr>
                <w:rFonts w:ascii="PMingLiU" w:eastAsia="PMingLiU" w:hAnsi="PMingLiU" w:cs="PMingLiU"/>
              </w:rPr>
              <w:t>、</w:t>
            </w:r>
            <w:r>
              <w:rPr>
                <w:rFonts w:ascii="Times New Roman" w:eastAsia="Times New Roman" w:hAnsi="Times New Roman" w:cs="Times New Roman"/>
              </w:rPr>
              <w:t>N</w:t>
            </w:r>
            <w:r>
              <w:rPr>
                <w:rFonts w:ascii="PMingLiU" w:eastAsia="PMingLiU" w:hAnsi="PMingLiU" w:cs="PMingLiU"/>
              </w:rPr>
              <w:t>、</w:t>
            </w:r>
            <w:r>
              <w:rPr>
                <w:rFonts w:ascii="Times New Roman" w:eastAsia="Times New Roman" w:hAnsi="Times New Roman" w:cs="Times New Roman"/>
              </w:rPr>
              <w:t>Au</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30. </w:t>
      </w:r>
      <w:r>
        <w:rPr>
          <w:rFonts w:ascii="PMingLiU" w:eastAsia="PMingLiU" w:hAnsi="PMingLiU" w:cs="PMingLiU"/>
        </w:rPr>
        <w:t>下列元素符号书写不正确的是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银</w:t>
            </w:r>
            <w:r>
              <w:rPr>
                <w:rFonts w:ascii="Times New Roman" w:eastAsia="Times New Roman" w:hAnsi="Times New Roman" w:cs="Times New Roman"/>
              </w:rPr>
              <w:t>AG</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铜</w:t>
            </w:r>
            <w:r>
              <w:rPr>
                <w:rFonts w:ascii="Times New Roman" w:eastAsia="Times New Roman" w:hAnsi="Times New Roman" w:cs="Times New Roman"/>
              </w:rPr>
              <w:t>Cu</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锌</w:t>
            </w:r>
            <w:r>
              <w:rPr>
                <w:rFonts w:ascii="Times New Roman" w:eastAsia="Times New Roman" w:hAnsi="Times New Roman" w:cs="Times New Roman"/>
              </w:rPr>
              <w:t>Zn</w:t>
            </w:r>
          </w:p>
        </w:tc>
      </w:tr>
    </w:tbl>
    <w:p>
      <w:pPr>
        <w:sectPr>
          <w:type w:val="nextPage"/>
          <w:pgSz w:w="12240" w:h="15840"/>
          <w:pgMar w:top="1440" w:right="1800" w:bottom="1440" w:left="1800" w:header="708" w:footer="708" w:gutter="0"/>
          <w:pgNumType w:start="7"/>
          <w:cols w:num="1" w:space="708"/>
          <w:titlePg w:val="0"/>
          <w:docGrid w:linePitch="360" w:charSpace="0"/>
        </w:sectPr>
      </w:pP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硅</w:t>
            </w:r>
            <w:r>
              <w:rPr>
                <w:rFonts w:ascii="Times New Roman" w:eastAsia="Times New Roman" w:hAnsi="Times New Roman" w:cs="Times New Roman"/>
              </w:rPr>
              <w:t>Si</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31. </w:t>
      </w:r>
      <w:r>
        <w:rPr>
          <w:rFonts w:ascii="PMingLiU" w:eastAsia="PMingLiU" w:hAnsi="PMingLiU" w:cs="PMingLiU"/>
        </w:rPr>
        <w:t>下列化学符号表示两个氧原子的是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2O</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2O2</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CO2</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O2</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32. </w:t>
      </w:r>
      <w:r>
        <w:rPr>
          <w:rFonts w:ascii="PMingLiU" w:eastAsia="PMingLiU" w:hAnsi="PMingLiU" w:cs="PMingLiU"/>
        </w:rPr>
        <w:t>以下哪个元素是两性元素</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Li</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Rb</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Be</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Sr</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33. </w:t>
      </w:r>
      <w:r>
        <w:rPr>
          <w:rFonts w:ascii="PMingLiU" w:eastAsia="PMingLiU" w:hAnsi="PMingLiU" w:cs="PMingLiU"/>
        </w:rPr>
        <w:t>原子序数从</w:t>
      </w:r>
      <w:r>
        <w:rPr>
          <w:rFonts w:ascii="Times New Roman" w:eastAsia="Times New Roman" w:hAnsi="Times New Roman" w:cs="Times New Roman"/>
        </w:rPr>
        <w:t>11</w:t>
      </w:r>
      <w:r>
        <w:rPr>
          <w:rFonts w:ascii="PMingLiU" w:eastAsia="PMingLiU" w:hAnsi="PMingLiU" w:cs="PMingLiU"/>
        </w:rPr>
        <w:t>依次增加到</w:t>
      </w:r>
      <w:r>
        <w:rPr>
          <w:rFonts w:ascii="Times New Roman" w:eastAsia="Times New Roman" w:hAnsi="Times New Roman" w:cs="Times New Roman"/>
        </w:rPr>
        <w:t>17,</w:t>
      </w:r>
      <w:r>
        <w:rPr>
          <w:rFonts w:ascii="PMingLiU" w:eastAsia="PMingLiU" w:hAnsi="PMingLiU" w:cs="PMingLiU"/>
        </w:rPr>
        <w:t>下列递变关系中</w:t>
      </w:r>
      <w:r>
        <w:rPr>
          <w:rFonts w:ascii="Times New Roman" w:eastAsia="Times New Roman" w:hAnsi="Times New Roman" w:cs="Times New Roman"/>
        </w:rPr>
        <w:t>,</w:t>
      </w:r>
      <w:r>
        <w:rPr>
          <w:rFonts w:ascii="PMingLiU" w:eastAsia="PMingLiU" w:hAnsi="PMingLiU" w:cs="PMingLiU"/>
        </w:rPr>
        <w:t>错误的是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最外层电子数逐渐增多</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原子半径逐渐增大</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最高正化合价数值逐渐增大</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从</w:t>
            </w:r>
            <w:r>
              <w:rPr>
                <w:rFonts w:ascii="Times New Roman" w:eastAsia="Times New Roman" w:hAnsi="Times New Roman" w:cs="Times New Roman"/>
              </w:rPr>
              <w:t>Si</w:t>
            </w:r>
            <w:r>
              <w:rPr>
                <w:rFonts w:ascii="PMingLiU" w:eastAsia="PMingLiU" w:hAnsi="PMingLiU" w:cs="PMingLiU"/>
              </w:rPr>
              <w:t>到</w:t>
            </w:r>
            <w:r>
              <w:rPr>
                <w:rFonts w:ascii="Times New Roman" w:eastAsia="Times New Roman" w:hAnsi="Times New Roman" w:cs="Times New Roman"/>
              </w:rPr>
              <w:t>Cl</w:t>
            </w:r>
            <w:r>
              <w:rPr>
                <w:rFonts w:ascii="PMingLiU" w:eastAsia="PMingLiU" w:hAnsi="PMingLiU" w:cs="PMingLiU"/>
              </w:rPr>
              <w:t>，最低负化合价从</w:t>
            </w:r>
            <w:r>
              <w:rPr>
                <w:rFonts w:ascii="Times New Roman" w:eastAsia="Times New Roman" w:hAnsi="Times New Roman" w:cs="Times New Roman"/>
              </w:rPr>
              <w:t>-4</w:t>
            </w:r>
            <w:r>
              <w:rPr>
                <w:rFonts w:ascii="PMingLiU" w:eastAsia="PMingLiU" w:hAnsi="PMingLiU" w:cs="PMingLiU"/>
              </w:rPr>
              <w:t>到</w:t>
            </w:r>
            <w:r>
              <w:rPr>
                <w:rFonts w:ascii="Times New Roman" w:eastAsia="Times New Roman" w:hAnsi="Times New Roman" w:cs="Times New Roman"/>
              </w:rPr>
              <w:t>-1</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34. </w:t>
      </w:r>
      <w:r>
        <w:rPr>
          <w:rFonts w:ascii="PMingLiU" w:eastAsia="PMingLiU" w:hAnsi="PMingLiU" w:cs="PMingLiU"/>
        </w:rPr>
        <w:t>用纯水把下列溶液稀释</w:t>
      </w:r>
      <w:r>
        <w:rPr>
          <w:rFonts w:ascii="Times New Roman" w:eastAsia="Times New Roman" w:hAnsi="Times New Roman" w:cs="Times New Roman"/>
        </w:rPr>
        <w:t>10</w:t>
      </w:r>
      <w:r>
        <w:rPr>
          <w:rFonts w:ascii="PMingLiU" w:eastAsia="PMingLiU" w:hAnsi="PMingLiU" w:cs="PMingLiU"/>
        </w:rPr>
        <w:t>倍时</w:t>
      </w:r>
      <w:r>
        <w:rPr>
          <w:rFonts w:ascii="Times New Roman" w:eastAsia="Times New Roman" w:hAnsi="Times New Roman" w:cs="Times New Roman"/>
        </w:rPr>
        <w:t>,</w:t>
      </w:r>
      <w:r>
        <w:rPr>
          <w:rFonts w:ascii="PMingLiU" w:eastAsia="PMingLiU" w:hAnsi="PMingLiU" w:cs="PMingLiU"/>
        </w:rPr>
        <w:t>其中</w:t>
      </w:r>
      <w:r>
        <w:rPr>
          <w:rFonts w:ascii="Times New Roman" w:eastAsia="Times New Roman" w:hAnsi="Times New Roman" w:cs="Times New Roman"/>
        </w:rPr>
        <w:t>pH</w:t>
      </w:r>
      <w:r>
        <w:rPr>
          <w:rFonts w:ascii="PMingLiU" w:eastAsia="PMingLiU" w:hAnsi="PMingLiU" w:cs="PMingLiU"/>
        </w:rPr>
        <w:t>值变化最大的是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0.1mol/L HCl</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1mol/L NH3·H2O</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1mol/L HAc</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1mol/L HAc+1mol/L NaAc</w:t>
            </w:r>
          </w:p>
        </w:tc>
      </w:tr>
    </w:tbl>
    <w:p>
      <w:pPr>
        <w:spacing w:line="360" w:lineRule="auto"/>
        <w:rPr>
          <w:rFonts w:eastAsia="宋体" w:hint="eastAsia"/>
          <w:lang w:eastAsia="zh-CN"/>
        </w:rPr>
      </w:pPr>
    </w:p>
    <w:p>
      <w:pPr>
        <w:spacing w:line="360" w:lineRule="auto"/>
        <w:rPr>
          <w:rFonts w:eastAsia="宋体" w:hint="eastAsia"/>
          <w:lang w:eastAsia="zh-CN"/>
        </w:rPr>
        <w:sectPr>
          <w:type w:val="nextPage"/>
          <w:pgSz w:w="12240" w:h="15840"/>
          <w:pgMar w:top="1440" w:right="1800" w:bottom="1440" w:left="1800" w:header="708" w:footer="708" w:gutter="0"/>
          <w:pgNumType w:start="8"/>
          <w:cols w:num="1" w:space="708"/>
          <w:titlePg w:val="0"/>
          <w:docGrid w:linePitch="360" w:charSpace="0"/>
        </w:sectPr>
      </w:pPr>
      <w:r>
        <w:rPr>
          <w:rFonts w:ascii="Times New Roman" w:eastAsia="Times New Roman" w:hAnsi="Times New Roman" w:cs="Times New Roman"/>
        </w:rPr>
        <w:t xml:space="preserve">35. </w:t>
      </w:r>
      <w:r>
        <w:rPr>
          <w:rFonts w:ascii="PMingLiU" w:eastAsia="PMingLiU" w:hAnsi="PMingLiU" w:cs="PMingLiU"/>
        </w:rPr>
        <w:t>向</w:t>
      </w:r>
      <w:r>
        <w:rPr>
          <w:rFonts w:ascii="Times New Roman" w:eastAsia="Times New Roman" w:hAnsi="Times New Roman" w:cs="Times New Roman"/>
        </w:rPr>
        <w:t>1</w:t>
      </w:r>
      <w:r>
        <w:rPr>
          <w:rFonts w:ascii="PMingLiU" w:eastAsia="PMingLiU" w:hAnsi="PMingLiU" w:cs="PMingLiU"/>
        </w:rPr>
        <w:t>毫升</w:t>
      </w:r>
      <w:r>
        <w:rPr>
          <w:rFonts w:ascii="Times New Roman" w:eastAsia="Times New Roman" w:hAnsi="Times New Roman" w:cs="Times New Roman"/>
        </w:rPr>
        <w:t>pH=1.8</w:t>
      </w:r>
      <w:r>
        <w:rPr>
          <w:rFonts w:ascii="PMingLiU" w:eastAsia="PMingLiU" w:hAnsi="PMingLiU" w:cs="PMingLiU"/>
        </w:rPr>
        <w:t>的盐酸溶液中加入水</w:t>
      </w:r>
      <w:r>
        <w:rPr>
          <w:rFonts w:ascii="Times New Roman" w:eastAsia="Times New Roman" w:hAnsi="Times New Roman" w:cs="Times New Roman"/>
        </w:rPr>
        <w:t>( )</w:t>
      </w:r>
      <w:r>
        <w:rPr>
          <w:rFonts w:ascii="PMingLiU" w:eastAsia="PMingLiU" w:hAnsi="PMingLiU" w:cs="PMingLiU"/>
        </w:rPr>
        <w:t>才能使溶液的</w:t>
      </w:r>
      <w:r>
        <w:rPr>
          <w:rFonts w:ascii="Times New Roman" w:eastAsia="Times New Roman" w:hAnsi="Times New Roman" w:cs="Times New Roman"/>
        </w:rPr>
        <w:t>pH=2.8</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9mL</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10mL</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8mL</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12Ml</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36. </w:t>
      </w:r>
      <w:r>
        <w:rPr>
          <w:rFonts w:ascii="PMingLiU" w:eastAsia="PMingLiU" w:hAnsi="PMingLiU" w:cs="PMingLiU"/>
        </w:rPr>
        <w:t>下列说法正确的是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w:t>
            </w:r>
            <w:r>
              <w:rPr>
                <w:rFonts w:ascii="PMingLiU" w:eastAsia="PMingLiU" w:hAnsi="PMingLiU" w:cs="PMingLiU"/>
              </w:rPr>
              <w:t>羟基跟链烃基直接相连的化合物属于醇类</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含有羟基的化合物属于醇类</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酚类和醇类具有相同的官能团</w:t>
            </w:r>
            <w:r>
              <w:rPr>
                <w:rFonts w:ascii="Times New Roman" w:eastAsia="Times New Roman" w:hAnsi="Times New Roman" w:cs="Times New Roman"/>
              </w:rPr>
              <w:t xml:space="preserve">, </w:t>
            </w:r>
            <w:r>
              <w:rPr>
                <w:rFonts w:ascii="PMingLiU" w:eastAsia="PMingLiU" w:hAnsi="PMingLiU" w:cs="PMingLiU"/>
              </w:rPr>
              <w:t>因而具有相同的化学性质</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w:t>
            </w:r>
            <w:r>
              <w:rPr>
                <w:rFonts w:ascii="PMingLiU" w:eastAsia="PMingLiU" w:hAnsi="PMingLiU" w:cs="PMingLiU"/>
              </w:rPr>
              <w:t>分子内含有苯环和羟基的化合物都属于酚类</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37. </w:t>
      </w:r>
      <w:r>
        <w:rPr>
          <w:rFonts w:ascii="PMingLiU" w:eastAsia="PMingLiU" w:hAnsi="PMingLiU" w:cs="PMingLiU"/>
        </w:rPr>
        <w:t>下列化合物不属于烃类</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NH4HCO3</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 C6H10</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 C4H10</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D C20H40</w:t>
            </w:r>
          </w:p>
        </w:tc>
      </w:tr>
    </w:tbl>
    <w:p>
      <w:pPr>
        <w:spacing w:line="360" w:lineRule="auto"/>
        <w:rPr>
          <w:rFonts w:eastAsia="宋体" w:hint="eastAsia"/>
          <w:lang w:eastAsia="zh-CN"/>
        </w:rPr>
      </w:pPr>
    </w:p>
    <w:p>
      <w:pPr>
        <w:spacing w:line="360" w:lineRule="auto"/>
        <w:rPr>
          <w:rFonts w:eastAsia="宋体" w:hint="eastAsia"/>
          <w:lang w:eastAsia="zh-CN"/>
        </w:rPr>
      </w:pPr>
      <w:r>
        <w:rPr>
          <w:rFonts w:ascii="Times New Roman" w:eastAsia="Times New Roman" w:hAnsi="Times New Roman" w:cs="Times New Roman"/>
        </w:rPr>
        <w:t xml:space="preserve">38. </w:t>
      </w:r>
      <w:r>
        <w:rPr>
          <w:rFonts w:ascii="PMingLiU" w:eastAsia="PMingLiU" w:hAnsi="PMingLiU" w:cs="PMingLiU"/>
        </w:rPr>
        <w:t>按碳骨架分类，下列说法正确的是</w:t>
      </w:r>
      <w:r>
        <w:rPr>
          <w:rFonts w:ascii="Times New Roman" w:eastAsia="Times New Roman" w:hAnsi="Times New Roman" w:cs="Times New Roman"/>
        </w:rPr>
        <w:t>( )</w:t>
      </w:r>
      <w:r>
        <w:rPr>
          <w:rFonts w:ascii="PMingLiU" w:eastAsia="PMingLiU" w:hAnsi="PMingLiU" w:cs="PMingLiU"/>
        </w:rPr>
        <w:t>。</w:t>
      </w:r>
    </w:p>
    <w:tbl>
      <w:tblPr>
        <w:tblStyle w:val="TableNormal"/>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
      <w:tblGrid>
        <w:gridCol w:w="8856"/>
      </w:tblGrid>
      <w:tr>
        <w:tblPrEx>
          <w:tblW w:w="5000" w:type="pct"/>
          <w:tblInd w:w="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A CH3CH(CH3)2</w:t>
            </w:r>
            <w:r>
              <w:rPr>
                <w:rFonts w:ascii="PMingLiU" w:eastAsia="PMingLiU" w:hAnsi="PMingLiU" w:cs="PMingLiU"/>
              </w:rPr>
              <w:t>属于链状化合物</w:t>
            </w:r>
            <w:r>
              <w:rPr>
                <w:rFonts w:ascii="Times New Roman" w:eastAsia="Times New Roman" w:hAnsi="Times New Roman" w:cs="Times New Roman"/>
                <w:color w:val="EFA030"/>
              </w:rPr>
              <w:t>(</w:t>
            </w:r>
            <w:r>
              <w:rPr>
                <w:rFonts w:ascii="PMingLiU" w:eastAsia="PMingLiU" w:hAnsi="PMingLiU" w:cs="PMingLiU"/>
                <w:color w:val="EFA030"/>
              </w:rPr>
              <w:t>正确答案</w:t>
            </w:r>
            <w:r>
              <w:rPr>
                <w:rFonts w:ascii="Times New Roman" w:eastAsia="Times New Roman" w:hAnsi="Times New Roman" w:cs="Times New Roman"/>
                <w:color w:val="EFA030"/>
              </w:rPr>
              <w:t>)</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B</w:t>
            </w:r>
            <w:r>
              <w:rPr>
                <w:rFonts w:ascii="PMingLiU" w:eastAsia="PMingLiU" w:hAnsi="PMingLiU" w:cs="PMingLiU"/>
              </w:rPr>
              <w:t>属于芳香族化合物</w:t>
            </w: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pBdr>
                <w:top w:val="none" w:sz="0" w:space="3" w:color="auto"/>
                <w:left w:val="none" w:sz="0" w:space="3" w:color="auto"/>
                <w:bottom w:val="none" w:sz="0" w:space="3" w:color="auto"/>
                <w:right w:val="none" w:sz="0" w:space="3" w:color="auto"/>
              </w:pBdr>
              <w:ind w:left="75" w:right="75"/>
              <w:jc w:val="center"/>
            </w:pPr>
            <w:r>
              <w:rPr>
                <w:rFonts w:ascii="Times New Roman" w:eastAsia="Times New Roman" w:hAnsi="Times New Roman" w:cs="Times New Roman"/>
                <w:strike w:val="0"/>
                <w:u w:val="none"/>
              </w:rPr>
              <w:drawing>
                <wp:inline distT="0" distB="0" distL="114300" distR="114300">
                  <wp:extent cx="1057275" cy="723900"/>
                  <wp:effectExtent l="0" t="0" r="9525"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4"/>
                          <a:stretch>
                            <a:fillRect/>
                          </a:stretch>
                        </pic:blipFill>
                        <pic:spPr>
                          <a:xfrm>
                            <a:off x="0" y="0"/>
                            <a:ext cx="1057275" cy="723900"/>
                          </a:xfrm>
                          <a:prstGeom prst="rect">
                            <a:avLst/>
                          </a:prstGeom>
                        </pic:spPr>
                      </pic:pic>
                    </a:graphicData>
                  </a:graphic>
                </wp:inline>
              </w:drawing>
            </w:r>
            <w:r>
              <w:rPr>
                <w:rFonts w:ascii="Times New Roman" w:eastAsia="Times New Roman" w:hAnsi="Times New Roman" w:cs="Times New Roman"/>
                <w:strike w:val="0"/>
                <w:u w:val="none"/>
              </w:rPr>
              <w:br/>
            </w:r>
          </w:p>
          <w:p>
            <w:pPr>
              <w:jc w:val="left"/>
              <w:rPr>
                <w:rFonts w:ascii="微软雅黑" w:eastAsia="微软雅黑" w:hAnsi="微软雅黑" w:cs="微软雅黑"/>
                <w:b w:val="0"/>
                <w:sz w:val="28"/>
              </w:rPr>
            </w:pPr>
          </w:p>
        </w:tc>
      </w:tr>
      <w:tr>
        <w:tblPrEx>
          <w:tblW w:w="5000" w:type="pct"/>
          <w:tblInd w:w="0" w:type="dxa"/>
          <w:tblLayout w:type="fixed"/>
          <w:tblCellMar>
            <w:top w:w="0" w:type="dxa"/>
            <w:left w:w="108" w:type="dxa"/>
            <w:bottom w:w="0" w:type="dxa"/>
            <w:right w:w="108" w:type="dxa"/>
          </w:tblCellMar>
        </w:tblPrEx>
        <w:trPr>
          <w:trHeight w:val="500"/>
        </w:trPr>
        <w:tc>
          <w:tcPr>
            <w:tcW w:w="7400" w:type="dxa"/>
            <w:shd w:val="clear" w:color="auto" w:fill="FFFFFF"/>
            <w:vAlign w:val="center"/>
          </w:tcPr>
          <w:p>
            <w:pPr>
              <w:jc w:val="left"/>
              <w:rPr>
                <w:rFonts w:ascii="微软雅黑" w:eastAsia="微软雅黑" w:hAnsi="微软雅黑" w:cs="微软雅黑"/>
                <w:b w:val="0"/>
                <w:sz w:val="28"/>
              </w:rPr>
            </w:pPr>
            <w:r>
              <w:rPr>
                <w:rFonts w:ascii="Times New Roman" w:eastAsia="Times New Roman" w:hAnsi="Times New Roman" w:cs="Times New Roman"/>
              </w:rPr>
              <w:t>C</w:t>
            </w:r>
            <w:r>
              <w:rPr>
                <w:rFonts w:ascii="PMingLiU" w:eastAsia="PMingLiU" w:hAnsi="PMingLiU" w:cs="PMingLiU"/>
              </w:rPr>
              <w:t>属于脂环化合物</w:t>
            </w:r>
          </w:p>
        </w:tc>
      </w:tr>
    </w:tbl>
    <w:p>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https://d.book118.com/108004047075006044</w:t>
        </w:r>
      </w:hyperlink>
    </w:p>
    <w:p/>
    <w:sectPr>
      <w:type w:val="nextPage"/>
      <w:pgSz w:w="12240" w:h="15840"/>
      <w:pgMar w:top="1440" w:right="1800" w:bottom="1440" w:left="1800" w:header="708" w:footer="708" w:gutter="0"/>
      <w:pgNumType w:start="9"/>
      <w:cols w:num="1" w:space="708"/>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PMingLiU">
    <w:altName w:val="Segoe Print"/>
    <w:panose1 w:val="00000000000000000000"/>
    <w:charset w:val="00"/>
    <w:family w:val="auto"/>
    <w:pitch w:val="default"/>
    <w:sig w:usb0="00000000" w:usb1="00000000" w:usb2="00000000" w:usb3="00000000" w:csb0="00000001" w:csb1="00000000"/>
  </w:font>
  <w:font w:name="Cambria Math">
    <w:panose1 w:val="02040503050406030204"/>
    <w:charset w:val="00"/>
    <w:family w:val="auto"/>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CA2A55"/>
    <w:rsid w:val="6AC13A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eastAsia="Times New Roman" w:hAnsi="Times New Roman" w:cs="Times New Roman"/>
      <w:sz w:val="24"/>
      <w:szCs w:val="24"/>
      <w:lang w:val="en-US" w:eastAsia="en-US"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0800404707500604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yuhaiyan-lln</dc:creator>
  <cp:lastModifiedBy>于海艳</cp:lastModifiedBy>
  <cp:revision>1</cp:revision>
  <dcterms:created xsi:type="dcterms:W3CDTF">2024-03-11T07:23:10Z</dcterms:created>
  <dcterms:modified xsi:type="dcterms:W3CDTF">2024-03-11T07:27:12Z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BDC078E6649947B49BE7F6F9B6C8E18F</vt:lpwstr>
  </property>
  <property fmtid="{D5CDD505-2E9C-101B-9397-08002B2CF9AE}" pid="3" name="KSOProductBuildVer">
    <vt:lpwstr>2052-11.8.2.12085</vt:lpwstr>
  </property>
</Properties>
</file>