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生活缴费行业相关公司筹备报告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(七)、生活缴费项目建设必要性分析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七、生活缴费项目风险分析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(一)、生活缴费项目风险分析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7" w:history="1">
        <w:r>
          <w:rPr>
            <w:rFonts w:ascii="仿宋" w:eastAsia="仿宋" w:hAnsi="仿宋" w:cs="仿宋" w:hint="eastAsia"/>
            <w:lang w:eastAsia="zh-CN"/>
          </w:rPr>
          <w:t>(二)、生活缴费项目风险对策</w:t>
        </w:r>
        <w:r>
          <w:tab/>
        </w:r>
        <w:r>
          <w:fldChar w:fldCharType="begin"/>
        </w:r>
        <w:r>
          <w:instrText xml:space="preserve"> PAGEREF _Toc3997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6" w:history="1">
        <w:r>
          <w:rPr>
            <w:rFonts w:ascii="仿宋" w:eastAsia="仿宋" w:hAnsi="仿宋" w:cs="仿宋" w:hint="eastAsia"/>
            <w:lang w:eastAsia="zh-CN"/>
          </w:rPr>
          <w:t>九、生活缴费项目经济效益</w:t>
        </w:r>
        <w:r>
          <w:tab/>
        </w:r>
        <w:r>
          <w:fldChar w:fldCharType="begin"/>
        </w:r>
        <w:r>
          <w:instrText xml:space="preserve"> PAGEREF _Toc14736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(三)、生活缴费项目盈利能力分析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(五)、生活缴费项目总投资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_Toc26165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9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2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5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https://d.book118.com/108030045134006027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生活缴费行业相关公司筹备报告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生活缴费行业相关公司筹备报告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生活缴费行业相关公司筹备报告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生活缴费行业相关公司筹备报告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生活缴费行业相关公司筹备报告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030045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2024-01-04T04:55:00Z</dcterms:created>
  <dcterms:modified xsi:type="dcterms:W3CDTF">2024-01-04T04:56:02Z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BD6BE2E0D1824F2BABF1D301F210AE70_11</vt:lpwstr>
  </property>
  <property fmtid="{D5CDD505-2E9C-101B-9397-08002B2CF9AE}" pid="3" name="KSOProductBuildVer">
    <vt:lpwstr>2052-12.1.0.16120</vt:lpwstr>
  </property>
</Properties>
</file>