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jc w:val="center"/>
        <w:rPr>
          <w:rFonts w:ascii="宋体" w:hAnsi="宋体"/>
          <w:color w:val="000000"/>
          <w:sz w:val="36"/>
          <w:szCs w:val="36"/>
        </w:rPr>
      </w:pPr>
      <w:bookmarkStart w:id="0" w:name="_GoBack"/>
      <w:bookmarkEnd w:id="0"/>
    </w:p>
    <w:p>
      <w:pPr>
        <w:pStyle w:val="Normal0"/>
        <w:jc w:val="center"/>
        <w:rPr>
          <w:rFonts w:ascii="宋体" w:hAnsi="宋体"/>
          <w:color w:val="000000"/>
          <w:sz w:val="36"/>
          <w:szCs w:val="36"/>
        </w:rPr>
      </w:pPr>
    </w:p>
    <w:p>
      <w:pPr>
        <w:pStyle w:val="Normal0"/>
        <w:jc w:val="center"/>
        <w:rPr>
          <w:rFonts w:ascii="宋体" w:hAnsi="宋体"/>
          <w:color w:val="000000"/>
          <w:sz w:val="36"/>
          <w:szCs w:val="36"/>
        </w:rPr>
      </w:pPr>
    </w:p>
    <w:p>
      <w:pPr>
        <w:pStyle w:val="Normal0"/>
        <w:jc w:val="center"/>
        <w:rPr>
          <w:rFonts w:ascii="宋体" w:hAnsi="宋体"/>
        </w:rPr>
      </w:pPr>
      <w:r>
        <w:rPr>
          <w:rFonts w:ascii="宋体" w:eastAsia="宋体" w:hAnsi="宋体"/>
          <w:b/>
          <w:color w:val="000000"/>
          <w:sz w:val="36"/>
          <w:szCs w:val="36"/>
        </w:rPr>
        <w:t>XX</w:t>
      </w:r>
      <w:r>
        <w:rPr>
          <w:rFonts w:ascii="宋体" w:eastAsia="宋体" w:hAnsi="宋体" w:hint="eastAsia"/>
          <w:b/>
          <w:color w:val="000000"/>
          <w:sz w:val="36"/>
          <w:szCs w:val="36"/>
        </w:rPr>
        <w:t>年弃管楼院绿化提升</w:t>
      </w:r>
      <w:r>
        <w:rPr>
          <w:rFonts w:ascii="宋体" w:hAnsi="宋体" w:hint="eastAsia"/>
          <w:b/>
          <w:color w:val="000000"/>
          <w:sz w:val="36"/>
          <w:szCs w:val="36"/>
          <w:lang w:eastAsia="zh-CN"/>
        </w:rPr>
        <w:t>相关项目</w:t>
      </w:r>
      <w:r>
        <w:rPr>
          <w:rFonts w:ascii="宋体" w:eastAsia="宋体" w:hAnsi="宋体" w:hint="eastAsia"/>
          <w:b/>
          <w:color w:val="000000"/>
          <w:sz w:val="36"/>
          <w:szCs w:val="36"/>
        </w:rPr>
        <w:t>X</w:t>
      </w:r>
      <w:r>
        <w:rPr>
          <w:rFonts w:ascii="宋体" w:eastAsia="宋体" w:hAnsi="宋体"/>
          <w:b/>
          <w:color w:val="000000"/>
          <w:sz w:val="36"/>
          <w:szCs w:val="36"/>
        </w:rPr>
        <w:t>X</w:t>
      </w:r>
      <w:r>
        <w:rPr>
          <w:rFonts w:ascii="宋体" w:eastAsia="宋体" w:hAnsi="宋体" w:hint="eastAsia"/>
          <w:b/>
          <w:color w:val="000000"/>
          <w:sz w:val="36"/>
          <w:szCs w:val="36"/>
        </w:rPr>
        <w:t>标段施工组织设计</w:t>
      </w:r>
    </w:p>
    <w:p>
      <w:pPr>
        <w:pStyle w:val="Normal0"/>
        <w:rPr>
          <w:rFonts w:ascii="宋体" w:hAnsi="宋体"/>
        </w:rPr>
        <w:sectPr>
          <w:headerReference w:type="default" r:id="rId5"/>
          <w:pgSz w:w="11906" w:h="16838"/>
          <w:pgMar w:top="1440" w:right="1701" w:bottom="1440" w:left="1701" w:header="850" w:footer="992" w:gutter="0"/>
          <w:cols w:num="1" w:space="425"/>
          <w:docGrid w:type="lines" w:linePitch="312" w:charSpace="0"/>
        </w:sectPr>
      </w:pPr>
    </w:p>
    <w:p>
      <w:pPr>
        <w:pStyle w:val="Normal0"/>
        <w:jc w:val="center"/>
        <w:rPr>
          <w:rFonts w:ascii="宋体" w:hAnsi="宋体"/>
          <w:b/>
          <w:sz w:val="36"/>
        </w:rPr>
      </w:pPr>
      <w:r>
        <w:rPr>
          <w:rFonts w:ascii="宋体" w:eastAsia="宋体" w:hAnsi="宋体" w:hint="eastAsia"/>
          <w:b/>
          <w:sz w:val="36"/>
        </w:rPr>
        <w:t>目     录</w:t>
      </w:r>
    </w:p>
    <w:p>
      <w:pPr>
        <w:pStyle w:val="TOC1"/>
        <w:tabs>
          <w:tab w:val="left" w:pos="1260"/>
          <w:tab w:val="right" w:leader="dot" w:pos="8494"/>
        </w:tabs>
        <w:rPr>
          <w:rFonts w:ascii="Calibri" w:eastAsia="宋体" w:hAnsi="Calibri"/>
        </w:rPr>
      </w:pPr>
      <w:r>
        <w:rPr>
          <w:rFonts w:ascii="宋体" w:eastAsia="宋体" w:hAnsi="宋体" w:hint="eastAsia"/>
        </w:rPr>
        <w:fldChar w:fldCharType="begin"/>
      </w:r>
      <w:r>
        <w:rPr>
          <w:rFonts w:ascii="宋体" w:eastAsia="宋体" w:hAnsi="宋体" w:hint="eastAsia"/>
        </w:rPr>
        <w:instrText xml:space="preserve"> TOC \o "1-3" </w:instrText>
      </w:r>
      <w:r>
        <w:rPr>
          <w:rFonts w:ascii="宋体" w:eastAsia="宋体" w:hAnsi="宋体" w:hint="eastAsia"/>
        </w:rPr>
        <w:fldChar w:fldCharType="separate"/>
      </w:r>
      <w:r>
        <w:rPr>
          <w:rFonts w:hint="eastAsia"/>
        </w:rPr>
        <w:t>第1章</w:t>
      </w:r>
      <w:r>
        <w:rPr>
          <w:rFonts w:ascii="Calibri" w:eastAsia="宋体" w:hAnsi="Calibri"/>
        </w:rPr>
        <w:tab/>
      </w:r>
      <w:r>
        <w:rPr>
          <w:rFonts w:ascii="宋体" w:eastAsia="宋体" w:hAnsi="宋体" w:hint="eastAsia"/>
        </w:rPr>
        <w:t>编制依据及编制说明</w:t>
      </w:r>
      <w:r>
        <w:tab/>
      </w:r>
      <w:r>
        <w:fldChar w:fldCharType="begin"/>
      </w:r>
      <w:r>
        <w:instrText xml:space="preserve"> PAGEREF _Toc491077875 \h </w:instrText>
      </w:r>
      <w:r>
        <w:fldChar w:fldCharType="separate"/>
      </w:r>
      <w:r>
        <w:t>1</w:t>
      </w:r>
      <w:r>
        <w:fldChar w:fldCharType="end"/>
      </w:r>
    </w:p>
    <w:p>
      <w:pPr>
        <w:pStyle w:val="TOC2"/>
        <w:rPr>
          <w:rFonts w:ascii="Calibri" w:eastAsia="宋体" w:hAnsi="Calibri"/>
        </w:rPr>
      </w:pPr>
      <w:r>
        <w:rPr>
          <w:rFonts w:hAnsi="宋体" w:hint="eastAsia"/>
        </w:rPr>
        <w:t>第1节</w:t>
      </w:r>
      <w:r>
        <w:rPr>
          <w:rFonts w:ascii="Calibri" w:eastAsia="宋体" w:hAnsi="Calibri"/>
        </w:rPr>
        <w:tab/>
      </w:r>
      <w:r>
        <w:rPr>
          <w:rFonts w:ascii="宋体" w:eastAsia="宋体" w:hAnsi="宋体" w:hint="eastAsia"/>
        </w:rPr>
        <w:t>编制依据</w:t>
      </w:r>
      <w:r>
        <w:tab/>
      </w:r>
      <w:r>
        <w:fldChar w:fldCharType="begin"/>
      </w:r>
      <w:r>
        <w:instrText xml:space="preserve"> PAGEREF _Toc491077876 \h </w:instrText>
      </w:r>
      <w:r>
        <w:fldChar w:fldCharType="separate"/>
      </w:r>
      <w:r>
        <w:t>1</w:t>
      </w:r>
      <w:r>
        <w:fldChar w:fldCharType="end"/>
      </w:r>
    </w:p>
    <w:p>
      <w:pPr>
        <w:pStyle w:val="TOC2"/>
        <w:rPr>
          <w:rFonts w:ascii="Calibri" w:eastAsia="宋体" w:hAnsi="Calibri"/>
        </w:rPr>
      </w:pPr>
      <w:r>
        <w:rPr>
          <w:rFonts w:hAnsi="宋体" w:hint="eastAsia"/>
        </w:rPr>
        <w:t>第2节</w:t>
      </w:r>
      <w:r>
        <w:rPr>
          <w:rFonts w:ascii="Calibri" w:eastAsia="宋体" w:hAnsi="Calibri"/>
        </w:rPr>
        <w:tab/>
      </w:r>
      <w:r>
        <w:rPr>
          <w:rFonts w:ascii="宋体" w:eastAsia="宋体" w:hAnsi="宋体" w:hint="eastAsia"/>
        </w:rPr>
        <w:t>编制说明</w:t>
      </w:r>
      <w:r>
        <w:tab/>
      </w:r>
      <w:r>
        <w:fldChar w:fldCharType="begin"/>
      </w:r>
      <w:r>
        <w:instrText xml:space="preserve"> PAGEREF _Toc491077877 \h </w:instrText>
      </w:r>
      <w:r>
        <w:fldChar w:fldCharType="separate"/>
      </w:r>
      <w:r>
        <w:t>1</w:t>
      </w:r>
      <w:r>
        <w:fldChar w:fldCharType="end"/>
      </w:r>
    </w:p>
    <w:p>
      <w:pPr>
        <w:pStyle w:val="TOC1"/>
        <w:tabs>
          <w:tab w:val="left" w:pos="1260"/>
          <w:tab w:val="right" w:leader="dot" w:pos="8494"/>
        </w:tabs>
        <w:rPr>
          <w:rFonts w:ascii="Calibri" w:eastAsia="宋体" w:hAnsi="Calibri"/>
        </w:rPr>
      </w:pPr>
      <w:r>
        <w:rPr>
          <w:rFonts w:hint="eastAsia"/>
        </w:rPr>
        <w:t>第2章</w:t>
      </w:r>
      <w:r>
        <w:rPr>
          <w:rFonts w:ascii="Calibri" w:eastAsia="宋体" w:hAnsi="Calibri"/>
        </w:rPr>
        <w:tab/>
      </w:r>
      <w:r>
        <w:rPr>
          <w:rFonts w:ascii="宋体" w:eastAsia="宋体" w:hAnsi="宋体" w:hint="eastAsia"/>
        </w:rPr>
        <w:t>工程概况与总体概述</w:t>
      </w:r>
      <w:r>
        <w:tab/>
      </w:r>
      <w:r>
        <w:fldChar w:fldCharType="begin"/>
      </w:r>
      <w:r>
        <w:instrText xml:space="preserve"> PAGEREF _Toc491077878 \h </w:instrText>
      </w:r>
      <w:r>
        <w:fldChar w:fldCharType="separate"/>
      </w:r>
      <w:r>
        <w:t>3</w:t>
      </w:r>
      <w:r>
        <w:fldChar w:fldCharType="end"/>
      </w:r>
    </w:p>
    <w:p>
      <w:pPr>
        <w:pStyle w:val="TOC2"/>
        <w:rPr>
          <w:rFonts w:ascii="Calibri" w:eastAsia="宋体" w:hAnsi="Calibri"/>
        </w:rPr>
      </w:pPr>
      <w:r>
        <w:rPr>
          <w:rFonts w:hAnsi="宋体" w:hint="eastAsia"/>
        </w:rPr>
        <w:t>第1节</w:t>
      </w:r>
      <w:r>
        <w:rPr>
          <w:rFonts w:ascii="Calibri" w:eastAsia="宋体" w:hAnsi="Calibri"/>
        </w:rPr>
        <w:tab/>
      </w:r>
      <w:r>
        <w:rPr>
          <w:rFonts w:ascii="宋体" w:eastAsia="宋体" w:hAnsi="宋体" w:hint="eastAsia"/>
        </w:rPr>
        <w:t>工程概况及工程目标</w:t>
      </w:r>
      <w:r>
        <w:tab/>
      </w:r>
      <w:r>
        <w:fldChar w:fldCharType="begin"/>
      </w:r>
      <w:r>
        <w:instrText xml:space="preserve"> PAGEREF _Toc491077879 \h </w:instrText>
      </w:r>
      <w:r>
        <w:fldChar w:fldCharType="separate"/>
      </w:r>
      <w:r>
        <w:t>3</w:t>
      </w:r>
      <w:r>
        <w:fldChar w:fldCharType="end"/>
      </w:r>
    </w:p>
    <w:p>
      <w:pPr>
        <w:pStyle w:val="TOC2"/>
        <w:rPr>
          <w:rFonts w:ascii="Calibri" w:eastAsia="宋体" w:hAnsi="Calibri"/>
        </w:rPr>
      </w:pPr>
      <w:r>
        <w:rPr>
          <w:rFonts w:hAnsi="宋体" w:hint="eastAsia"/>
        </w:rPr>
        <w:t>第2节</w:t>
      </w:r>
      <w:r>
        <w:rPr>
          <w:rFonts w:ascii="Calibri" w:eastAsia="宋体" w:hAnsi="Calibri"/>
        </w:rPr>
        <w:tab/>
      </w:r>
      <w:r>
        <w:rPr>
          <w:rFonts w:ascii="宋体" w:eastAsia="宋体" w:hAnsi="宋体" w:hint="eastAsia"/>
        </w:rPr>
        <w:t>总体概述及施工总体部署</w:t>
      </w:r>
      <w:r>
        <w:tab/>
      </w:r>
      <w:r>
        <w:fldChar w:fldCharType="begin"/>
      </w:r>
      <w:r>
        <w:instrText xml:space="preserve"> PAGEREF _Toc491077880 \h </w:instrText>
      </w:r>
      <w:r>
        <w:fldChar w:fldCharType="separate"/>
      </w:r>
      <w:r>
        <w:t>4</w:t>
      </w:r>
      <w:r>
        <w:fldChar w:fldCharType="end"/>
      </w:r>
    </w:p>
    <w:p>
      <w:pPr>
        <w:pStyle w:val="TOC2"/>
        <w:rPr>
          <w:rFonts w:ascii="Calibri" w:eastAsia="宋体" w:hAnsi="Calibri"/>
        </w:rPr>
      </w:pPr>
      <w:r>
        <w:rPr>
          <w:rFonts w:hAnsi="宋体" w:hint="eastAsia"/>
        </w:rPr>
        <w:t>第3节</w:t>
      </w:r>
      <w:r>
        <w:rPr>
          <w:rFonts w:ascii="Calibri" w:eastAsia="宋体" w:hAnsi="Calibri"/>
        </w:rPr>
        <w:tab/>
      </w:r>
      <w:r>
        <w:rPr>
          <w:rFonts w:ascii="宋体" w:eastAsia="宋体" w:hAnsi="宋体" w:hint="eastAsia"/>
        </w:rPr>
        <w:t>施工顺序及空间部署</w:t>
      </w:r>
      <w:r>
        <w:tab/>
      </w:r>
      <w:r>
        <w:fldChar w:fldCharType="begin"/>
      </w:r>
      <w:r>
        <w:instrText xml:space="preserve"> PAGEREF _Toc491077881 \h </w:instrText>
      </w:r>
      <w:r>
        <w:fldChar w:fldCharType="separate"/>
      </w:r>
      <w:r>
        <w:t>7</w:t>
      </w:r>
      <w:r>
        <w:fldChar w:fldCharType="end"/>
      </w:r>
    </w:p>
    <w:p>
      <w:pPr>
        <w:pStyle w:val="TOC2"/>
        <w:rPr>
          <w:rFonts w:ascii="Calibri" w:eastAsia="宋体" w:hAnsi="Calibri"/>
        </w:rPr>
      </w:pPr>
      <w:r>
        <w:rPr>
          <w:rFonts w:hAnsi="宋体" w:hint="eastAsia"/>
        </w:rPr>
        <w:t>第4节</w:t>
      </w:r>
      <w:r>
        <w:rPr>
          <w:rFonts w:ascii="Calibri" w:eastAsia="宋体" w:hAnsi="Calibri"/>
        </w:rPr>
        <w:tab/>
      </w:r>
      <w:r>
        <w:rPr>
          <w:rFonts w:ascii="宋体" w:eastAsia="宋体" w:hAnsi="宋体" w:hint="eastAsia"/>
        </w:rPr>
        <w:t>重点难点分析</w:t>
      </w:r>
      <w:r>
        <w:tab/>
      </w:r>
      <w:r>
        <w:fldChar w:fldCharType="begin"/>
      </w:r>
      <w:r>
        <w:instrText xml:space="preserve"> PAGEREF _Toc491077882 \h </w:instrText>
      </w:r>
      <w:r>
        <w:fldChar w:fldCharType="separate"/>
      </w:r>
      <w:r>
        <w:t>7</w:t>
      </w:r>
      <w:r>
        <w:fldChar w:fldCharType="end"/>
      </w:r>
    </w:p>
    <w:p>
      <w:pPr>
        <w:pStyle w:val="TOC2"/>
        <w:rPr>
          <w:rFonts w:ascii="Calibri" w:eastAsia="宋体" w:hAnsi="Calibri"/>
        </w:rPr>
      </w:pPr>
      <w:r>
        <w:rPr>
          <w:rFonts w:hAnsi="宋体" w:hint="eastAsia"/>
        </w:rPr>
        <w:t>第5节</w:t>
      </w:r>
      <w:r>
        <w:rPr>
          <w:rFonts w:ascii="Calibri" w:eastAsia="宋体" w:hAnsi="Calibri"/>
        </w:rPr>
        <w:tab/>
      </w:r>
      <w:r>
        <w:rPr>
          <w:rFonts w:ascii="宋体" w:hAnsi="宋体" w:hint="eastAsia"/>
          <w:lang w:eastAsia="zh-CN"/>
        </w:rPr>
        <w:t>相关项目</w:t>
      </w:r>
      <w:r>
        <w:rPr>
          <w:rFonts w:ascii="宋体" w:eastAsia="宋体" w:hAnsi="宋体" w:hint="eastAsia"/>
        </w:rPr>
        <w:t>组织机构及</w:t>
      </w:r>
      <w:r>
        <w:rPr>
          <w:rFonts w:ascii="宋体" w:hAnsi="宋体" w:hint="eastAsia"/>
          <w:lang w:eastAsia="zh-CN"/>
        </w:rPr>
        <w:t>管理管控</w:t>
      </w:r>
      <w:r>
        <w:rPr>
          <w:rFonts w:ascii="宋体" w:eastAsia="宋体" w:hAnsi="宋体" w:hint="eastAsia"/>
        </w:rPr>
        <w:t>职责</w:t>
      </w:r>
      <w:r>
        <w:tab/>
      </w:r>
      <w:r>
        <w:fldChar w:fldCharType="begin"/>
      </w:r>
      <w:r>
        <w:instrText xml:space="preserve"> PAGEREF _Toc491077883 \h </w:instrText>
      </w:r>
      <w:r>
        <w:fldChar w:fldCharType="separate"/>
      </w:r>
      <w:r>
        <w:t>7</w:t>
      </w:r>
      <w:r>
        <w:fldChar w:fldCharType="end"/>
      </w:r>
    </w:p>
    <w:p>
      <w:pPr>
        <w:pStyle w:val="TOC2"/>
        <w:rPr>
          <w:rFonts w:ascii="Calibri" w:eastAsia="宋体" w:hAnsi="Calibri"/>
        </w:rPr>
      </w:pPr>
      <w:r>
        <w:rPr>
          <w:rFonts w:hAnsi="宋体" w:hint="eastAsia"/>
        </w:rPr>
        <w:t>第6节</w:t>
      </w:r>
      <w:r>
        <w:rPr>
          <w:rFonts w:ascii="Calibri" w:eastAsia="宋体" w:hAnsi="Calibri"/>
        </w:rPr>
        <w:tab/>
      </w:r>
      <w:r>
        <w:rPr>
          <w:rFonts w:ascii="宋体" w:eastAsia="宋体" w:hAnsi="宋体" w:hint="eastAsia"/>
        </w:rPr>
        <w:t>总包</w:t>
      </w:r>
      <w:r>
        <w:rPr>
          <w:rFonts w:ascii="宋体" w:hAnsi="宋体" w:hint="eastAsia"/>
          <w:lang w:eastAsia="zh-CN"/>
        </w:rPr>
        <w:t>管理管控</w:t>
      </w:r>
      <w:r>
        <w:rPr>
          <w:rFonts w:ascii="宋体" w:eastAsia="宋体" w:hAnsi="宋体" w:hint="eastAsia"/>
        </w:rPr>
        <w:t>部署</w:t>
      </w:r>
      <w:r>
        <w:tab/>
      </w:r>
      <w:r>
        <w:fldChar w:fldCharType="begin"/>
      </w:r>
      <w:r>
        <w:instrText xml:space="preserve"> PAGEREF _Toc491077884 \h </w:instrText>
      </w:r>
      <w:r>
        <w:fldChar w:fldCharType="separate"/>
      </w:r>
      <w:r>
        <w:t>9</w:t>
      </w:r>
      <w:r>
        <w:fldChar w:fldCharType="end"/>
      </w:r>
    </w:p>
    <w:p>
      <w:pPr>
        <w:pStyle w:val="TOC2"/>
        <w:rPr>
          <w:rFonts w:ascii="Calibri" w:eastAsia="宋体" w:hAnsi="Calibri"/>
        </w:rPr>
      </w:pPr>
      <w:r>
        <w:rPr>
          <w:rFonts w:hAnsi="宋体" w:hint="eastAsia"/>
        </w:rPr>
        <w:t>第7节</w:t>
      </w:r>
      <w:r>
        <w:rPr>
          <w:rFonts w:ascii="Calibri" w:eastAsia="宋体" w:hAnsi="Calibri"/>
        </w:rPr>
        <w:tab/>
      </w:r>
      <w:r>
        <w:rPr>
          <w:rFonts w:ascii="宋体" w:eastAsia="宋体" w:hAnsi="宋体" w:hint="eastAsia"/>
        </w:rPr>
        <w:t>施工准备工作</w:t>
      </w:r>
      <w:r>
        <w:tab/>
      </w:r>
      <w:r>
        <w:fldChar w:fldCharType="begin"/>
      </w:r>
      <w:r>
        <w:instrText xml:space="preserve"> PAGEREF _Toc491077885 \h </w:instrText>
      </w:r>
      <w:r>
        <w:fldChar w:fldCharType="separate"/>
      </w:r>
      <w:r>
        <w:t>11</w:t>
      </w:r>
      <w:r>
        <w:fldChar w:fldCharType="end"/>
      </w:r>
    </w:p>
    <w:p>
      <w:pPr>
        <w:pStyle w:val="TOC1"/>
        <w:tabs>
          <w:tab w:val="left" w:pos="1260"/>
          <w:tab w:val="right" w:leader="dot" w:pos="8494"/>
        </w:tabs>
        <w:rPr>
          <w:rFonts w:ascii="Calibri" w:eastAsia="宋体" w:hAnsi="Calibri"/>
        </w:rPr>
      </w:pPr>
      <w:r>
        <w:rPr>
          <w:rFonts w:hint="eastAsia"/>
        </w:rPr>
        <w:t>第3章</w:t>
      </w:r>
      <w:r>
        <w:rPr>
          <w:rFonts w:ascii="Calibri" w:eastAsia="宋体" w:hAnsi="Calibri"/>
        </w:rPr>
        <w:tab/>
      </w:r>
      <w:r>
        <w:rPr>
          <w:rFonts w:ascii="宋体" w:eastAsia="宋体" w:hAnsi="宋体" w:hint="eastAsia"/>
        </w:rPr>
        <w:t>施工总平面图与布置</w:t>
      </w:r>
      <w:r>
        <w:tab/>
      </w:r>
      <w:r>
        <w:fldChar w:fldCharType="begin"/>
      </w:r>
      <w:r>
        <w:instrText xml:space="preserve"> PAGEREF _Toc491077886 \h </w:instrText>
      </w:r>
      <w:r>
        <w:fldChar w:fldCharType="separate"/>
      </w:r>
      <w:r>
        <w:t>14</w:t>
      </w:r>
      <w:r>
        <w:fldChar w:fldCharType="end"/>
      </w:r>
    </w:p>
    <w:p>
      <w:pPr>
        <w:pStyle w:val="TOC2"/>
        <w:rPr>
          <w:rFonts w:ascii="Calibri" w:eastAsia="宋体" w:hAnsi="Calibri"/>
        </w:rPr>
      </w:pPr>
      <w:r>
        <w:rPr>
          <w:rFonts w:hAnsi="宋体" w:hint="eastAsia"/>
        </w:rPr>
        <w:t>第1节</w:t>
      </w:r>
      <w:r>
        <w:rPr>
          <w:rFonts w:ascii="Calibri" w:eastAsia="宋体" w:hAnsi="Calibri"/>
        </w:rPr>
        <w:tab/>
      </w:r>
      <w:r>
        <w:rPr>
          <w:rFonts w:ascii="宋体" w:eastAsia="宋体" w:hAnsi="宋体" w:hint="eastAsia"/>
        </w:rPr>
        <w:t>施工总体布置</w:t>
      </w:r>
      <w:r>
        <w:tab/>
      </w:r>
      <w:r>
        <w:fldChar w:fldCharType="begin"/>
      </w:r>
      <w:r>
        <w:instrText xml:space="preserve"> PAGEREF _Toc491077887 \h </w:instrText>
      </w:r>
      <w:r>
        <w:fldChar w:fldCharType="separate"/>
      </w:r>
      <w:r>
        <w:t>14</w:t>
      </w:r>
      <w:r>
        <w:fldChar w:fldCharType="end"/>
      </w:r>
    </w:p>
    <w:p>
      <w:pPr>
        <w:pStyle w:val="TOC2"/>
        <w:rPr>
          <w:rFonts w:ascii="Calibri" w:eastAsia="宋体" w:hAnsi="Calibri"/>
        </w:rPr>
      </w:pPr>
      <w:r>
        <w:rPr>
          <w:rFonts w:hAnsi="宋体" w:hint="eastAsia"/>
        </w:rPr>
        <w:t>第2节</w:t>
      </w:r>
      <w:r>
        <w:rPr>
          <w:rFonts w:ascii="Calibri" w:eastAsia="宋体" w:hAnsi="Calibri"/>
        </w:rPr>
        <w:tab/>
      </w:r>
      <w:r>
        <w:rPr>
          <w:rFonts w:ascii="宋体" w:eastAsia="宋体" w:hAnsi="宋体" w:hint="eastAsia"/>
        </w:rPr>
        <w:t>临时道路及设施</w:t>
      </w:r>
      <w:r>
        <w:tab/>
      </w:r>
      <w:r>
        <w:fldChar w:fldCharType="begin"/>
      </w:r>
      <w:r>
        <w:instrText xml:space="preserve"> PAGEREF _Toc491077888 \h </w:instrText>
      </w:r>
      <w:r>
        <w:fldChar w:fldCharType="separate"/>
      </w:r>
      <w:r>
        <w:t>14</w:t>
      </w:r>
      <w:r>
        <w:fldChar w:fldCharType="end"/>
      </w:r>
    </w:p>
    <w:p>
      <w:pPr>
        <w:pStyle w:val="TOC2"/>
        <w:rPr>
          <w:rFonts w:ascii="Calibri" w:eastAsia="宋体" w:hAnsi="Calibri"/>
        </w:rPr>
      </w:pPr>
      <w:r>
        <w:rPr>
          <w:rFonts w:hAnsi="宋体" w:hint="eastAsia"/>
        </w:rPr>
        <w:t>第3节</w:t>
      </w:r>
      <w:r>
        <w:rPr>
          <w:rFonts w:ascii="Calibri" w:eastAsia="宋体" w:hAnsi="Calibri"/>
        </w:rPr>
        <w:tab/>
      </w:r>
      <w:r>
        <w:rPr>
          <w:rFonts w:ascii="宋体" w:eastAsia="宋体" w:hAnsi="宋体" w:hint="eastAsia"/>
        </w:rPr>
        <w:t>施工用电</w:t>
      </w:r>
      <w:r>
        <w:tab/>
      </w:r>
      <w:r>
        <w:fldChar w:fldCharType="begin"/>
      </w:r>
      <w:r>
        <w:instrText xml:space="preserve"> PAGEREF _Toc491077889 \h </w:instrText>
      </w:r>
      <w:r>
        <w:fldChar w:fldCharType="separate"/>
      </w:r>
      <w:r>
        <w:t>15</w:t>
      </w:r>
      <w:r>
        <w:fldChar w:fldCharType="end"/>
      </w:r>
    </w:p>
    <w:p>
      <w:pPr>
        <w:pStyle w:val="TOC2"/>
        <w:rPr>
          <w:rFonts w:ascii="Calibri" w:eastAsia="宋体" w:hAnsi="Calibri"/>
        </w:rPr>
      </w:pPr>
      <w:r>
        <w:rPr>
          <w:rFonts w:hAnsi="宋体" w:hint="eastAsia"/>
        </w:rPr>
        <w:t>第4节</w:t>
      </w:r>
      <w:r>
        <w:rPr>
          <w:rFonts w:ascii="Calibri" w:eastAsia="宋体" w:hAnsi="Calibri"/>
        </w:rPr>
        <w:tab/>
      </w:r>
      <w:r>
        <w:rPr>
          <w:rFonts w:ascii="宋体" w:eastAsia="宋体" w:hAnsi="宋体" w:hint="eastAsia"/>
        </w:rPr>
        <w:t>施工用水</w:t>
      </w:r>
      <w:r>
        <w:tab/>
      </w:r>
      <w:r>
        <w:fldChar w:fldCharType="begin"/>
      </w:r>
      <w:r>
        <w:instrText xml:space="preserve"> PAGEREF _Toc491077890 \h </w:instrText>
      </w:r>
      <w:r>
        <w:fldChar w:fldCharType="separate"/>
      </w:r>
      <w:r>
        <w:t>16</w:t>
      </w:r>
      <w:r>
        <w:fldChar w:fldCharType="end"/>
      </w:r>
    </w:p>
    <w:p>
      <w:pPr>
        <w:pStyle w:val="TOC2"/>
        <w:rPr>
          <w:rFonts w:ascii="Calibri" w:eastAsia="宋体" w:hAnsi="Calibri"/>
        </w:rPr>
      </w:pPr>
      <w:r>
        <w:rPr>
          <w:rFonts w:hAnsi="宋体" w:hint="eastAsia"/>
        </w:rPr>
        <w:t>第5节</w:t>
      </w:r>
      <w:r>
        <w:rPr>
          <w:rFonts w:ascii="Calibri" w:eastAsia="宋体" w:hAnsi="Calibri"/>
        </w:rPr>
        <w:tab/>
      </w:r>
      <w:r>
        <w:rPr>
          <w:rFonts w:ascii="宋体" w:eastAsia="宋体" w:hAnsi="宋体" w:hint="eastAsia"/>
        </w:rPr>
        <w:t>半成品材料加工机械</w:t>
      </w:r>
      <w:r>
        <w:tab/>
      </w:r>
      <w:r>
        <w:fldChar w:fldCharType="begin"/>
      </w:r>
      <w:r>
        <w:instrText xml:space="preserve"> PAGEREF _Toc491077891 \h </w:instrText>
      </w:r>
      <w:r>
        <w:fldChar w:fldCharType="separate"/>
      </w:r>
      <w:r>
        <w:t>16</w:t>
      </w:r>
      <w:r>
        <w:fldChar w:fldCharType="end"/>
      </w:r>
    </w:p>
    <w:p>
      <w:pPr>
        <w:pStyle w:val="TOC2"/>
        <w:rPr>
          <w:rFonts w:ascii="Calibri" w:eastAsia="宋体" w:hAnsi="Calibri"/>
        </w:rPr>
      </w:pPr>
      <w:r>
        <w:rPr>
          <w:rFonts w:hAnsi="宋体" w:hint="eastAsia"/>
        </w:rPr>
        <w:t>第6节</w:t>
      </w:r>
      <w:r>
        <w:rPr>
          <w:rFonts w:ascii="Calibri" w:eastAsia="宋体" w:hAnsi="Calibri"/>
        </w:rPr>
        <w:tab/>
      </w:r>
      <w:r>
        <w:rPr>
          <w:rFonts w:ascii="宋体" w:eastAsia="宋体" w:hAnsi="宋体" w:hint="eastAsia"/>
        </w:rPr>
        <w:t>施工场地布置</w:t>
      </w:r>
      <w:r>
        <w:tab/>
      </w:r>
      <w:r>
        <w:fldChar w:fldCharType="begin"/>
      </w:r>
      <w:r>
        <w:instrText xml:space="preserve"> PAGEREF _Toc491077892 \h </w:instrText>
      </w:r>
      <w:r>
        <w:fldChar w:fldCharType="separate"/>
      </w:r>
      <w:r>
        <w:t>17</w:t>
      </w:r>
      <w:r>
        <w:fldChar w:fldCharType="end"/>
      </w:r>
    </w:p>
    <w:p>
      <w:pPr>
        <w:pStyle w:val="TOC1"/>
        <w:tabs>
          <w:tab w:val="left" w:pos="1260"/>
          <w:tab w:val="right" w:leader="dot" w:pos="8494"/>
        </w:tabs>
        <w:rPr>
          <w:rFonts w:ascii="Calibri" w:eastAsia="宋体" w:hAnsi="Calibri"/>
        </w:rPr>
      </w:pPr>
      <w:r>
        <w:rPr>
          <w:rFonts w:hint="eastAsia"/>
        </w:rPr>
        <w:t>第4章</w:t>
      </w:r>
      <w:r>
        <w:rPr>
          <w:rFonts w:ascii="Calibri" w:eastAsia="宋体" w:hAnsi="Calibri"/>
        </w:rPr>
        <w:tab/>
      </w:r>
      <w:r>
        <w:rPr>
          <w:rFonts w:ascii="宋体" w:eastAsia="宋体" w:hAnsi="宋体" w:hint="eastAsia"/>
        </w:rPr>
        <w:t>施工进度</w:t>
      </w:r>
      <w:r>
        <w:rPr>
          <w:rFonts w:ascii="宋体" w:hAnsi="宋体" w:hint="eastAsia"/>
          <w:lang w:eastAsia="zh-CN"/>
        </w:rPr>
        <w:t>相关计划</w:t>
      </w:r>
      <w:r>
        <w:rPr>
          <w:rFonts w:ascii="宋体" w:eastAsia="宋体" w:hAnsi="宋体" w:hint="eastAsia"/>
        </w:rPr>
        <w:t>及保证措施</w:t>
      </w:r>
      <w:r>
        <w:tab/>
      </w:r>
      <w:r>
        <w:fldChar w:fldCharType="begin"/>
      </w:r>
      <w:r>
        <w:instrText xml:space="preserve"> PAGEREF _Toc491077893 \h </w:instrText>
      </w:r>
      <w:r>
        <w:fldChar w:fldCharType="separate"/>
      </w:r>
      <w:r>
        <w:t>18</w:t>
      </w:r>
      <w:r>
        <w:fldChar w:fldCharType="end"/>
      </w:r>
    </w:p>
    <w:p>
      <w:pPr>
        <w:pStyle w:val="TOC2"/>
        <w:rPr>
          <w:rFonts w:ascii="Calibri" w:eastAsia="宋体" w:hAnsi="Calibri"/>
        </w:rPr>
      </w:pPr>
      <w:r>
        <w:rPr>
          <w:rFonts w:hAnsi="宋体" w:hint="eastAsia"/>
        </w:rPr>
        <w:t>第1节</w:t>
      </w:r>
      <w:r>
        <w:rPr>
          <w:rFonts w:ascii="Calibri" w:eastAsia="宋体" w:hAnsi="Calibri"/>
        </w:rPr>
        <w:tab/>
      </w:r>
      <w:r>
        <w:rPr>
          <w:rFonts w:ascii="宋体" w:eastAsia="宋体" w:hAnsi="宋体" w:hint="eastAsia"/>
        </w:rPr>
        <w:t>施工进度</w:t>
      </w:r>
      <w:r>
        <w:rPr>
          <w:rFonts w:ascii="宋体" w:hAnsi="宋体" w:hint="eastAsia"/>
          <w:lang w:eastAsia="zh-CN"/>
        </w:rPr>
        <w:t>相关计划</w:t>
      </w:r>
      <w:r>
        <w:tab/>
      </w:r>
      <w:r>
        <w:fldChar w:fldCharType="begin"/>
      </w:r>
      <w:r>
        <w:instrText xml:space="preserve"> PAGEREF _Toc491077894 \h </w:instrText>
      </w:r>
      <w:r>
        <w:fldChar w:fldCharType="separate"/>
      </w:r>
      <w:r>
        <w:t>18</w:t>
      </w:r>
      <w:r>
        <w:fldChar w:fldCharType="end"/>
      </w:r>
    </w:p>
    <w:p>
      <w:pPr>
        <w:pStyle w:val="TOC2"/>
        <w:rPr>
          <w:rFonts w:ascii="Calibri" w:eastAsia="宋体" w:hAnsi="Calibri"/>
        </w:rPr>
      </w:pPr>
      <w:r>
        <w:rPr>
          <w:rFonts w:hAnsi="宋体" w:hint="eastAsia"/>
        </w:rPr>
        <w:t>第2节</w:t>
      </w:r>
      <w:r>
        <w:rPr>
          <w:rFonts w:ascii="Calibri" w:eastAsia="宋体" w:hAnsi="Calibri"/>
        </w:rPr>
        <w:tab/>
      </w:r>
      <w:r>
        <w:rPr>
          <w:rFonts w:ascii="宋体" w:eastAsia="宋体" w:hAnsi="宋体" w:hint="eastAsia"/>
        </w:rPr>
        <w:t>施工进度保证措施</w:t>
      </w:r>
      <w:r>
        <w:tab/>
      </w:r>
      <w:r>
        <w:fldChar w:fldCharType="begin"/>
      </w:r>
      <w:r>
        <w:instrText xml:space="preserve"> PAGEREF _Toc491077895 \h </w:instrText>
      </w:r>
      <w:r>
        <w:fldChar w:fldCharType="separate"/>
      </w:r>
      <w:r>
        <w:t>18</w:t>
      </w:r>
      <w:r>
        <w:fldChar w:fldCharType="end"/>
      </w:r>
    </w:p>
    <w:p>
      <w:pPr>
        <w:pStyle w:val="TOC2"/>
        <w:rPr>
          <w:rFonts w:ascii="Calibri" w:eastAsia="宋体" w:hAnsi="Calibri"/>
        </w:rPr>
      </w:pPr>
      <w:r>
        <w:rPr>
          <w:rFonts w:hAnsi="宋体" w:hint="eastAsia"/>
        </w:rPr>
        <w:t>第3节</w:t>
      </w:r>
      <w:r>
        <w:rPr>
          <w:rFonts w:ascii="Calibri" w:eastAsia="宋体" w:hAnsi="Calibri"/>
        </w:rPr>
        <w:tab/>
      </w:r>
      <w:r>
        <w:rPr>
          <w:rFonts w:ascii="宋体" w:eastAsia="宋体" w:hAnsi="宋体" w:hint="eastAsia"/>
        </w:rPr>
        <w:t>违约承诺</w:t>
      </w:r>
      <w:r>
        <w:tab/>
      </w:r>
      <w:r>
        <w:fldChar w:fldCharType="begin"/>
      </w:r>
      <w:r>
        <w:instrText xml:space="preserve"> PAGEREF _Toc491077896 \h </w:instrText>
      </w:r>
      <w:r>
        <w:fldChar w:fldCharType="separate"/>
      </w:r>
      <w:r>
        <w:t>23</w:t>
      </w:r>
      <w:r>
        <w:fldChar w:fldCharType="end"/>
      </w:r>
    </w:p>
    <w:p>
      <w:pPr>
        <w:pStyle w:val="TOC1"/>
        <w:tabs>
          <w:tab w:val="left" w:pos="1260"/>
          <w:tab w:val="right" w:leader="dot" w:pos="8494"/>
        </w:tabs>
        <w:rPr>
          <w:rFonts w:ascii="Calibri" w:eastAsia="宋体" w:hAnsi="Calibri"/>
        </w:rPr>
      </w:pPr>
      <w:r>
        <w:rPr>
          <w:rFonts w:hint="eastAsia"/>
        </w:rPr>
        <w:t>第5章</w:t>
      </w:r>
      <w:r>
        <w:rPr>
          <w:rFonts w:ascii="Calibri" w:eastAsia="宋体" w:hAnsi="Calibri"/>
        </w:rPr>
        <w:tab/>
      </w:r>
      <w:r>
        <w:rPr>
          <w:rFonts w:ascii="宋体" w:eastAsia="宋体" w:hAnsi="宋体" w:hint="eastAsia"/>
        </w:rPr>
        <w:t>资源配置</w:t>
      </w:r>
      <w:r>
        <w:rPr>
          <w:rFonts w:ascii="宋体" w:hAnsi="宋体" w:hint="eastAsia"/>
          <w:lang w:eastAsia="zh-CN"/>
        </w:rPr>
        <w:t>相关计划</w:t>
      </w:r>
      <w:r>
        <w:rPr>
          <w:rFonts w:ascii="宋体" w:eastAsia="宋体" w:hAnsi="宋体" w:hint="eastAsia"/>
        </w:rPr>
        <w:t>与保证措施</w:t>
      </w:r>
      <w:r>
        <w:tab/>
      </w:r>
      <w:r>
        <w:fldChar w:fldCharType="begin"/>
      </w:r>
      <w:r>
        <w:instrText xml:space="preserve"> PAGEREF _Toc491077897 \h </w:instrText>
      </w:r>
      <w:r>
        <w:fldChar w:fldCharType="separate"/>
      </w:r>
      <w:r>
        <w:t>24</w:t>
      </w:r>
      <w:r>
        <w:fldChar w:fldCharType="end"/>
      </w:r>
    </w:p>
    <w:p>
      <w:pPr>
        <w:pStyle w:val="TOC2"/>
        <w:rPr>
          <w:rFonts w:ascii="Calibri" w:eastAsia="宋体" w:hAnsi="Calibri"/>
        </w:rPr>
      </w:pPr>
      <w:r>
        <w:rPr>
          <w:rFonts w:hAnsi="宋体" w:hint="eastAsia"/>
        </w:rPr>
        <w:t>第1节</w:t>
      </w:r>
      <w:r>
        <w:rPr>
          <w:rFonts w:ascii="Calibri" w:eastAsia="宋体" w:hAnsi="Calibri"/>
        </w:rPr>
        <w:tab/>
      </w:r>
      <w:r>
        <w:rPr>
          <w:rFonts w:ascii="宋体" w:eastAsia="宋体" w:hAnsi="宋体" w:hint="eastAsia"/>
        </w:rPr>
        <w:t>资源投入</w:t>
      </w:r>
      <w:r>
        <w:tab/>
      </w:r>
      <w:r>
        <w:fldChar w:fldCharType="begin"/>
      </w:r>
      <w:r>
        <w:instrText xml:space="preserve"> PAGEREF _Toc491077898 \h </w:instrText>
      </w:r>
      <w:r>
        <w:fldChar w:fldCharType="separate"/>
      </w:r>
      <w:r>
        <w:t>24</w:t>
      </w:r>
      <w:r>
        <w:fldChar w:fldCharType="end"/>
      </w:r>
    </w:p>
    <w:p>
      <w:pPr>
        <w:pStyle w:val="TOC2"/>
        <w:rPr>
          <w:rFonts w:ascii="Calibri" w:eastAsia="宋体" w:hAnsi="Calibri"/>
        </w:rPr>
      </w:pPr>
      <w:r>
        <w:rPr>
          <w:rFonts w:hAnsi="宋体" w:hint="eastAsia"/>
        </w:rPr>
        <w:t>第2节</w:t>
      </w:r>
      <w:r>
        <w:rPr>
          <w:rFonts w:ascii="Calibri" w:eastAsia="宋体" w:hAnsi="Calibri"/>
        </w:rPr>
        <w:tab/>
      </w:r>
      <w:r>
        <w:rPr>
          <w:rFonts w:ascii="宋体" w:eastAsia="宋体" w:hAnsi="宋体" w:hint="eastAsia"/>
        </w:rPr>
        <w:t>违约承诺</w:t>
      </w:r>
      <w:r>
        <w:tab/>
      </w:r>
      <w:r>
        <w:fldChar w:fldCharType="begin"/>
      </w:r>
      <w:r>
        <w:instrText xml:space="preserve"> PAGEREF _Toc491077899 \h </w:instrText>
      </w:r>
      <w:r>
        <w:fldChar w:fldCharType="separate"/>
      </w:r>
      <w:r>
        <w:t>25</w:t>
      </w:r>
      <w:r>
        <w:fldChar w:fldCharType="end"/>
      </w:r>
    </w:p>
    <w:p>
      <w:pPr>
        <w:pStyle w:val="TOC1"/>
        <w:tabs>
          <w:tab w:val="left" w:pos="1260"/>
          <w:tab w:val="right" w:leader="dot" w:pos="8494"/>
        </w:tabs>
        <w:rPr>
          <w:rFonts w:ascii="Calibri" w:eastAsia="宋体" w:hAnsi="Calibri"/>
        </w:rPr>
      </w:pPr>
      <w:r>
        <w:rPr>
          <w:rFonts w:hint="eastAsia"/>
        </w:rPr>
        <w:t>第6章</w:t>
      </w:r>
      <w:r>
        <w:rPr>
          <w:rFonts w:ascii="Calibri" w:eastAsia="宋体" w:hAnsi="Calibri"/>
        </w:rPr>
        <w:tab/>
      </w:r>
      <w:r>
        <w:rPr>
          <w:rFonts w:ascii="宋体" w:eastAsia="宋体" w:hAnsi="宋体" w:hint="eastAsia"/>
        </w:rPr>
        <w:t>机械设备投入、办公设施及检测</w:t>
      </w:r>
      <w:r>
        <w:rPr>
          <w:rFonts w:ascii="宋体" w:hAnsi="宋体" w:hint="eastAsia"/>
          <w:lang w:eastAsia="zh-CN"/>
        </w:rPr>
        <w:t>相关计划</w:t>
      </w:r>
      <w:r>
        <w:tab/>
      </w:r>
      <w:r>
        <w:fldChar w:fldCharType="begin"/>
      </w:r>
      <w:r>
        <w:instrText xml:space="preserve"> PAGEREF _Toc491077900 \h </w:instrText>
      </w:r>
      <w:r>
        <w:fldChar w:fldCharType="separate"/>
      </w:r>
      <w:r>
        <w:t>26</w:t>
      </w:r>
      <w:r>
        <w:fldChar w:fldCharType="end"/>
      </w:r>
    </w:p>
    <w:p>
      <w:pPr>
        <w:pStyle w:val="TOC2"/>
        <w:rPr>
          <w:rFonts w:ascii="Calibri" w:eastAsia="宋体" w:hAnsi="Calibri"/>
        </w:rPr>
      </w:pPr>
      <w:r>
        <w:rPr>
          <w:rFonts w:hAnsi="宋体" w:hint="eastAsia"/>
        </w:rPr>
        <w:t>第1节</w:t>
      </w:r>
      <w:r>
        <w:rPr>
          <w:rFonts w:ascii="Calibri" w:eastAsia="宋体" w:hAnsi="Calibri"/>
        </w:rPr>
        <w:tab/>
      </w:r>
      <w:r>
        <w:rPr>
          <w:rFonts w:ascii="宋体" w:eastAsia="宋体" w:hAnsi="宋体" w:hint="eastAsia"/>
        </w:rPr>
        <w:t>本工程主要施工机械设备进场</w:t>
      </w:r>
      <w:r>
        <w:rPr>
          <w:rFonts w:ascii="宋体" w:hAnsi="宋体" w:hint="eastAsia"/>
          <w:lang w:eastAsia="zh-CN"/>
        </w:rPr>
        <w:t>相关计划</w:t>
      </w:r>
      <w:r>
        <w:tab/>
      </w:r>
      <w:r>
        <w:fldChar w:fldCharType="begin"/>
      </w:r>
      <w:r>
        <w:instrText xml:space="preserve"> PAGEREF _Toc491077901 \h </w:instrText>
      </w:r>
      <w:r>
        <w:fldChar w:fldCharType="separate"/>
      </w:r>
      <w:r>
        <w:t>26</w:t>
      </w:r>
      <w:r>
        <w:fldChar w:fldCharType="end"/>
      </w:r>
    </w:p>
    <w:p>
      <w:pPr>
        <w:pStyle w:val="TOC2"/>
        <w:rPr>
          <w:rFonts w:ascii="Calibri" w:eastAsia="宋体" w:hAnsi="Calibri"/>
        </w:rPr>
      </w:pPr>
      <w:r>
        <w:rPr>
          <w:rFonts w:hAnsi="宋体" w:hint="eastAsia"/>
        </w:rPr>
        <w:t>第2节</w:t>
      </w:r>
      <w:r>
        <w:rPr>
          <w:rFonts w:ascii="Calibri" w:eastAsia="宋体" w:hAnsi="Calibri"/>
        </w:rPr>
        <w:tab/>
      </w:r>
      <w:r>
        <w:rPr>
          <w:rFonts w:ascii="宋体" w:eastAsia="宋体" w:hAnsi="宋体" w:hint="eastAsia"/>
        </w:rPr>
        <w:t>拟投入试验仪器</w:t>
      </w:r>
      <w:r>
        <w:tab/>
      </w:r>
      <w:r>
        <w:fldChar w:fldCharType="begin"/>
      </w:r>
      <w:r>
        <w:instrText xml:space="preserve"> PAGEREF _Toc491077902 \h </w:instrText>
      </w:r>
      <w:r>
        <w:fldChar w:fldCharType="separate"/>
      </w:r>
      <w:r>
        <w:t>26</w:t>
      </w:r>
      <w:r>
        <w:fldChar w:fldCharType="end"/>
      </w:r>
    </w:p>
    <w:p>
      <w:pPr>
        <w:pStyle w:val="TOC1"/>
        <w:tabs>
          <w:tab w:val="left" w:pos="1260"/>
          <w:tab w:val="right" w:leader="dot" w:pos="8494"/>
        </w:tabs>
        <w:rPr>
          <w:rFonts w:ascii="Calibri" w:eastAsia="宋体" w:hAnsi="Calibri"/>
        </w:rPr>
      </w:pPr>
      <w:r>
        <w:rPr>
          <w:rFonts w:hint="eastAsia"/>
        </w:rPr>
        <w:t>第7章</w:t>
      </w:r>
      <w:r>
        <w:rPr>
          <w:rFonts w:ascii="Calibri" w:eastAsia="宋体" w:hAnsi="Calibri"/>
        </w:rPr>
        <w:tab/>
      </w:r>
      <w:r>
        <w:rPr>
          <w:rFonts w:ascii="宋体" w:eastAsia="宋体" w:hAnsi="宋体" w:hint="eastAsia"/>
        </w:rPr>
        <w:t>主要施工</w:t>
      </w:r>
      <w:r>
        <w:rPr>
          <w:rFonts w:ascii="宋体" w:hAnsi="宋体" w:hint="eastAsia"/>
          <w:lang w:eastAsia="zh-CN"/>
        </w:rPr>
        <w:t>合适的方案</w:t>
      </w:r>
      <w:r>
        <w:rPr>
          <w:rFonts w:ascii="宋体" w:eastAsia="宋体" w:hAnsi="宋体" w:hint="eastAsia"/>
        </w:rPr>
        <w:t>及技术措施</w:t>
      </w:r>
      <w:r>
        <w:tab/>
      </w:r>
      <w:r>
        <w:fldChar w:fldCharType="begin"/>
      </w:r>
      <w:r>
        <w:instrText xml:space="preserve"> PAGEREF _Toc491077903 \h </w:instrText>
      </w:r>
      <w:r>
        <w:fldChar w:fldCharType="separate"/>
      </w:r>
      <w:r>
        <w:t>28</w:t>
      </w:r>
      <w:r>
        <w:fldChar w:fldCharType="end"/>
      </w:r>
    </w:p>
    <w:p>
      <w:pPr>
        <w:pStyle w:val="TOC2"/>
        <w:rPr>
          <w:rFonts w:ascii="Calibri" w:eastAsia="宋体" w:hAnsi="Calibri"/>
        </w:rPr>
      </w:pPr>
      <w:r>
        <w:rPr>
          <w:rFonts w:hAnsi="宋体" w:hint="eastAsia"/>
        </w:rPr>
        <w:t>第1节</w:t>
      </w:r>
      <w:r>
        <w:rPr>
          <w:rFonts w:ascii="Calibri" w:eastAsia="宋体" w:hAnsi="Calibri"/>
        </w:rPr>
        <w:tab/>
      </w:r>
      <w:r>
        <w:rPr>
          <w:rFonts w:ascii="宋体" w:eastAsia="宋体" w:hAnsi="宋体" w:hint="eastAsia"/>
        </w:rPr>
        <w:t>测量放线</w:t>
      </w:r>
      <w:r>
        <w:tab/>
      </w:r>
      <w:r>
        <w:fldChar w:fldCharType="begin"/>
      </w:r>
      <w:r>
        <w:instrText xml:space="preserve"> PAGEREF _Toc491077904 \h </w:instrText>
      </w:r>
      <w:r>
        <w:fldChar w:fldCharType="separate"/>
      </w:r>
      <w:r>
        <w:t>28</w:t>
      </w:r>
      <w:r>
        <w:fldChar w:fldCharType="end"/>
      </w:r>
    </w:p>
    <w:p>
      <w:pPr>
        <w:pStyle w:val="TOC2"/>
        <w:rPr>
          <w:rFonts w:ascii="Calibri" w:eastAsia="宋体" w:hAnsi="Calibri"/>
        </w:rPr>
      </w:pPr>
      <w:r>
        <w:rPr>
          <w:rFonts w:hAnsi="宋体" w:hint="eastAsia"/>
        </w:rPr>
        <w:t>第2节</w:t>
      </w:r>
      <w:r>
        <w:rPr>
          <w:rFonts w:ascii="Calibri" w:eastAsia="宋体" w:hAnsi="Calibri"/>
        </w:rPr>
        <w:tab/>
      </w:r>
      <w:r>
        <w:rPr>
          <w:rFonts w:ascii="宋体" w:eastAsia="宋体" w:hAnsi="宋体" w:hint="eastAsia"/>
        </w:rPr>
        <w:t>拆除工程</w:t>
      </w:r>
      <w:r>
        <w:tab/>
      </w:r>
      <w:r>
        <w:fldChar w:fldCharType="begin"/>
      </w:r>
      <w:r>
        <w:instrText xml:space="preserve"> PAGEREF _Toc491077905 \h </w:instrText>
      </w:r>
      <w:r>
        <w:fldChar w:fldCharType="separate"/>
      </w:r>
      <w:r>
        <w:t>29</w:t>
      </w:r>
      <w:r>
        <w:fldChar w:fldCharType="end"/>
      </w:r>
    </w:p>
    <w:p>
      <w:pPr>
        <w:pStyle w:val="TOC2"/>
        <w:rPr>
          <w:rFonts w:ascii="Calibri" w:eastAsia="宋体" w:hAnsi="Calibri"/>
        </w:rPr>
      </w:pPr>
      <w:r>
        <w:rPr>
          <w:rFonts w:hAnsi="宋体" w:hint="eastAsia"/>
        </w:rPr>
        <w:t>第3节</w:t>
      </w:r>
      <w:r>
        <w:rPr>
          <w:rFonts w:ascii="Calibri" w:eastAsia="宋体" w:hAnsi="Calibri"/>
        </w:rPr>
        <w:tab/>
      </w:r>
      <w:r>
        <w:rPr>
          <w:rFonts w:ascii="宋体" w:eastAsia="宋体" w:hAnsi="宋体" w:hint="eastAsia"/>
        </w:rPr>
        <w:t>土方工程</w:t>
      </w:r>
      <w:r>
        <w:tab/>
      </w:r>
      <w:r>
        <w:fldChar w:fldCharType="begin"/>
      </w:r>
      <w:r>
        <w:instrText xml:space="preserve"> PAGEREF _Toc491077906 \h </w:instrText>
      </w:r>
      <w:r>
        <w:fldChar w:fldCharType="separate"/>
      </w:r>
      <w:r>
        <w:t>30</w:t>
      </w:r>
      <w:r>
        <w:fldChar w:fldCharType="end"/>
      </w:r>
    </w:p>
    <w:p>
      <w:pPr>
        <w:pStyle w:val="TOC2"/>
        <w:rPr>
          <w:rFonts w:ascii="Calibri" w:eastAsia="宋体" w:hAnsi="Calibri"/>
        </w:rPr>
      </w:pPr>
      <w:r>
        <w:rPr>
          <w:rFonts w:hAnsi="宋体" w:hint="eastAsia"/>
        </w:rPr>
        <w:t>第4节</w:t>
      </w:r>
      <w:r>
        <w:rPr>
          <w:rFonts w:ascii="Calibri" w:eastAsia="宋体" w:hAnsi="Calibri"/>
        </w:rPr>
        <w:tab/>
      </w:r>
      <w:r>
        <w:rPr>
          <w:rFonts w:ascii="宋体" w:eastAsia="宋体" w:hAnsi="宋体" w:hint="eastAsia"/>
        </w:rPr>
        <w:t>抹灰工程</w:t>
      </w:r>
      <w:r>
        <w:tab/>
      </w:r>
      <w:r>
        <w:fldChar w:fldCharType="begin"/>
      </w:r>
      <w:r>
        <w:instrText xml:space="preserve"> PAGEREF _Toc491077907 \h </w:instrText>
      </w:r>
      <w:r>
        <w:fldChar w:fldCharType="separate"/>
      </w:r>
      <w:r>
        <w:t>31</w:t>
      </w:r>
      <w:r>
        <w:fldChar w:fldCharType="end"/>
      </w:r>
    </w:p>
    <w:p>
      <w:pPr>
        <w:pStyle w:val="TOC2"/>
        <w:rPr>
          <w:rFonts w:ascii="Calibri" w:eastAsia="宋体" w:hAnsi="Calibri"/>
        </w:rPr>
      </w:pPr>
      <w:r>
        <w:rPr>
          <w:rFonts w:hAnsi="宋体" w:hint="eastAsia"/>
        </w:rPr>
        <w:t>第5节</w:t>
      </w:r>
      <w:r>
        <w:rPr>
          <w:rFonts w:ascii="Calibri" w:eastAsia="宋体" w:hAnsi="Calibri"/>
        </w:rPr>
        <w:tab/>
      </w:r>
      <w:r>
        <w:rPr>
          <w:rFonts w:ascii="宋体" w:eastAsia="宋体" w:hAnsi="宋体" w:hint="eastAsia"/>
        </w:rPr>
        <w:t>铺装工程</w:t>
      </w:r>
      <w:r>
        <w:tab/>
      </w:r>
      <w:r>
        <w:fldChar w:fldCharType="begin"/>
      </w:r>
      <w:r>
        <w:instrText xml:space="preserve"> PAGEREF _Toc491077908 \h </w:instrText>
      </w:r>
      <w:r>
        <w:fldChar w:fldCharType="separate"/>
      </w:r>
      <w:r>
        <w:t>34</w:t>
      </w:r>
      <w:r>
        <w:fldChar w:fldCharType="end"/>
      </w:r>
    </w:p>
    <w:p>
      <w:pPr>
        <w:pStyle w:val="TOC2"/>
        <w:rPr>
          <w:rFonts w:ascii="Calibri" w:eastAsia="宋体" w:hAnsi="Calibri"/>
        </w:rPr>
      </w:pPr>
      <w:r>
        <w:rPr>
          <w:rFonts w:hAnsi="宋体" w:hint="eastAsia"/>
        </w:rPr>
        <w:t>第6节</w:t>
      </w:r>
      <w:r>
        <w:rPr>
          <w:rFonts w:ascii="Calibri" w:eastAsia="宋体" w:hAnsi="Calibri"/>
        </w:rPr>
        <w:tab/>
      </w:r>
      <w:r>
        <w:rPr>
          <w:rFonts w:ascii="宋体" w:eastAsia="宋体" w:hAnsi="宋体" w:hint="eastAsia"/>
        </w:rPr>
        <w:t>绿化种植</w:t>
      </w:r>
      <w:r>
        <w:tab/>
      </w:r>
      <w:r>
        <w:fldChar w:fldCharType="begin"/>
      </w:r>
      <w:r>
        <w:instrText xml:space="preserve"> PAGEREF _Toc491077909 \h </w:instrText>
      </w:r>
      <w:r>
        <w:fldChar w:fldCharType="separate"/>
      </w:r>
      <w:r>
        <w:t>38</w:t>
      </w:r>
      <w:r>
        <w:fldChar w:fldCharType="end"/>
      </w:r>
    </w:p>
    <w:p>
      <w:pPr>
        <w:pStyle w:val="TOC2"/>
        <w:rPr>
          <w:rFonts w:ascii="Calibri" w:eastAsia="宋体" w:hAnsi="Calibri"/>
        </w:rPr>
      </w:pPr>
      <w:r>
        <w:rPr>
          <w:rFonts w:hAnsi="宋体" w:hint="eastAsia"/>
        </w:rPr>
        <w:t>第7节</w:t>
      </w:r>
      <w:r>
        <w:rPr>
          <w:rFonts w:ascii="Calibri" w:eastAsia="宋体" w:hAnsi="Calibri"/>
        </w:rPr>
        <w:tab/>
      </w:r>
      <w:r>
        <w:rPr>
          <w:rFonts w:ascii="宋体" w:eastAsia="宋体" w:hAnsi="宋体" w:hint="eastAsia"/>
        </w:rPr>
        <w:t>常年的绿化施工养护</w:t>
      </w:r>
      <w:r>
        <w:tab/>
      </w:r>
      <w:r>
        <w:fldChar w:fldCharType="begin"/>
      </w:r>
      <w:r>
        <w:instrText xml:space="preserve"> PAGEREF _Toc491077910 \h </w:instrText>
      </w:r>
      <w:r>
        <w:fldChar w:fldCharType="separate"/>
      </w:r>
      <w:r>
        <w:t>45</w:t>
      </w:r>
      <w:r>
        <w:fldChar w:fldCharType="end"/>
      </w:r>
    </w:p>
    <w:p>
      <w:pPr>
        <w:pStyle w:val="TOC2"/>
        <w:rPr>
          <w:rFonts w:ascii="Calibri" w:eastAsia="宋体" w:hAnsi="Calibri"/>
        </w:rPr>
      </w:pPr>
      <w:r>
        <w:rPr>
          <w:rFonts w:hAnsi="宋体" w:hint="eastAsia"/>
        </w:rPr>
        <w:t>第8节</w:t>
      </w:r>
      <w:r>
        <w:rPr>
          <w:rFonts w:ascii="Calibri" w:eastAsia="宋体" w:hAnsi="Calibri"/>
        </w:rPr>
        <w:tab/>
      </w:r>
      <w:r>
        <w:rPr>
          <w:rFonts w:ascii="宋体" w:eastAsia="宋体" w:hAnsi="宋体" w:hint="eastAsia"/>
        </w:rPr>
        <w:t>成品保护措施</w:t>
      </w:r>
      <w:r>
        <w:tab/>
      </w:r>
      <w:r>
        <w:fldChar w:fldCharType="begin"/>
      </w:r>
      <w:r>
        <w:instrText xml:space="preserve"> PAGEREF _Toc491077911 \h </w:instrText>
      </w:r>
      <w:r>
        <w:fldChar w:fldCharType="separate"/>
      </w:r>
      <w:r>
        <w:t>51</w:t>
      </w:r>
      <w:r>
        <w:fldChar w:fldCharType="end"/>
      </w:r>
    </w:p>
    <w:p>
      <w:pPr>
        <w:pStyle w:val="TOC2"/>
        <w:rPr>
          <w:rFonts w:ascii="Calibri" w:eastAsia="宋体" w:hAnsi="Calibri"/>
        </w:rPr>
      </w:pPr>
      <w:r>
        <w:rPr>
          <w:rFonts w:hAnsi="宋体" w:hint="eastAsia"/>
        </w:rPr>
        <w:t>第9节</w:t>
      </w:r>
      <w:r>
        <w:rPr>
          <w:rFonts w:ascii="Calibri" w:eastAsia="宋体" w:hAnsi="Calibri"/>
        </w:rPr>
        <w:tab/>
      </w:r>
      <w:r>
        <w:rPr>
          <w:rFonts w:ascii="宋体" w:eastAsia="宋体" w:hAnsi="宋体" w:hint="eastAsia"/>
        </w:rPr>
        <w:t>雨季施工措施</w:t>
      </w:r>
      <w:r>
        <w:tab/>
      </w:r>
      <w:r>
        <w:fldChar w:fldCharType="begin"/>
      </w:r>
      <w:r>
        <w:instrText xml:space="preserve"> PAGEREF _Toc491077912 \h </w:instrText>
      </w:r>
      <w:r>
        <w:fldChar w:fldCharType="separate"/>
      </w:r>
      <w:r>
        <w:t>51</w:t>
      </w:r>
      <w:r>
        <w:fldChar w:fldCharType="end"/>
      </w:r>
    </w:p>
    <w:p>
      <w:pPr>
        <w:pStyle w:val="TOC2"/>
        <w:rPr>
          <w:rFonts w:ascii="Calibri" w:eastAsia="宋体" w:hAnsi="Calibri"/>
        </w:rPr>
      </w:pPr>
      <w:r>
        <w:rPr>
          <w:rFonts w:hAnsi="宋体" w:hint="eastAsia"/>
        </w:rPr>
        <w:t>第10节</w:t>
      </w:r>
      <w:r>
        <w:rPr>
          <w:rFonts w:ascii="Calibri" w:eastAsia="宋体" w:hAnsi="Calibri"/>
        </w:rPr>
        <w:tab/>
      </w:r>
      <w:r>
        <w:rPr>
          <w:rFonts w:ascii="宋体" w:eastAsia="宋体" w:hAnsi="宋体" w:hint="eastAsia"/>
        </w:rPr>
        <w:t>附属设施工程</w:t>
      </w:r>
      <w:r>
        <w:tab/>
      </w:r>
      <w:r>
        <w:fldChar w:fldCharType="begin"/>
      </w:r>
      <w:r>
        <w:instrText xml:space="preserve"> PAGEREF _Toc491077913 \h </w:instrText>
      </w:r>
      <w:r>
        <w:fldChar w:fldCharType="separate"/>
      </w:r>
      <w:r>
        <w:t>52</w:t>
      </w:r>
      <w:r>
        <w:fldChar w:fldCharType="end"/>
      </w:r>
    </w:p>
    <w:p>
      <w:pPr>
        <w:pStyle w:val="TOC2"/>
        <w:rPr>
          <w:rFonts w:ascii="Calibri" w:eastAsia="宋体" w:hAnsi="Calibri"/>
        </w:rPr>
      </w:pPr>
      <w:r>
        <w:rPr>
          <w:rFonts w:hAnsi="宋体" w:hint="eastAsia"/>
        </w:rPr>
        <w:t>第11节</w:t>
      </w:r>
      <w:r>
        <w:rPr>
          <w:rFonts w:ascii="Calibri" w:eastAsia="宋体" w:hAnsi="Calibri"/>
        </w:rPr>
        <w:tab/>
      </w:r>
      <w:r>
        <w:rPr>
          <w:rFonts w:ascii="宋体" w:eastAsia="宋体" w:hAnsi="宋体" w:hint="eastAsia"/>
        </w:rPr>
        <w:t>钢筋工程</w:t>
      </w:r>
      <w:r>
        <w:tab/>
      </w:r>
      <w:r>
        <w:fldChar w:fldCharType="begin"/>
      </w:r>
      <w:r>
        <w:instrText xml:space="preserve"> PAGEREF _Toc491077914 \h </w:instrText>
      </w:r>
      <w:r>
        <w:fldChar w:fldCharType="separate"/>
      </w:r>
      <w:r>
        <w:t>54</w:t>
      </w:r>
      <w:r>
        <w:fldChar w:fldCharType="end"/>
      </w:r>
    </w:p>
    <w:p>
      <w:pPr>
        <w:pStyle w:val="TOC2"/>
        <w:rPr>
          <w:rFonts w:ascii="Calibri" w:eastAsia="宋体" w:hAnsi="Calibri"/>
        </w:rPr>
      </w:pPr>
      <w:r>
        <w:rPr>
          <w:rFonts w:hAnsi="宋体" w:hint="eastAsia"/>
        </w:rPr>
        <w:t>第12节</w:t>
      </w:r>
      <w:r>
        <w:rPr>
          <w:rFonts w:ascii="Calibri" w:eastAsia="宋体" w:hAnsi="Calibri"/>
        </w:rPr>
        <w:tab/>
      </w:r>
      <w:r>
        <w:rPr>
          <w:rFonts w:ascii="宋体" w:eastAsia="宋体" w:hAnsi="宋体" w:hint="eastAsia"/>
        </w:rPr>
        <w:t>模板工程</w:t>
      </w:r>
      <w:r>
        <w:tab/>
      </w:r>
      <w:r>
        <w:fldChar w:fldCharType="begin"/>
      </w:r>
      <w:r>
        <w:instrText xml:space="preserve"> PAGEREF _Toc491077915 \h </w:instrText>
      </w:r>
      <w:r>
        <w:fldChar w:fldCharType="separate"/>
      </w:r>
      <w:r>
        <w:t>55</w:t>
      </w:r>
      <w:r>
        <w:fldChar w:fldCharType="end"/>
      </w:r>
    </w:p>
    <w:p>
      <w:pPr>
        <w:pStyle w:val="TOC2"/>
        <w:rPr>
          <w:rFonts w:ascii="Calibri" w:eastAsia="宋体" w:hAnsi="Calibri"/>
        </w:rPr>
        <w:sectPr>
          <w:headerReference w:type="default" r:id="rId6"/>
          <w:footerReference w:type="default" r:id="rId7"/>
          <w:pgSz w:w="11906" w:h="16838"/>
          <w:pgMar w:top="1440" w:right="1701" w:bottom="1440" w:left="1701" w:header="850" w:footer="992" w:gutter="0"/>
          <w:pgNumType w:start="1"/>
          <w:cols w:num="1" w:space="425"/>
          <w:docGrid w:type="lines" w:linePitch="312" w:charSpace="0"/>
        </w:sectPr>
      </w:pPr>
      <w:r>
        <w:rPr>
          <w:rFonts w:hAnsi="宋体" w:hint="eastAsia"/>
        </w:rPr>
        <w:t>第13节</w:t>
      </w:r>
      <w:r>
        <w:rPr>
          <w:rFonts w:ascii="Calibri" w:eastAsia="宋体" w:hAnsi="Calibri"/>
        </w:rPr>
        <w:tab/>
      </w:r>
      <w:r>
        <w:rPr>
          <w:rFonts w:ascii="宋体" w:eastAsia="宋体" w:hAnsi="宋体" w:hint="eastAsia"/>
        </w:rPr>
        <w:t>混凝土工程</w:t>
      </w:r>
      <w:r>
        <w:tab/>
      </w:r>
      <w:r>
        <w:fldChar w:fldCharType="begin"/>
      </w:r>
      <w:r>
        <w:instrText xml:space="preserve"> PAGEREF _Toc491077916 \h </w:instrText>
      </w:r>
      <w:r>
        <w:fldChar w:fldCharType="separate"/>
      </w:r>
      <w:r>
        <w:t>55</w:t>
      </w:r>
      <w:r>
        <w:fldChar w:fldCharType="end"/>
      </w:r>
    </w:p>
    <w:p>
      <w:pPr>
        <w:pStyle w:val="TOC2"/>
        <w:rPr>
          <w:rFonts w:ascii="Calibri" w:eastAsia="宋体" w:hAnsi="Calibri"/>
        </w:rPr>
      </w:pPr>
      <w:r>
        <w:rPr>
          <w:rFonts w:hAnsi="宋体" w:hint="eastAsia"/>
        </w:rPr>
        <w:t>第14节</w:t>
      </w:r>
      <w:r>
        <w:rPr>
          <w:rFonts w:ascii="Calibri" w:eastAsia="宋体" w:hAnsi="Calibri"/>
        </w:rPr>
        <w:tab/>
      </w:r>
      <w:r>
        <w:rPr>
          <w:rFonts w:ascii="宋体" w:eastAsia="宋体" w:hAnsi="宋体" w:hint="eastAsia"/>
        </w:rPr>
        <w:t>电气工程</w:t>
      </w:r>
      <w:r>
        <w:tab/>
      </w:r>
      <w:r>
        <w:fldChar w:fldCharType="begin"/>
      </w:r>
      <w:r>
        <w:instrText xml:space="preserve"> PAGEREF _Toc491077917 \h </w:instrText>
      </w:r>
      <w:r>
        <w:fldChar w:fldCharType="separate"/>
      </w:r>
      <w:r>
        <w:t>56</w:t>
      </w:r>
      <w:r>
        <w:fldChar w:fldCharType="end"/>
      </w:r>
    </w:p>
    <w:p>
      <w:pPr>
        <w:pStyle w:val="TOC2"/>
        <w:rPr>
          <w:rFonts w:ascii="Calibri" w:eastAsia="宋体" w:hAnsi="Calibri"/>
        </w:rPr>
      </w:pPr>
      <w:r>
        <w:rPr>
          <w:rFonts w:hAnsi="宋体" w:hint="eastAsia"/>
        </w:rPr>
        <w:t>第15节</w:t>
      </w:r>
      <w:r>
        <w:rPr>
          <w:rFonts w:ascii="Calibri" w:eastAsia="宋体" w:hAnsi="Calibri"/>
        </w:rPr>
        <w:tab/>
      </w:r>
      <w:r>
        <w:rPr>
          <w:rFonts w:ascii="宋体" w:eastAsia="宋体" w:hAnsi="宋体" w:hint="eastAsia"/>
        </w:rPr>
        <w:t>给排水、灌溉工程</w:t>
      </w:r>
      <w:r>
        <w:tab/>
      </w:r>
      <w:r>
        <w:fldChar w:fldCharType="begin"/>
      </w:r>
      <w:r>
        <w:instrText xml:space="preserve"> PAGEREF _Toc491077918 \h </w:instrText>
      </w:r>
      <w:r>
        <w:fldChar w:fldCharType="separate"/>
      </w:r>
      <w:r>
        <w:t>59</w:t>
      </w:r>
      <w:r>
        <w:fldChar w:fldCharType="end"/>
      </w:r>
    </w:p>
    <w:p>
      <w:pPr>
        <w:pStyle w:val="TOC2"/>
        <w:rPr>
          <w:rFonts w:ascii="Calibri" w:eastAsia="宋体" w:hAnsi="Calibri"/>
        </w:rPr>
      </w:pPr>
      <w:r>
        <w:rPr>
          <w:rFonts w:hAnsi="宋体" w:hint="eastAsia"/>
        </w:rPr>
        <w:t>第16节</w:t>
      </w:r>
      <w:r>
        <w:rPr>
          <w:rFonts w:ascii="Calibri" w:eastAsia="宋体" w:hAnsi="Calibri"/>
        </w:rPr>
        <w:tab/>
      </w:r>
      <w:r>
        <w:rPr>
          <w:rFonts w:ascii="宋体" w:eastAsia="宋体" w:hAnsi="宋体" w:hint="eastAsia"/>
        </w:rPr>
        <w:t>质量通病预防措施</w:t>
      </w:r>
      <w:r>
        <w:tab/>
      </w:r>
      <w:r>
        <w:fldChar w:fldCharType="begin"/>
      </w:r>
      <w:r>
        <w:instrText xml:space="preserve"> PAGEREF _Toc491077919 \h </w:instrText>
      </w:r>
      <w:r>
        <w:fldChar w:fldCharType="separate"/>
      </w:r>
      <w:r>
        <w:t>62</w:t>
      </w:r>
      <w:r>
        <w:fldChar w:fldCharType="end"/>
      </w:r>
    </w:p>
    <w:p>
      <w:pPr>
        <w:pStyle w:val="TOC1"/>
        <w:tabs>
          <w:tab w:val="left" w:pos="1260"/>
          <w:tab w:val="right" w:leader="dot" w:pos="8494"/>
        </w:tabs>
        <w:rPr>
          <w:rFonts w:ascii="Calibri" w:eastAsia="宋体" w:hAnsi="Calibri"/>
        </w:rPr>
      </w:pPr>
      <w:r>
        <w:rPr>
          <w:rFonts w:hint="eastAsia"/>
        </w:rPr>
        <w:t>第8章</w:t>
      </w:r>
      <w:r>
        <w:rPr>
          <w:rFonts w:ascii="Calibri" w:eastAsia="宋体" w:hAnsi="Calibri"/>
        </w:rPr>
        <w:tab/>
      </w:r>
      <w:r>
        <w:rPr>
          <w:rFonts w:ascii="宋体" w:eastAsia="宋体" w:hAnsi="宋体" w:hint="eastAsia"/>
        </w:rPr>
        <w:t>安全生产</w:t>
      </w:r>
      <w:r>
        <w:rPr>
          <w:rFonts w:ascii="宋体" w:hAnsi="宋体" w:hint="eastAsia"/>
          <w:lang w:eastAsia="zh-CN"/>
        </w:rPr>
        <w:t>管理管控</w:t>
      </w:r>
      <w:r>
        <w:rPr>
          <w:rFonts w:ascii="宋体" w:eastAsia="宋体" w:hAnsi="宋体" w:hint="eastAsia"/>
        </w:rPr>
        <w:t>体系与措施</w:t>
      </w:r>
      <w:r>
        <w:tab/>
      </w:r>
      <w:r>
        <w:fldChar w:fldCharType="begin"/>
      </w:r>
      <w:r>
        <w:instrText xml:space="preserve"> PAGEREF _Toc491077920 \h </w:instrText>
      </w:r>
      <w:r>
        <w:fldChar w:fldCharType="separate"/>
      </w:r>
      <w:r>
        <w:t>65</w:t>
      </w:r>
      <w:r>
        <w:fldChar w:fldCharType="end"/>
      </w:r>
    </w:p>
    <w:p>
      <w:pPr>
        <w:pStyle w:val="TOC1"/>
        <w:tabs>
          <w:tab w:val="left" w:pos="1260"/>
          <w:tab w:val="right" w:leader="dot" w:pos="8494"/>
        </w:tabs>
        <w:rPr>
          <w:rFonts w:ascii="Calibri" w:eastAsia="宋体" w:hAnsi="Calibri"/>
        </w:rPr>
      </w:pPr>
      <w:r>
        <w:rPr>
          <w:rFonts w:hint="eastAsia"/>
        </w:rPr>
        <w:t>第9章</w:t>
      </w:r>
      <w:r>
        <w:rPr>
          <w:rFonts w:ascii="Calibri" w:eastAsia="宋体" w:hAnsi="Calibri"/>
        </w:rPr>
        <w:tab/>
      </w:r>
      <w:r>
        <w:rPr>
          <w:rFonts w:ascii="宋体" w:eastAsia="宋体" w:hAnsi="宋体" w:hint="eastAsia"/>
        </w:rPr>
        <w:t>质量</w:t>
      </w:r>
      <w:r>
        <w:rPr>
          <w:rFonts w:ascii="宋体" w:hAnsi="宋体" w:hint="eastAsia"/>
          <w:lang w:eastAsia="zh-CN"/>
        </w:rPr>
        <w:t>管理管控</w:t>
      </w:r>
      <w:r>
        <w:rPr>
          <w:rFonts w:ascii="宋体" w:eastAsia="宋体" w:hAnsi="宋体" w:hint="eastAsia"/>
        </w:rPr>
        <w:t>体系措施及</w:t>
      </w:r>
      <w:r>
        <w:rPr>
          <w:rFonts w:ascii="宋体" w:hAnsi="宋体" w:hint="eastAsia"/>
          <w:lang w:eastAsia="zh-CN"/>
        </w:rPr>
        <w:t>相关计划</w:t>
      </w:r>
      <w:r>
        <w:tab/>
      </w:r>
      <w:r>
        <w:fldChar w:fldCharType="begin"/>
      </w:r>
      <w:r>
        <w:instrText xml:space="preserve"> PAGEREF _Toc491077921 \h </w:instrText>
      </w:r>
      <w:r>
        <w:fldChar w:fldCharType="separate"/>
      </w:r>
      <w:r>
        <w:t>70</w:t>
      </w:r>
      <w:r>
        <w:fldChar w:fldCharType="end"/>
      </w:r>
    </w:p>
    <w:p>
      <w:pPr>
        <w:pStyle w:val="TOC1"/>
        <w:tabs>
          <w:tab w:val="left" w:pos="1260"/>
          <w:tab w:val="right" w:leader="dot" w:pos="8494"/>
        </w:tabs>
        <w:rPr>
          <w:rFonts w:ascii="Calibri" w:eastAsia="宋体" w:hAnsi="Calibri"/>
        </w:rPr>
      </w:pPr>
      <w:r>
        <w:rPr>
          <w:rFonts w:hint="eastAsia"/>
        </w:rPr>
        <w:t>第10章</w:t>
      </w:r>
      <w:r>
        <w:rPr>
          <w:rFonts w:ascii="Calibri" w:eastAsia="宋体" w:hAnsi="Calibri"/>
        </w:rPr>
        <w:tab/>
      </w:r>
      <w:r>
        <w:rPr>
          <w:rFonts w:ascii="宋体" w:eastAsia="宋体" w:hAnsi="宋体" w:hint="eastAsia"/>
        </w:rPr>
        <w:t>环保</w:t>
      </w:r>
      <w:r>
        <w:rPr>
          <w:rFonts w:ascii="宋体" w:hAnsi="宋体" w:hint="eastAsia"/>
          <w:lang w:eastAsia="zh-CN"/>
        </w:rPr>
        <w:t>管理管控</w:t>
      </w:r>
      <w:r>
        <w:rPr>
          <w:rFonts w:ascii="宋体" w:eastAsia="宋体" w:hAnsi="宋体" w:hint="eastAsia"/>
        </w:rPr>
        <w:t>体系与措施</w:t>
      </w:r>
      <w:r>
        <w:tab/>
      </w:r>
      <w:r>
        <w:fldChar w:fldCharType="begin"/>
      </w:r>
      <w:r>
        <w:instrText xml:space="preserve"> PAGEREF _Toc491077922 \h </w:instrText>
      </w:r>
      <w:r>
        <w:fldChar w:fldCharType="separate"/>
      </w:r>
      <w:r>
        <w:t>75</w:t>
      </w:r>
      <w:r>
        <w:fldChar w:fldCharType="end"/>
      </w:r>
    </w:p>
    <w:p>
      <w:pPr>
        <w:pStyle w:val="TOC1"/>
        <w:tabs>
          <w:tab w:val="left" w:pos="1260"/>
          <w:tab w:val="right" w:leader="dot" w:pos="8494"/>
        </w:tabs>
        <w:rPr>
          <w:rFonts w:ascii="Calibri" w:eastAsia="宋体" w:hAnsi="Calibri"/>
        </w:rPr>
      </w:pPr>
      <w:r>
        <w:rPr>
          <w:rFonts w:hint="eastAsia"/>
        </w:rPr>
        <w:t>第11章</w:t>
      </w:r>
      <w:r>
        <w:rPr>
          <w:rFonts w:ascii="Calibri" w:eastAsia="宋体" w:hAnsi="Calibri"/>
        </w:rPr>
        <w:tab/>
      </w:r>
      <w:r>
        <w:rPr>
          <w:rFonts w:ascii="宋体" w:eastAsia="宋体" w:hAnsi="宋体" w:hint="eastAsia"/>
        </w:rPr>
        <w:t>主材质量情况</w:t>
      </w:r>
      <w:r>
        <w:tab/>
      </w:r>
      <w:r>
        <w:fldChar w:fldCharType="begin"/>
      </w:r>
      <w:r>
        <w:instrText xml:space="preserve"> PAGEREF _Toc491077923 \h </w:instrText>
      </w:r>
      <w:r>
        <w:fldChar w:fldCharType="separate"/>
      </w:r>
      <w:r>
        <w:t>80</w:t>
      </w:r>
      <w:r>
        <w:fldChar w:fldCharType="end"/>
      </w:r>
    </w:p>
    <w:p>
      <w:pPr>
        <w:pStyle w:val="TOC1"/>
        <w:tabs>
          <w:tab w:val="left" w:pos="1260"/>
          <w:tab w:val="right" w:leader="dot" w:pos="8494"/>
        </w:tabs>
        <w:rPr>
          <w:rFonts w:ascii="Calibri" w:eastAsia="宋体" w:hAnsi="Calibri"/>
        </w:rPr>
      </w:pPr>
      <w:r>
        <w:rPr>
          <w:rFonts w:hint="eastAsia"/>
        </w:rPr>
        <w:t>第12章</w:t>
      </w:r>
      <w:r>
        <w:rPr>
          <w:rFonts w:ascii="Calibri" w:eastAsia="宋体" w:hAnsi="Calibri"/>
        </w:rPr>
        <w:tab/>
      </w:r>
      <w:r>
        <w:rPr>
          <w:rFonts w:ascii="宋体" w:eastAsia="宋体" w:hAnsi="宋体" w:hint="eastAsia"/>
        </w:rPr>
        <w:t>新技术新材料新技术的应用</w:t>
      </w:r>
      <w:r>
        <w:tab/>
      </w:r>
      <w:r>
        <w:fldChar w:fldCharType="begin"/>
      </w:r>
      <w:r>
        <w:instrText xml:space="preserve"> PAGEREF _Toc491077924 \h </w:instrText>
      </w:r>
      <w:r>
        <w:fldChar w:fldCharType="separate"/>
      </w:r>
      <w:r>
        <w:t>82</w:t>
      </w:r>
      <w:r>
        <w:fldChar w:fldCharType="end"/>
      </w:r>
    </w:p>
    <w:p>
      <w:pPr>
        <w:pStyle w:val="TOC1"/>
        <w:tabs>
          <w:tab w:val="left" w:pos="1260"/>
          <w:tab w:val="right" w:leader="dot" w:pos="8494"/>
        </w:tabs>
        <w:rPr>
          <w:rFonts w:ascii="Calibri" w:eastAsia="宋体" w:hAnsi="Calibri"/>
        </w:rPr>
      </w:pPr>
      <w:r>
        <w:rPr>
          <w:rFonts w:hint="eastAsia"/>
        </w:rPr>
        <w:t>第13章</w:t>
      </w:r>
      <w:r>
        <w:rPr>
          <w:rFonts w:ascii="Calibri" w:eastAsia="宋体" w:hAnsi="Calibri"/>
        </w:rPr>
        <w:tab/>
      </w:r>
      <w:r>
        <w:rPr>
          <w:rFonts w:ascii="宋体" w:eastAsia="宋体" w:hAnsi="宋体" w:hint="eastAsia"/>
        </w:rPr>
        <w:t>工程回访及保修</w:t>
      </w:r>
      <w:r>
        <w:rPr>
          <w:rFonts w:ascii="宋体" w:hAnsi="宋体" w:hint="eastAsia"/>
          <w:lang w:eastAsia="zh-CN"/>
        </w:rPr>
        <w:t>相关计划</w:t>
      </w:r>
      <w:r>
        <w:tab/>
      </w:r>
      <w:r>
        <w:fldChar w:fldCharType="begin"/>
      </w:r>
      <w:r>
        <w:instrText xml:space="preserve"> PAGEREF _Toc491077925 \h </w:instrText>
      </w:r>
      <w:r>
        <w:fldChar w:fldCharType="separate"/>
      </w:r>
      <w:r>
        <w:t>84</w:t>
      </w:r>
      <w:r>
        <w:fldChar w:fldCharType="end"/>
      </w:r>
    </w:p>
    <w:p>
      <w:pPr>
        <w:pStyle w:val="Normal0"/>
        <w:rPr>
          <w:rFonts w:ascii="宋体" w:hAnsi="宋体"/>
        </w:rPr>
        <w:sectPr>
          <w:headerReference w:type="default" r:id="rId8"/>
          <w:footerReference w:type="default" r:id="rId9"/>
          <w:type w:val="nextPage"/>
          <w:pgSz w:w="11906" w:h="16838"/>
          <w:pgMar w:top="1440" w:right="1701" w:bottom="1440" w:left="1701" w:header="850" w:footer="992" w:gutter="0"/>
          <w:pgNumType w:start="2"/>
          <w:cols w:num="1" w:space="425"/>
          <w:titlePg w:val="0"/>
          <w:docGrid w:type="lines" w:linePitch="312" w:charSpace="0"/>
        </w:sectPr>
      </w:pPr>
      <w:r>
        <w:rPr>
          <w:rFonts w:ascii="宋体" w:eastAsia="宋体" w:hAnsi="宋体" w:hint="eastAsia"/>
        </w:rPr>
        <w:fldChar w:fldCharType="end"/>
      </w:r>
    </w:p>
    <w:p>
      <w:pPr>
        <w:pStyle w:val="BZ1"/>
        <w:jc w:val="center"/>
        <w:rPr>
          <w:rFonts w:eastAsia="宋体"/>
        </w:rPr>
      </w:pPr>
      <w:bookmarkStart w:id="1" w:name="_Toc491077875"/>
      <w:r>
        <w:rPr>
          <w:rFonts w:ascii="宋体" w:eastAsia="宋体" w:hAnsi="宋体" w:hint="eastAsia"/>
        </w:rPr>
        <w:t>编制依据及编制说明</w:t>
      </w:r>
      <w:bookmarkEnd w:id="1"/>
    </w:p>
    <w:p>
      <w:pPr>
        <w:pStyle w:val="BZ2"/>
        <w:rPr>
          <w:rFonts w:ascii="宋体" w:eastAsia="宋体" w:hAnsi="宋体"/>
        </w:rPr>
      </w:pPr>
      <w:bookmarkStart w:id="2" w:name="_Toc491077876"/>
      <w:r>
        <w:rPr>
          <w:rFonts w:ascii="宋体" w:eastAsia="宋体" w:hAnsi="宋体" w:hint="eastAsia"/>
        </w:rPr>
        <w:t>编制依据</w:t>
      </w:r>
      <w:bookmarkEnd w:id="2"/>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本工程</w:t>
      </w:r>
      <w:r>
        <w:rPr>
          <w:rFonts w:ascii="宋体" w:hAnsi="宋体" w:hint="eastAsia"/>
          <w:color w:val="000000"/>
          <w:sz w:val="24"/>
          <w:lang w:eastAsia="zh-CN"/>
        </w:rPr>
        <w:t>相关项目</w:t>
      </w:r>
      <w:r>
        <w:rPr>
          <w:rFonts w:ascii="宋体" w:eastAsia="宋体" w:hAnsi="宋体" w:hint="eastAsia"/>
          <w:color w:val="000000"/>
          <w:sz w:val="24"/>
        </w:rPr>
        <w:t>采用的施工技术标准、规范和验收标准为：</w:t>
      </w: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17"/>
        <w:gridCol w:w="5245"/>
        <w:gridCol w:w="2658"/>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b/>
                <w:color w:val="000000"/>
                <w:sz w:val="24"/>
              </w:rPr>
            </w:pPr>
            <w:r>
              <w:rPr>
                <w:rFonts w:ascii="宋体" w:eastAsia="宋体" w:hAnsi="宋体" w:cs="Times New Roman" w:hint="eastAsia"/>
                <w:b/>
                <w:color w:val="000000"/>
                <w:kern w:val="2"/>
                <w:sz w:val="24"/>
                <w:szCs w:val="22"/>
                <w:lang w:val="en-US" w:eastAsia="zh-CN" w:bidi="ar-SA"/>
              </w:rPr>
              <w:t>序号</w:t>
            </w:r>
          </w:p>
        </w:tc>
        <w:tc>
          <w:tcPr>
            <w:tcW w:w="5245" w:type="dxa"/>
          </w:tcPr>
          <w:p>
            <w:pPr>
              <w:pStyle w:val="Normal0"/>
              <w:widowControl/>
              <w:suppressAutoHyphens/>
              <w:jc w:val="center"/>
              <w:rPr>
                <w:rFonts w:ascii="宋体" w:hAnsi="宋体" w:cs="Times New Roman"/>
                <w:b/>
                <w:color w:val="000000"/>
                <w:sz w:val="24"/>
              </w:rPr>
            </w:pPr>
            <w:r>
              <w:rPr>
                <w:rFonts w:ascii="宋体" w:eastAsia="宋体" w:hAnsi="宋体" w:cs="Times New Roman" w:hint="eastAsia"/>
                <w:b/>
                <w:color w:val="000000"/>
                <w:kern w:val="2"/>
                <w:sz w:val="24"/>
                <w:szCs w:val="22"/>
                <w:lang w:val="en-US" w:eastAsia="zh-CN" w:bidi="ar-SA"/>
              </w:rPr>
              <w:t>现行国家标准</w:t>
            </w:r>
          </w:p>
        </w:tc>
        <w:tc>
          <w:tcPr>
            <w:tcW w:w="2658" w:type="dxa"/>
          </w:tcPr>
          <w:p>
            <w:pPr>
              <w:pStyle w:val="Normal0"/>
              <w:widowControl/>
              <w:suppressAutoHyphens/>
              <w:jc w:val="center"/>
              <w:rPr>
                <w:rFonts w:ascii="宋体" w:hAnsi="宋体" w:cs="Times New Roman"/>
                <w:b/>
                <w:color w:val="000000"/>
                <w:sz w:val="24"/>
              </w:rPr>
            </w:pPr>
            <w:r>
              <w:rPr>
                <w:rFonts w:ascii="宋体" w:eastAsia="宋体" w:hAnsi="宋体" w:cs="Times New Roman" w:hint="eastAsia"/>
                <w:b/>
                <w:color w:val="000000"/>
                <w:kern w:val="2"/>
                <w:sz w:val="24"/>
                <w:szCs w:val="22"/>
                <w:lang w:val="en-US" w:eastAsia="zh-CN" w:bidi="ar-SA"/>
              </w:rPr>
              <w:t>编号</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 xml:space="preserve">《测量规范》                               </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（GBJ50206-93）</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2</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 xml:space="preserve">《城市绿地系统规划编制纲要 》                 </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试行版</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3</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《园林技术规范》</w:t>
            </w:r>
          </w:p>
        </w:tc>
        <w:tc>
          <w:tcPr>
            <w:tcW w:w="2658" w:type="dxa"/>
          </w:tcPr>
          <w:p>
            <w:pPr>
              <w:pStyle w:val="Normal0"/>
              <w:widowControl/>
              <w:suppressAutoHyphens/>
              <w:jc w:val="both"/>
              <w:rPr>
                <w:rFonts w:ascii="宋体" w:hAnsi="宋体" w:cs="Times New Roman"/>
                <w:color w:val="000000"/>
                <w:sz w:val="24"/>
              </w:rPr>
            </w:pP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4</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《城市绿化工程施工及验收规范》</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（建标【1999】46号）</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5</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 xml:space="preserve">《城市绿化工程施工及验收规范》  </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（建标【1999】46号）</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6</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《建筑工程施工质量验收同意标准》</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 GB50300-2001）</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7</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《气体工程施工及验收规范》</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 xml:space="preserve">  （GB50203-2002）</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8</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《建筑工程</w:t>
            </w:r>
            <w:r>
              <w:rPr>
                <w:rFonts w:ascii="宋体" w:hAnsi="宋体" w:cs="Times New Roman" w:hint="eastAsia"/>
                <w:color w:val="000000"/>
                <w:kern w:val="2"/>
                <w:sz w:val="24"/>
                <w:szCs w:val="22"/>
                <w:lang w:val="en-US" w:eastAsia="zh-CN" w:bidi="ar-SA"/>
              </w:rPr>
              <w:t>相关项目管理管控</w:t>
            </w:r>
            <w:r>
              <w:rPr>
                <w:rFonts w:ascii="宋体" w:eastAsia="宋体" w:hAnsi="宋体" w:cs="Times New Roman" w:hint="eastAsia"/>
                <w:color w:val="000000"/>
                <w:kern w:val="2"/>
                <w:sz w:val="24"/>
                <w:szCs w:val="22"/>
                <w:lang w:val="en-US" w:eastAsia="zh-CN" w:bidi="ar-SA"/>
              </w:rPr>
              <w:t>规范》</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（GB/T50382-2001）</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9</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《混凝土结构工程施工及验收规范》</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（GB50204-2002）</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10</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《建设工程文件归档整理规范》</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（GB/T50382-2001）</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11</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《电气装置安装工程电缆线路施工及验收规范》</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（GB50208-2006）</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12</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《建筑工程安全技术规程》</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 国务院）</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13</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《建筑工程施工现场</w:t>
            </w:r>
            <w:r>
              <w:rPr>
                <w:rFonts w:ascii="宋体" w:hAnsi="宋体" w:cs="Times New Roman" w:hint="eastAsia"/>
                <w:color w:val="000000"/>
                <w:kern w:val="2"/>
                <w:sz w:val="24"/>
                <w:szCs w:val="22"/>
                <w:lang w:val="en-US" w:eastAsia="zh-CN" w:bidi="ar-SA"/>
              </w:rPr>
              <w:t>管理管控</w:t>
            </w:r>
            <w:r>
              <w:rPr>
                <w:rFonts w:ascii="宋体" w:eastAsia="宋体" w:hAnsi="宋体" w:cs="Times New Roman" w:hint="eastAsia"/>
                <w:color w:val="000000"/>
                <w:kern w:val="2"/>
                <w:sz w:val="24"/>
                <w:szCs w:val="22"/>
                <w:lang w:val="en-US" w:eastAsia="zh-CN" w:bidi="ar-SA"/>
              </w:rPr>
              <w:t>规定》</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（建设部15号令）</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14</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《建筑机械使用安全技术规程》</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 xml:space="preserve"> （JGB-86）</w:t>
            </w:r>
          </w:p>
        </w:tc>
      </w:tr>
      <w:tr>
        <w:tblPrEx>
          <w:tblW w:w="0" w:type="auto"/>
          <w:tblInd w:w="0" w:type="dxa"/>
          <w:tblCellMar>
            <w:top w:w="0" w:type="dxa"/>
            <w:left w:w="108" w:type="dxa"/>
            <w:bottom w:w="0" w:type="dxa"/>
            <w:right w:w="108" w:type="dxa"/>
          </w:tblCellMar>
        </w:tblPrEx>
        <w:tc>
          <w:tcPr>
            <w:tcW w:w="817" w:type="dxa"/>
          </w:tcPr>
          <w:p>
            <w:pPr>
              <w:pStyle w:val="Normal0"/>
              <w:widowControl/>
              <w:suppressAutoHyphens/>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15</w:t>
            </w:r>
          </w:p>
        </w:tc>
        <w:tc>
          <w:tcPr>
            <w:tcW w:w="5245"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《建筑安全监督</w:t>
            </w:r>
            <w:r>
              <w:rPr>
                <w:rFonts w:ascii="宋体" w:hAnsi="宋体" w:cs="Times New Roman" w:hint="eastAsia"/>
                <w:color w:val="000000"/>
                <w:kern w:val="2"/>
                <w:sz w:val="24"/>
                <w:szCs w:val="22"/>
                <w:lang w:val="en-US" w:eastAsia="zh-CN" w:bidi="ar-SA"/>
              </w:rPr>
              <w:t>管理管控</w:t>
            </w:r>
            <w:r>
              <w:rPr>
                <w:rFonts w:ascii="宋体" w:eastAsia="宋体" w:hAnsi="宋体" w:cs="Times New Roman" w:hint="eastAsia"/>
                <w:color w:val="000000"/>
                <w:kern w:val="2"/>
                <w:sz w:val="24"/>
                <w:szCs w:val="22"/>
                <w:lang w:val="en-US" w:eastAsia="zh-CN" w:bidi="ar-SA"/>
              </w:rPr>
              <w:t>规定》</w:t>
            </w:r>
          </w:p>
        </w:tc>
        <w:tc>
          <w:tcPr>
            <w:tcW w:w="2658" w:type="dxa"/>
          </w:tcPr>
          <w:p>
            <w:pPr>
              <w:pStyle w:val="Normal0"/>
              <w:widowControl/>
              <w:suppressAutoHyphens/>
              <w:jc w:val="both"/>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（建设部13号令）</w:t>
            </w:r>
          </w:p>
        </w:tc>
      </w:tr>
    </w:tbl>
    <w:p>
      <w:pPr>
        <w:pStyle w:val="BZ2"/>
        <w:rPr>
          <w:rFonts w:ascii="宋体" w:eastAsia="宋体" w:hAnsi="宋体"/>
        </w:rPr>
      </w:pPr>
      <w:bookmarkStart w:id="3" w:name="_Toc491077877"/>
      <w:r>
        <w:rPr>
          <w:rFonts w:ascii="宋体" w:eastAsia="宋体" w:hAnsi="宋体" w:hint="eastAsia"/>
        </w:rPr>
        <w:t>编制说明</w:t>
      </w:r>
      <w:bookmarkEnd w:id="3"/>
      <w:r>
        <w:rPr>
          <w:rFonts w:ascii="宋体" w:eastAsia="宋体" w:hAnsi="宋体" w:hint="eastAsia"/>
        </w:rPr>
        <w:t xml:space="preserve">   </w:t>
      </w:r>
    </w:p>
    <w:p>
      <w:pPr>
        <w:pStyle w:val="ListParagraph"/>
        <w:widowControl/>
        <w:numPr>
          <w:ilvl w:val="1"/>
          <w:numId w:val="19"/>
        </w:numPr>
        <w:suppressAutoHyphens/>
        <w:spacing w:line="360" w:lineRule="auto"/>
        <w:ind w:left="0" w:firstLine="240" w:firstLineChars="100"/>
        <w:jc w:val="left"/>
        <w:rPr>
          <w:rFonts w:ascii="宋体" w:eastAsia="宋体" w:hAnsi="宋体"/>
          <w:color w:val="000000"/>
          <w:sz w:val="24"/>
        </w:rPr>
      </w:pPr>
      <w:bookmarkStart w:id="4" w:name="_Toc300151584"/>
      <w:r>
        <w:rPr>
          <w:rFonts w:ascii="宋体" w:eastAsia="宋体" w:hAnsi="宋体" w:hint="eastAsia"/>
          <w:color w:val="000000"/>
          <w:sz w:val="24"/>
        </w:rPr>
        <w:t>编制原则</w:t>
      </w:r>
      <w:bookmarkEnd w:id="4"/>
    </w:p>
    <w:p>
      <w:pPr>
        <w:pStyle w:val="ListParagraph"/>
        <w:widowControl/>
        <w:numPr>
          <w:ilvl w:val="2"/>
          <w:numId w:val="19"/>
        </w:numPr>
        <w:suppressAutoHyphens/>
        <w:spacing w:line="360" w:lineRule="auto"/>
        <w:ind w:left="0" w:firstLine="240" w:firstLineChars="100"/>
        <w:jc w:val="left"/>
        <w:rPr>
          <w:rFonts w:ascii="宋体" w:eastAsia="宋体" w:hAnsi="宋体"/>
          <w:color w:val="000000"/>
          <w:sz w:val="24"/>
        </w:rPr>
      </w:pPr>
      <w:bookmarkStart w:id="5" w:name="_Toc300151585"/>
      <w:r>
        <w:rPr>
          <w:rFonts w:ascii="宋体" w:eastAsia="宋体" w:hAnsi="宋体" w:hint="eastAsia"/>
          <w:color w:val="000000"/>
          <w:sz w:val="24"/>
        </w:rPr>
        <w:t>遵循招标文件</w:t>
      </w:r>
      <w:r>
        <w:rPr>
          <w:rFonts w:ascii="宋体" w:hAnsi="宋体" w:hint="eastAsia"/>
          <w:color w:val="000000"/>
          <w:sz w:val="24"/>
          <w:lang w:eastAsia="zh-CN"/>
        </w:rPr>
        <w:t>条约条款</w:t>
      </w:r>
      <w:r>
        <w:rPr>
          <w:rFonts w:ascii="宋体" w:eastAsia="宋体" w:hAnsi="宋体" w:hint="eastAsia"/>
          <w:color w:val="000000"/>
          <w:sz w:val="24"/>
        </w:rPr>
        <w:t>的原则</w:t>
      </w:r>
      <w:bookmarkEnd w:id="5"/>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在编制施工组织设计的文字说明、插图、插表中，严格按照招标文件的规定，做到统一标准，规范编制。</w:t>
      </w:r>
    </w:p>
    <w:p>
      <w:pPr>
        <w:pStyle w:val="ListParagraph"/>
        <w:widowControl/>
        <w:numPr>
          <w:ilvl w:val="2"/>
          <w:numId w:val="19"/>
        </w:numPr>
        <w:suppressAutoHyphens/>
        <w:spacing w:line="360" w:lineRule="auto"/>
        <w:ind w:left="0" w:firstLine="240" w:firstLineChars="100"/>
        <w:jc w:val="left"/>
        <w:rPr>
          <w:rFonts w:ascii="宋体" w:eastAsia="宋体" w:hAnsi="宋体"/>
          <w:color w:val="000000"/>
          <w:sz w:val="24"/>
        </w:rPr>
      </w:pPr>
      <w:bookmarkStart w:id="6" w:name="_Toc300151586"/>
      <w:r>
        <w:rPr>
          <w:rFonts w:ascii="宋体" w:eastAsia="宋体" w:hAnsi="宋体" w:hint="eastAsia"/>
          <w:color w:val="000000"/>
          <w:sz w:val="24"/>
        </w:rPr>
        <w:t>遵循施工规范、规程、验收标准的原则</w:t>
      </w:r>
      <w:bookmarkEnd w:id="6"/>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在编写主要</w:t>
      </w:r>
      <w:r>
        <w:rPr>
          <w:rFonts w:ascii="宋体" w:hAnsi="宋体" w:hint="eastAsia"/>
          <w:color w:val="000000"/>
          <w:sz w:val="24"/>
          <w:lang w:eastAsia="zh-CN"/>
        </w:rPr>
        <w:t>相关项目</w:t>
      </w:r>
      <w:r>
        <w:rPr>
          <w:rFonts w:ascii="宋体" w:eastAsia="宋体" w:hAnsi="宋体" w:hint="eastAsia"/>
          <w:color w:val="000000"/>
          <w:sz w:val="24"/>
        </w:rPr>
        <w:t>施工方法中，严格按设计图纸要求，执行现行施工规范、规程及验收标准，确保工程质量。</w:t>
      </w:r>
    </w:p>
    <w:p>
      <w:pPr>
        <w:pStyle w:val="ListParagraph"/>
        <w:widowControl/>
        <w:numPr>
          <w:ilvl w:val="2"/>
          <w:numId w:val="19"/>
        </w:numPr>
        <w:suppressAutoHyphens/>
        <w:spacing w:line="360" w:lineRule="auto"/>
        <w:ind w:left="0" w:firstLine="240" w:firstLineChars="100"/>
        <w:jc w:val="left"/>
        <w:rPr>
          <w:rFonts w:ascii="宋体" w:eastAsia="宋体" w:hAnsi="宋体"/>
          <w:color w:val="000000"/>
          <w:sz w:val="24"/>
        </w:rPr>
        <w:sectPr>
          <w:headerReference w:type="default" r:id="rId10"/>
          <w:footerReference w:type="default" r:id="rId11"/>
          <w:pgSz w:w="11906" w:h="16838"/>
          <w:pgMar w:top="1440" w:right="1701" w:bottom="1440" w:left="1701" w:header="850" w:footer="992" w:gutter="0"/>
          <w:pgNumType w:start="1"/>
          <w:cols w:num="1" w:space="425"/>
          <w:docGrid w:type="lines" w:linePitch="312" w:charSpace="0"/>
        </w:sectPr>
      </w:pPr>
      <w:bookmarkStart w:id="7" w:name="_Toc300151587"/>
      <w:r>
        <w:rPr>
          <w:rFonts w:ascii="宋体" w:eastAsia="宋体" w:hAnsi="宋体" w:hint="eastAsia"/>
          <w:color w:val="000000"/>
          <w:sz w:val="24"/>
        </w:rPr>
        <w:t>坚持实事求是的原则</w:t>
      </w:r>
      <w:bookmarkEnd w:id="7"/>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在制定具体</w:t>
      </w:r>
      <w:r>
        <w:rPr>
          <w:rFonts w:ascii="宋体" w:hAnsi="宋体" w:hint="eastAsia"/>
          <w:color w:val="000000"/>
          <w:sz w:val="24"/>
          <w:lang w:eastAsia="zh-CN"/>
        </w:rPr>
        <w:t>相关项目</w:t>
      </w:r>
      <w:r>
        <w:rPr>
          <w:rFonts w:ascii="宋体" w:eastAsia="宋体" w:hAnsi="宋体" w:hint="eastAsia"/>
          <w:color w:val="000000"/>
          <w:sz w:val="24"/>
        </w:rPr>
        <w:t>实施</w:t>
      </w:r>
      <w:r>
        <w:rPr>
          <w:rFonts w:ascii="宋体" w:hAnsi="宋体" w:hint="eastAsia"/>
          <w:color w:val="000000"/>
          <w:sz w:val="24"/>
          <w:lang w:eastAsia="zh-CN"/>
        </w:rPr>
        <w:t>合适的方案</w:t>
      </w:r>
      <w:r>
        <w:rPr>
          <w:rFonts w:ascii="宋体" w:eastAsia="宋体" w:hAnsi="宋体" w:hint="eastAsia"/>
          <w:color w:val="000000"/>
          <w:sz w:val="24"/>
        </w:rPr>
        <w:t>过程中，充分研究、分析工程的特点、难点，坚持科学组织、合理安排、均衡生产，确保优质、高效地完成本工程的建设任务。</w:t>
      </w:r>
    </w:p>
    <w:p>
      <w:pPr>
        <w:pStyle w:val="ListParagraph"/>
        <w:widowControl/>
        <w:numPr>
          <w:ilvl w:val="2"/>
          <w:numId w:val="2"/>
        </w:numPr>
        <w:suppressAutoHyphens/>
        <w:spacing w:line="360" w:lineRule="auto"/>
        <w:ind w:left="0" w:firstLine="240" w:firstLineChars="100"/>
        <w:jc w:val="left"/>
        <w:rPr>
          <w:rFonts w:ascii="宋体" w:eastAsia="宋体" w:hAnsi="宋体"/>
          <w:color w:val="000000"/>
          <w:sz w:val="24"/>
        </w:rPr>
      </w:pPr>
      <w:bookmarkStart w:id="8" w:name="_Toc300151588"/>
      <w:r>
        <w:rPr>
          <w:rFonts w:ascii="宋体" w:eastAsia="宋体" w:hAnsi="宋体" w:hint="eastAsia"/>
          <w:color w:val="000000"/>
          <w:sz w:val="24"/>
        </w:rPr>
        <w:t>坚持施工全过程严格</w:t>
      </w:r>
      <w:r>
        <w:rPr>
          <w:rFonts w:ascii="宋体" w:hAnsi="宋体" w:hint="eastAsia"/>
          <w:color w:val="000000"/>
          <w:sz w:val="24"/>
          <w:lang w:eastAsia="zh-CN"/>
        </w:rPr>
        <w:t>管理管控</w:t>
      </w:r>
      <w:r>
        <w:rPr>
          <w:rFonts w:ascii="宋体" w:eastAsia="宋体" w:hAnsi="宋体" w:hint="eastAsia"/>
          <w:color w:val="000000"/>
          <w:sz w:val="24"/>
        </w:rPr>
        <w:t>的原则</w:t>
      </w:r>
      <w:bookmarkEnd w:id="8"/>
    </w:p>
    <w:p>
      <w:pPr>
        <w:pStyle w:val="Normal0"/>
        <w:widowControl/>
        <w:suppressAutoHyphens/>
        <w:spacing w:line="360" w:lineRule="auto"/>
        <w:ind w:firstLine="240" w:firstLineChars="100"/>
        <w:jc w:val="left"/>
        <w:rPr>
          <w:rFonts w:ascii="宋体" w:hAnsi="宋体"/>
          <w:color w:val="000000"/>
          <w:sz w:val="24"/>
        </w:rPr>
      </w:pPr>
      <w:bookmarkStart w:id="9" w:name="_Toc300151589"/>
      <w:r>
        <w:rPr>
          <w:rFonts w:ascii="宋体" w:eastAsia="宋体" w:hAnsi="宋体" w:hint="eastAsia"/>
          <w:color w:val="000000"/>
          <w:sz w:val="24"/>
        </w:rPr>
        <w:t>在各道工序施工中，严格执行监理工程师的指令，尊重建设单位和监理的意见，严格</w:t>
      </w:r>
      <w:r>
        <w:rPr>
          <w:rFonts w:ascii="宋体" w:hAnsi="宋体" w:hint="eastAsia"/>
          <w:color w:val="000000"/>
          <w:sz w:val="24"/>
          <w:lang w:eastAsia="zh-CN"/>
        </w:rPr>
        <w:t>管理管控</w:t>
      </w:r>
      <w:r>
        <w:rPr>
          <w:rFonts w:ascii="宋体" w:eastAsia="宋体" w:hAnsi="宋体" w:hint="eastAsia"/>
          <w:color w:val="000000"/>
          <w:sz w:val="24"/>
        </w:rPr>
        <w:t>，保证施工过程中的各个环节都处于良好的受控状态。</w:t>
      </w:r>
      <w:bookmarkEnd w:id="9"/>
    </w:p>
    <w:p>
      <w:pPr>
        <w:pStyle w:val="ListParagraph"/>
        <w:widowControl/>
        <w:numPr>
          <w:ilvl w:val="2"/>
          <w:numId w:val="2"/>
        </w:numPr>
        <w:suppressAutoHyphens/>
        <w:spacing w:line="360" w:lineRule="auto"/>
        <w:ind w:left="0" w:firstLine="240" w:firstLineChars="100"/>
        <w:jc w:val="left"/>
        <w:rPr>
          <w:rFonts w:ascii="宋体" w:eastAsia="宋体" w:hAnsi="宋体"/>
          <w:color w:val="000000"/>
          <w:sz w:val="24"/>
        </w:rPr>
      </w:pPr>
      <w:bookmarkStart w:id="10" w:name="_Toc300151590"/>
      <w:r>
        <w:rPr>
          <w:rFonts w:ascii="宋体" w:eastAsia="宋体" w:hAnsi="宋体" w:hint="eastAsia"/>
          <w:color w:val="000000"/>
          <w:sz w:val="24"/>
        </w:rPr>
        <w:t>坚持专业化作业与综合</w:t>
      </w:r>
      <w:r>
        <w:rPr>
          <w:rFonts w:ascii="宋体" w:hAnsi="宋体" w:hint="eastAsia"/>
          <w:color w:val="000000"/>
          <w:sz w:val="24"/>
          <w:lang w:eastAsia="zh-CN"/>
        </w:rPr>
        <w:t>管理管控</w:t>
      </w:r>
      <w:r>
        <w:rPr>
          <w:rFonts w:ascii="宋体" w:eastAsia="宋体" w:hAnsi="宋体" w:hint="eastAsia"/>
          <w:color w:val="000000"/>
          <w:sz w:val="24"/>
        </w:rPr>
        <w:t>相结合的原则。</w:t>
      </w:r>
      <w:bookmarkEnd w:id="10"/>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在施工组织方面，以专业队为基本组成形式，充分发挥专业人员和先进优良设备的优势，同时采取综合</w:t>
      </w:r>
      <w:r>
        <w:rPr>
          <w:rFonts w:ascii="宋体" w:hAnsi="宋体" w:hint="eastAsia"/>
          <w:color w:val="000000"/>
          <w:sz w:val="24"/>
          <w:lang w:eastAsia="zh-CN"/>
        </w:rPr>
        <w:t>管理管控</w:t>
      </w:r>
      <w:r>
        <w:rPr>
          <w:rFonts w:ascii="宋体" w:eastAsia="宋体" w:hAnsi="宋体" w:hint="eastAsia"/>
          <w:color w:val="000000"/>
          <w:sz w:val="24"/>
        </w:rPr>
        <w:t>手段、科学</w:t>
      </w:r>
      <w:r>
        <w:rPr>
          <w:rFonts w:ascii="宋体" w:hAnsi="宋体" w:hint="eastAsia"/>
          <w:color w:val="000000"/>
          <w:sz w:val="24"/>
          <w:lang w:eastAsia="zh-CN"/>
        </w:rPr>
        <w:t>管理管控</w:t>
      </w:r>
      <w:r>
        <w:rPr>
          <w:rFonts w:ascii="宋体" w:eastAsia="宋体" w:hAnsi="宋体" w:hint="eastAsia"/>
          <w:color w:val="000000"/>
          <w:sz w:val="24"/>
        </w:rPr>
        <w:t>调配以达到整体优化的目的</w:t>
      </w:r>
    </w:p>
    <w:p>
      <w:pPr>
        <w:pStyle w:val="Normal0"/>
        <w:rPr>
          <w:rFonts w:ascii="宋体" w:hAnsi="宋体"/>
        </w:rPr>
      </w:pPr>
    </w:p>
    <w:p>
      <w:pPr>
        <w:pStyle w:val="Normal0"/>
        <w:widowControl/>
        <w:suppressAutoHyphens/>
        <w:spacing w:line="360" w:lineRule="auto"/>
        <w:ind w:firstLine="240" w:firstLineChars="100"/>
        <w:jc w:val="left"/>
        <w:rPr>
          <w:rFonts w:ascii="宋体" w:hAnsi="宋体"/>
          <w:color w:val="000000"/>
          <w:sz w:val="24"/>
        </w:rPr>
      </w:pPr>
    </w:p>
    <w:p>
      <w:pPr>
        <w:pStyle w:val="BZ1"/>
        <w:numPr>
          <w:ilvl w:val="0"/>
          <w:numId w:val="0"/>
        </w:numPr>
        <w:ind w:left="425"/>
        <w:rPr>
          <w:rFonts w:eastAsia="宋体"/>
        </w:rPr>
        <w:sectPr>
          <w:headerReference w:type="default" r:id="rId12"/>
          <w:footerReference w:type="default" r:id="rId13"/>
          <w:type w:val="nextPage"/>
          <w:pgSz w:w="11906" w:h="16838"/>
          <w:pgMar w:top="1440" w:right="1701" w:bottom="1440" w:left="1701" w:header="850" w:footer="992" w:gutter="0"/>
          <w:pgNumType w:start="2"/>
          <w:cols w:num="1" w:space="425"/>
          <w:titlePg w:val="0"/>
          <w:docGrid w:type="lines" w:linePitch="312" w:charSpace="0"/>
        </w:sectPr>
      </w:pPr>
    </w:p>
    <w:p>
      <w:pPr>
        <w:pStyle w:val="BZ1"/>
        <w:jc w:val="center"/>
        <w:rPr>
          <w:rFonts w:eastAsia="宋体"/>
        </w:rPr>
      </w:pPr>
      <w:bookmarkStart w:id="11" w:name="_Toc491077878"/>
      <w:r>
        <w:rPr>
          <w:rFonts w:ascii="宋体" w:eastAsia="宋体" w:hAnsi="宋体" w:hint="eastAsia"/>
        </w:rPr>
        <w:t>工程概况与总体概述</w:t>
      </w:r>
      <w:bookmarkEnd w:id="11"/>
    </w:p>
    <w:p>
      <w:pPr>
        <w:pStyle w:val="BZ2"/>
        <w:rPr>
          <w:rFonts w:ascii="宋体" w:eastAsia="宋体" w:hAnsi="宋体"/>
        </w:rPr>
      </w:pPr>
      <w:r>
        <w:rPr>
          <w:rFonts w:ascii="宋体" w:eastAsia="宋体" w:hAnsi="宋体" w:hint="eastAsia"/>
        </w:rPr>
        <w:t xml:space="preserve"> </w:t>
      </w:r>
      <w:bookmarkStart w:id="12" w:name="_Toc491077879"/>
      <w:r>
        <w:rPr>
          <w:rFonts w:ascii="宋体" w:eastAsia="宋体" w:hAnsi="宋体" w:hint="eastAsia"/>
        </w:rPr>
        <w:t>工程概况及工程目标</w:t>
      </w:r>
      <w:bookmarkEnd w:id="12"/>
    </w:p>
    <w:p>
      <w:pPr>
        <w:pStyle w:val="ListParagraph"/>
        <w:widowControl/>
        <w:numPr>
          <w:ilvl w:val="1"/>
          <w:numId w:val="20"/>
        </w:numPr>
        <w:suppressAutoHyphens/>
        <w:spacing w:line="360" w:lineRule="auto"/>
        <w:ind w:left="0" w:firstLine="240" w:firstLineChars="100"/>
        <w:jc w:val="left"/>
        <w:rPr>
          <w:rFonts w:ascii="宋体" w:eastAsia="宋体" w:hAnsi="宋体"/>
          <w:color w:val="000000"/>
          <w:sz w:val="24"/>
        </w:rPr>
      </w:pPr>
      <w:bookmarkStart w:id="13" w:name="_Toc207186510"/>
      <w:r>
        <w:rPr>
          <w:rFonts w:ascii="宋体" w:eastAsia="宋体" w:hAnsi="宋体" w:hint="eastAsia"/>
          <w:color w:val="000000"/>
          <w:sz w:val="24"/>
        </w:rPr>
        <w:t>工程概况</w:t>
      </w:r>
      <w:bookmarkEnd w:id="13"/>
      <w:bookmarkStart w:id="14" w:name="bk100"/>
      <w:bookmarkEnd w:id="14"/>
    </w:p>
    <w:p>
      <w:pPr>
        <w:pStyle w:val="ListParagraph"/>
        <w:widowControl/>
        <w:numPr>
          <w:ilvl w:val="2"/>
          <w:numId w:val="4"/>
        </w:numPr>
        <w:suppressAutoHyphens/>
        <w:spacing w:line="360" w:lineRule="auto"/>
        <w:ind w:hanging="425" w:firstLineChars="0"/>
        <w:jc w:val="left"/>
        <w:rPr>
          <w:rFonts w:ascii="宋体" w:eastAsia="宋体" w:hAnsi="宋体"/>
          <w:color w:val="000000"/>
          <w:sz w:val="24"/>
        </w:rPr>
      </w:pPr>
      <w:bookmarkStart w:id="15" w:name="bk101"/>
      <w:bookmarkEnd w:id="15"/>
      <w:r>
        <w:rPr>
          <w:rFonts w:ascii="宋体" w:eastAsia="宋体" w:hAnsi="宋体" w:hint="eastAsia"/>
          <w:color w:val="000000"/>
          <w:sz w:val="24"/>
        </w:rPr>
        <w:t>工程名称(全称)：</w:t>
      </w:r>
      <w:r>
        <w:rPr>
          <w:rFonts w:ascii="宋体" w:eastAsia="宋体" w:hAnsi="宋体"/>
          <w:color w:val="000000"/>
          <w:sz w:val="24"/>
        </w:rPr>
        <w:t>XX</w:t>
      </w:r>
      <w:r>
        <w:rPr>
          <w:rFonts w:ascii="宋体" w:eastAsia="宋体" w:hAnsi="宋体" w:hint="eastAsia"/>
          <w:color w:val="000000"/>
          <w:sz w:val="24"/>
        </w:rPr>
        <w:t>年弃管楼院绿化提升</w:t>
      </w:r>
      <w:r>
        <w:rPr>
          <w:rFonts w:ascii="宋体" w:hAnsi="宋体" w:hint="eastAsia"/>
          <w:color w:val="000000"/>
          <w:sz w:val="24"/>
          <w:lang w:eastAsia="zh-CN"/>
        </w:rPr>
        <w:t>相关项目</w:t>
      </w:r>
      <w:r>
        <w:rPr>
          <w:rFonts w:ascii="宋体" w:eastAsia="宋体" w:hAnsi="宋体" w:hint="eastAsia"/>
          <w:color w:val="000000"/>
          <w:sz w:val="24"/>
        </w:rPr>
        <w:t>X</w:t>
      </w:r>
      <w:r>
        <w:rPr>
          <w:rFonts w:ascii="宋体" w:eastAsia="宋体" w:hAnsi="宋体"/>
          <w:color w:val="000000"/>
          <w:sz w:val="24"/>
        </w:rPr>
        <w:t>X</w:t>
      </w:r>
      <w:r>
        <w:rPr>
          <w:rFonts w:ascii="宋体" w:eastAsia="宋体" w:hAnsi="宋体" w:hint="eastAsia"/>
          <w:color w:val="000000"/>
          <w:sz w:val="24"/>
        </w:rPr>
        <w:t>标段施工组织设计。</w:t>
      </w:r>
    </w:p>
    <w:p>
      <w:pPr>
        <w:pStyle w:val="ListParagraph"/>
        <w:widowControl/>
        <w:numPr>
          <w:ilvl w:val="2"/>
          <w:numId w:val="4"/>
        </w:numPr>
        <w:suppressAutoHyphens/>
        <w:spacing w:line="360" w:lineRule="auto"/>
        <w:ind w:left="0" w:firstLine="284" w:firstLineChars="0"/>
        <w:jc w:val="left"/>
        <w:rPr>
          <w:rFonts w:ascii="宋体" w:eastAsia="宋体" w:hAnsi="宋体"/>
          <w:color w:val="000000"/>
          <w:sz w:val="24"/>
        </w:rPr>
      </w:pPr>
      <w:r>
        <w:rPr>
          <w:rFonts w:ascii="宋体" w:eastAsia="宋体" w:hAnsi="宋体" w:hint="eastAsia"/>
          <w:color w:val="000000"/>
          <w:sz w:val="24"/>
        </w:rPr>
        <w:t>建设地点：X</w:t>
      </w:r>
      <w:r>
        <w:rPr>
          <w:rFonts w:ascii="宋体" w:eastAsia="宋体" w:hAnsi="宋体"/>
          <w:color w:val="000000"/>
          <w:sz w:val="24"/>
        </w:rPr>
        <w:t>X</w:t>
      </w:r>
      <w:r>
        <w:rPr>
          <w:rFonts w:ascii="宋体" w:eastAsia="宋体" w:hAnsi="宋体" w:hint="eastAsia"/>
          <w:color w:val="000000"/>
          <w:sz w:val="24"/>
        </w:rPr>
        <w:t>社区等。</w:t>
      </w:r>
    </w:p>
    <w:p>
      <w:pPr>
        <w:pStyle w:val="ListParagraph"/>
        <w:widowControl/>
        <w:numPr>
          <w:ilvl w:val="2"/>
          <w:numId w:val="4"/>
        </w:numPr>
        <w:suppressAutoHyphens/>
        <w:spacing w:line="360" w:lineRule="auto"/>
        <w:ind w:left="0" w:firstLine="284" w:firstLineChars="0"/>
        <w:jc w:val="left"/>
        <w:rPr>
          <w:rFonts w:ascii="宋体" w:eastAsia="宋体" w:hAnsi="宋体"/>
          <w:color w:val="000000"/>
          <w:sz w:val="24"/>
        </w:rPr>
      </w:pPr>
      <w:r>
        <w:rPr>
          <w:rFonts w:ascii="宋体" w:eastAsia="宋体" w:hAnsi="宋体" w:hint="eastAsia"/>
          <w:color w:val="000000"/>
          <w:sz w:val="24"/>
        </w:rPr>
        <w:t>承包范围：X</w:t>
      </w:r>
      <w:r>
        <w:rPr>
          <w:rFonts w:ascii="宋体" w:eastAsia="宋体" w:hAnsi="宋体"/>
          <w:color w:val="000000"/>
          <w:sz w:val="24"/>
        </w:rPr>
        <w:t>X</w:t>
      </w:r>
      <w:r>
        <w:rPr>
          <w:rFonts w:ascii="宋体" w:eastAsia="宋体" w:hAnsi="宋体" w:hint="eastAsia"/>
          <w:color w:val="000000"/>
          <w:sz w:val="24"/>
        </w:rPr>
        <w:t>院弃管绿地提升改造，建设社区健身游园。维修花坛，栽植花灌木与花卉，更换硬铺装，维修台阶、散水、栏杆等破损公共设施，安装晾衣架及健身器材等工程施工。</w:t>
      </w:r>
    </w:p>
    <w:p>
      <w:pPr>
        <w:pStyle w:val="ListParagraph"/>
        <w:widowControl/>
        <w:numPr>
          <w:ilvl w:val="1"/>
          <w:numId w:val="20"/>
        </w:numPr>
        <w:suppressAutoHyphens/>
        <w:spacing w:line="360" w:lineRule="auto"/>
        <w:ind w:left="0" w:firstLine="240" w:firstLineChars="100"/>
        <w:jc w:val="left"/>
        <w:rPr>
          <w:rFonts w:ascii="宋体" w:eastAsia="宋体" w:hAnsi="宋体"/>
          <w:color w:val="000000"/>
          <w:sz w:val="24"/>
        </w:rPr>
      </w:pPr>
      <w:bookmarkStart w:id="16" w:name="_Toc207186511"/>
      <w:r>
        <w:rPr>
          <w:rFonts w:ascii="宋体" w:eastAsia="宋体" w:hAnsi="宋体" w:hint="eastAsia"/>
          <w:color w:val="000000"/>
          <w:sz w:val="24"/>
        </w:rPr>
        <w:t>工程目标</w:t>
      </w:r>
      <w:bookmarkEnd w:id="16"/>
      <w:bookmarkStart w:id="17" w:name="bk102"/>
      <w:bookmarkEnd w:id="17"/>
    </w:p>
    <w:p>
      <w:pPr>
        <w:pStyle w:val="Normal0"/>
        <w:widowControl/>
        <w:suppressAutoHyphens/>
        <w:spacing w:line="360" w:lineRule="auto"/>
        <w:ind w:firstLine="240" w:firstLineChars="100"/>
        <w:jc w:val="left"/>
        <w:rPr>
          <w:rFonts w:ascii="宋体" w:hAnsi="宋体"/>
          <w:color w:val="000000"/>
          <w:sz w:val="24"/>
        </w:rPr>
      </w:pPr>
      <w:bookmarkStart w:id="18" w:name="bk103"/>
      <w:bookmarkEnd w:id="18"/>
      <w:r>
        <w:rPr>
          <w:rFonts w:ascii="宋体" w:eastAsia="宋体" w:hAnsi="宋体" w:hint="eastAsia"/>
          <w:color w:val="000000"/>
          <w:sz w:val="24"/>
        </w:rPr>
        <w:t>经领导班子讨论研究决定，在本工程中一定要充分发挥本公司技术优势和施工经验，科学组织施工作业程序，精心施工，坚持“科学</w:t>
      </w:r>
      <w:r>
        <w:rPr>
          <w:rFonts w:ascii="宋体" w:hAnsi="宋体" w:hint="eastAsia"/>
          <w:color w:val="000000"/>
          <w:sz w:val="24"/>
          <w:lang w:eastAsia="zh-CN"/>
        </w:rPr>
        <w:t>管理管控</w:t>
      </w:r>
      <w:r>
        <w:rPr>
          <w:rFonts w:ascii="宋体" w:eastAsia="宋体" w:hAnsi="宋体" w:hint="eastAsia"/>
          <w:color w:val="000000"/>
          <w:sz w:val="24"/>
        </w:rPr>
        <w:t>、注重质量、信守合约、真诚服务”、不断的把最优秀的建筑安装工程贡献给社会的质量方针，严格履行</w:t>
      </w:r>
      <w:r>
        <w:rPr>
          <w:rFonts w:ascii="宋体" w:hAnsi="宋体" w:hint="eastAsia"/>
          <w:color w:val="000000"/>
          <w:sz w:val="24"/>
          <w:lang w:eastAsia="zh-CN"/>
        </w:rPr>
        <w:t>合同合约</w:t>
      </w:r>
      <w:r>
        <w:rPr>
          <w:rFonts w:ascii="宋体" w:eastAsia="宋体" w:hAnsi="宋体" w:hint="eastAsia"/>
          <w:color w:val="000000"/>
          <w:sz w:val="24"/>
        </w:rPr>
        <w:t>。以一流的</w:t>
      </w:r>
      <w:r>
        <w:rPr>
          <w:rFonts w:ascii="宋体" w:hAnsi="宋体" w:hint="eastAsia"/>
          <w:color w:val="000000"/>
          <w:sz w:val="24"/>
          <w:lang w:eastAsia="zh-CN"/>
        </w:rPr>
        <w:t>相关项目管理管控</w:t>
      </w:r>
      <w:r>
        <w:rPr>
          <w:rFonts w:ascii="宋体" w:eastAsia="宋体" w:hAnsi="宋体" w:hint="eastAsia"/>
          <w:color w:val="000000"/>
          <w:sz w:val="24"/>
        </w:rPr>
        <w:t>，一流的工程质量，一流的安全生产与文明施工，一流的效率，一流的服务圆满完成工程任务，确保实现如下目标：</w:t>
      </w:r>
    </w:p>
    <w:p>
      <w:pPr>
        <w:pStyle w:val="ListParagraph"/>
        <w:widowControl/>
        <w:numPr>
          <w:ilvl w:val="2"/>
          <w:numId w:val="20"/>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工程质量目标</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作为施工企业来说，质量是企业的生命，针对本工程的规模、特点，我公司将认真把握好这次机会，从抓施工现场</w:t>
      </w:r>
      <w:r>
        <w:rPr>
          <w:rFonts w:ascii="宋体" w:hAnsi="宋体" w:hint="eastAsia"/>
          <w:color w:val="000000"/>
          <w:sz w:val="24"/>
          <w:lang w:eastAsia="zh-CN"/>
        </w:rPr>
        <w:t>管理管控</w:t>
      </w:r>
      <w:r>
        <w:rPr>
          <w:rFonts w:ascii="宋体" w:eastAsia="宋体" w:hAnsi="宋体" w:hint="eastAsia"/>
          <w:color w:val="000000"/>
          <w:sz w:val="24"/>
        </w:rPr>
        <w:t>入手，组织强有力的施工班子，从进场至竣工的整个施工过程中认真执行已通过论证的IS09002 贯标《程序文件》和《质量保证手册》等一系列标准，严格按照施工图纸、国家建筑设计、施工验收规范和质量评定标准进行施工，对工程质量实行三级</w:t>
      </w:r>
      <w:r>
        <w:rPr>
          <w:rFonts w:ascii="宋体" w:hAnsi="宋体" w:hint="eastAsia"/>
          <w:color w:val="000000"/>
          <w:sz w:val="24"/>
          <w:lang w:eastAsia="zh-CN"/>
        </w:rPr>
        <w:t>管理管控</w:t>
      </w:r>
      <w:r>
        <w:rPr>
          <w:rFonts w:ascii="宋体" w:eastAsia="宋体" w:hAnsi="宋体" w:hint="eastAsia"/>
          <w:color w:val="000000"/>
          <w:sz w:val="24"/>
        </w:rPr>
        <w:t>程序，集中公司的</w:t>
      </w:r>
      <w:r>
        <w:rPr>
          <w:rFonts w:ascii="宋体" w:hAnsi="宋体" w:hint="eastAsia"/>
          <w:color w:val="000000"/>
          <w:sz w:val="24"/>
          <w:lang w:eastAsia="zh-CN"/>
        </w:rPr>
        <w:t>管理管控</w:t>
      </w:r>
      <w:r>
        <w:rPr>
          <w:rFonts w:ascii="宋体" w:eastAsia="宋体" w:hAnsi="宋体" w:hint="eastAsia"/>
          <w:color w:val="000000"/>
          <w:sz w:val="24"/>
        </w:rPr>
        <w:t>精英力量，确保工程达到合格等级。</w:t>
      </w:r>
    </w:p>
    <w:p>
      <w:pPr>
        <w:pStyle w:val="ListParagraph"/>
        <w:widowControl/>
        <w:numPr>
          <w:ilvl w:val="2"/>
          <w:numId w:val="20"/>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施工工期目标</w:t>
      </w:r>
    </w:p>
    <w:p>
      <w:pPr>
        <w:pStyle w:val="Normal0"/>
        <w:widowControl/>
        <w:suppressAutoHyphens/>
        <w:spacing w:line="360" w:lineRule="auto"/>
        <w:ind w:firstLine="240" w:firstLineChars="100"/>
        <w:jc w:val="left"/>
        <w:rPr>
          <w:rFonts w:ascii="宋体" w:hAnsi="宋体"/>
          <w:color w:val="000000"/>
          <w:sz w:val="24"/>
        </w:rPr>
        <w:sectPr>
          <w:headerReference w:type="default" r:id="rId14"/>
          <w:footerReference w:type="default" r:id="rId15"/>
          <w:pgSz w:w="11906" w:h="16838"/>
          <w:pgMar w:top="1440" w:right="1701" w:bottom="1440" w:left="1701" w:header="850" w:footer="992" w:gutter="0"/>
          <w:pgNumType w:start="3"/>
          <w:cols w:num="1" w:space="425"/>
          <w:docGrid w:type="lines" w:linePitch="312" w:charSpace="0"/>
        </w:sectPr>
      </w:pPr>
      <w:r>
        <w:rPr>
          <w:rFonts w:ascii="宋体" w:eastAsia="宋体" w:hAnsi="宋体" w:hint="eastAsia"/>
          <w:color w:val="000000"/>
          <w:sz w:val="24"/>
        </w:rPr>
        <w:t>按期竣工是建筑企业立业的根本。根据建设单位的要求，结合我公司自身的施工力量，我们确保在</w:t>
      </w:r>
      <w:r>
        <w:rPr>
          <w:rFonts w:ascii="宋体" w:eastAsia="宋体" w:hAnsi="宋体"/>
          <w:color w:val="000000"/>
          <w:sz w:val="24"/>
        </w:rPr>
        <w:t>XX</w:t>
      </w:r>
      <w:r>
        <w:rPr>
          <w:rFonts w:ascii="宋体" w:eastAsia="宋体" w:hAnsi="宋体" w:hint="eastAsia"/>
          <w:color w:val="000000"/>
          <w:sz w:val="24"/>
        </w:rPr>
        <w:t>日历天内完成全部投标工程</w:t>
      </w:r>
      <w:r>
        <w:rPr>
          <w:rFonts w:ascii="宋体" w:hAnsi="宋体" w:hint="eastAsia"/>
          <w:color w:val="000000"/>
          <w:sz w:val="24"/>
          <w:lang w:eastAsia="zh-CN"/>
        </w:rPr>
        <w:t>合适的内容</w:t>
      </w:r>
      <w:r>
        <w:rPr>
          <w:rFonts w:ascii="宋体" w:eastAsia="宋体" w:hAnsi="宋体" w:hint="eastAsia"/>
          <w:color w:val="000000"/>
          <w:sz w:val="24"/>
        </w:rPr>
        <w:t>。由于本工程地点分散复杂，施工环节多，涉及面广，工程流水交叉作业较为频繁，为了确保工期，我们采取的措施以强化</w:t>
      </w:r>
      <w:r>
        <w:rPr>
          <w:rFonts w:ascii="宋体" w:hAnsi="宋体" w:hint="eastAsia"/>
          <w:color w:val="000000"/>
          <w:sz w:val="24"/>
          <w:lang w:eastAsia="zh-CN"/>
        </w:rPr>
        <w:t>管理管控</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，周密运筹为根本，合理地配置劳动力、周转材料、机械设备等施工要素，根据各施工阶段的客观要求，对施工所需的人、财、物由工程</w:t>
      </w:r>
      <w:r>
        <w:rPr>
          <w:rFonts w:ascii="宋体" w:hAnsi="宋体" w:hint="eastAsia"/>
          <w:color w:val="000000"/>
          <w:sz w:val="24"/>
          <w:lang w:eastAsia="zh-CN"/>
        </w:rPr>
        <w:t>相关项目</w:t>
      </w:r>
      <w:r>
        <w:rPr>
          <w:rFonts w:ascii="宋体" w:eastAsia="宋体" w:hAnsi="宋体" w:hint="eastAsia"/>
          <w:color w:val="000000"/>
          <w:sz w:val="24"/>
        </w:rPr>
        <w:t>部统一调度，按总进度网络的要求落实到各班组，定期地进行协调制度及月</w:t>
      </w:r>
      <w:r>
        <w:rPr>
          <w:rFonts w:ascii="宋体" w:hAnsi="宋体" w:hint="eastAsia"/>
          <w:color w:val="000000"/>
          <w:sz w:val="24"/>
          <w:lang w:eastAsia="zh-CN"/>
        </w:rPr>
        <w:t>相关计划</w:t>
      </w:r>
      <w:r>
        <w:rPr>
          <w:rFonts w:ascii="宋体" w:eastAsia="宋体" w:hAnsi="宋体" w:hint="eastAsia"/>
          <w:color w:val="000000"/>
          <w:sz w:val="24"/>
        </w:rPr>
        <w:t>的检查。</w:t>
      </w:r>
    </w:p>
    <w:p>
      <w:pPr>
        <w:pStyle w:val="ListParagraph"/>
        <w:widowControl/>
        <w:numPr>
          <w:ilvl w:val="2"/>
          <w:numId w:val="3"/>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安全生产、文明施工目标</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建筑工地的文明施工，安全生产同样是企业在社会上立足的一个极其重要的窗口，针对施工现场的特点，从抓现场</w:t>
      </w:r>
      <w:r>
        <w:rPr>
          <w:rFonts w:ascii="宋体" w:hAnsi="宋体" w:hint="eastAsia"/>
          <w:color w:val="000000"/>
          <w:sz w:val="24"/>
          <w:lang w:eastAsia="zh-CN"/>
        </w:rPr>
        <w:t>管理管控</w:t>
      </w:r>
      <w:r>
        <w:rPr>
          <w:rFonts w:ascii="宋体" w:eastAsia="宋体" w:hAnsi="宋体" w:hint="eastAsia"/>
          <w:color w:val="000000"/>
          <w:sz w:val="24"/>
        </w:rPr>
        <w:t>入手，创出自己的品牌工程，严格执行国家及辽宁省、大连市关于安全生产、文明施工、标化样板工地的各项标准。对现场办公室、职工生活区、材料堆放、机具设备布置、大门围墙、临时用电、用水、施工场地的规划布置着眼于高标准、严要求。进一步提高企业特色及创新意识，同时为职工的工作、生活提供较良好的环境。将“安全生产，文明施工”作为施工期间一项十分重要的工作，并由专人来抓，把工作落到实处，现场</w:t>
      </w:r>
      <w:r>
        <w:rPr>
          <w:rFonts w:ascii="宋体" w:hAnsi="宋体" w:hint="eastAsia"/>
          <w:color w:val="000000"/>
          <w:sz w:val="24"/>
          <w:lang w:eastAsia="zh-CN"/>
        </w:rPr>
        <w:t>管理管控</w:t>
      </w:r>
      <w:r>
        <w:rPr>
          <w:rFonts w:ascii="宋体" w:eastAsia="宋体" w:hAnsi="宋体" w:hint="eastAsia"/>
          <w:color w:val="000000"/>
          <w:sz w:val="24"/>
        </w:rPr>
        <w:t>确保达到文明标化工地水平。</w:t>
      </w:r>
    </w:p>
    <w:p>
      <w:pPr>
        <w:pStyle w:val="ListParagraph"/>
        <w:widowControl/>
        <w:numPr>
          <w:ilvl w:val="2"/>
          <w:numId w:val="3"/>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服务目标</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本公司的质量方针是“科学</w:t>
      </w:r>
      <w:r>
        <w:rPr>
          <w:rFonts w:ascii="宋体" w:hAnsi="宋体" w:hint="eastAsia"/>
          <w:color w:val="000000"/>
          <w:sz w:val="24"/>
          <w:lang w:eastAsia="zh-CN"/>
        </w:rPr>
        <w:t>管理管控</w:t>
      </w:r>
      <w:r>
        <w:rPr>
          <w:rFonts w:ascii="宋体" w:eastAsia="宋体" w:hAnsi="宋体" w:hint="eastAsia"/>
          <w:color w:val="000000"/>
          <w:sz w:val="24"/>
        </w:rPr>
        <w:t>、注重质量、信守合约、真诚服务”。以质量方针为指导，周到服务，创优质工程，让顾客满意是我们的服务目标我公司将按照ISO9002 质量保证体系的有关规定，坚持质量保修回访制，实行产后报务。在保修期内对使用单位提出的问题做到件件有答复，事事有落实，以此维护企业信誉，提高企业竞争能力。</w:t>
      </w:r>
    </w:p>
    <w:p>
      <w:pPr>
        <w:pStyle w:val="BZ2"/>
        <w:rPr>
          <w:rFonts w:ascii="宋体" w:eastAsia="宋体" w:hAnsi="宋体"/>
        </w:rPr>
      </w:pPr>
      <w:r>
        <w:rPr>
          <w:rFonts w:ascii="宋体" w:eastAsia="宋体" w:hAnsi="宋体" w:hint="eastAsia"/>
        </w:rPr>
        <w:t xml:space="preserve"> </w:t>
      </w:r>
      <w:bookmarkStart w:id="19" w:name="_Toc491077880"/>
      <w:r>
        <w:rPr>
          <w:rFonts w:ascii="宋体" w:eastAsia="宋体" w:hAnsi="宋体" w:hint="eastAsia"/>
        </w:rPr>
        <w:t>总体概述及施工总体部署</w:t>
      </w:r>
      <w:bookmarkEnd w:id="19"/>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本标段工程施工</w:t>
      </w:r>
      <w:r>
        <w:rPr>
          <w:rFonts w:ascii="宋体" w:hAnsi="宋体" w:hint="eastAsia"/>
          <w:color w:val="000000"/>
          <w:sz w:val="24"/>
          <w:lang w:eastAsia="zh-CN"/>
        </w:rPr>
        <w:t>管理管控</w:t>
      </w:r>
      <w:r>
        <w:rPr>
          <w:rFonts w:ascii="宋体" w:eastAsia="宋体" w:hAnsi="宋体" w:hint="eastAsia"/>
          <w:color w:val="000000"/>
          <w:sz w:val="24"/>
        </w:rPr>
        <w:t>将以</w:t>
      </w:r>
      <w:r>
        <w:rPr>
          <w:rFonts w:ascii="宋体" w:hAnsi="宋体" w:hint="eastAsia"/>
          <w:color w:val="000000"/>
          <w:sz w:val="24"/>
          <w:lang w:eastAsia="zh-CN"/>
        </w:rPr>
        <w:t>相关项目</w:t>
      </w:r>
      <w:r>
        <w:rPr>
          <w:rFonts w:ascii="宋体" w:eastAsia="宋体" w:hAnsi="宋体" w:hint="eastAsia"/>
          <w:color w:val="000000"/>
          <w:sz w:val="24"/>
        </w:rPr>
        <w:t>经理部为核心,以</w:t>
      </w:r>
      <w:r>
        <w:rPr>
          <w:rFonts w:ascii="宋体" w:hAnsi="宋体" w:hint="eastAsia"/>
          <w:color w:val="000000"/>
          <w:sz w:val="24"/>
          <w:lang w:eastAsia="zh-CN"/>
        </w:rPr>
        <w:t>相关项目</w:t>
      </w:r>
      <w:r>
        <w:rPr>
          <w:rFonts w:ascii="宋体" w:eastAsia="宋体" w:hAnsi="宋体" w:hint="eastAsia"/>
          <w:color w:val="000000"/>
          <w:sz w:val="24"/>
        </w:rPr>
        <w:t>经理负责制为原则，依托我单位</w:t>
      </w:r>
      <w:r>
        <w:rPr>
          <w:rFonts w:ascii="宋体" w:hAnsi="宋体" w:hint="eastAsia"/>
          <w:color w:val="000000"/>
          <w:sz w:val="24"/>
          <w:lang w:eastAsia="zh-CN"/>
        </w:rPr>
        <w:t>管理管控</w:t>
      </w:r>
      <w:r>
        <w:rPr>
          <w:rFonts w:ascii="宋体" w:eastAsia="宋体" w:hAnsi="宋体" w:hint="eastAsia"/>
          <w:color w:val="000000"/>
          <w:sz w:val="24"/>
        </w:rPr>
        <w:t>力量和后勤人员为本</w:t>
      </w:r>
      <w:r>
        <w:rPr>
          <w:rFonts w:ascii="宋体" w:hAnsi="宋体" w:hint="eastAsia"/>
          <w:color w:val="000000"/>
          <w:sz w:val="24"/>
          <w:lang w:eastAsia="zh-CN"/>
        </w:rPr>
        <w:t>相关项目</w:t>
      </w:r>
      <w:r>
        <w:rPr>
          <w:rFonts w:ascii="宋体" w:eastAsia="宋体" w:hAnsi="宋体" w:hint="eastAsia"/>
          <w:color w:val="000000"/>
          <w:sz w:val="24"/>
        </w:rPr>
        <w:t>服务，并抽调技术骨干组成“高效、精干”的</w:t>
      </w:r>
      <w:r>
        <w:rPr>
          <w:rFonts w:ascii="宋体" w:hAnsi="宋体" w:hint="eastAsia"/>
          <w:color w:val="000000"/>
          <w:sz w:val="24"/>
          <w:lang w:eastAsia="zh-CN"/>
        </w:rPr>
        <w:t>相关项目</w:t>
      </w:r>
      <w:r>
        <w:rPr>
          <w:rFonts w:ascii="宋体" w:eastAsia="宋体" w:hAnsi="宋体" w:hint="eastAsia"/>
          <w:color w:val="000000"/>
          <w:sz w:val="24"/>
        </w:rPr>
        <w:t>部，</w:t>
      </w:r>
      <w:r>
        <w:rPr>
          <w:rFonts w:ascii="宋体" w:hAnsi="宋体" w:hint="eastAsia"/>
          <w:color w:val="000000"/>
          <w:sz w:val="24"/>
          <w:lang w:eastAsia="zh-CN"/>
        </w:rPr>
        <w:t>相关项目</w:t>
      </w:r>
      <w:r>
        <w:rPr>
          <w:rFonts w:ascii="宋体" w:eastAsia="宋体" w:hAnsi="宋体" w:hint="eastAsia"/>
          <w:color w:val="000000"/>
          <w:sz w:val="24"/>
        </w:rPr>
        <w:t>部下设：工程部、后勤保障部等部门，为充分调动全单位力量及时优质地为本</w:t>
      </w:r>
      <w:r>
        <w:rPr>
          <w:rFonts w:ascii="宋体" w:hAnsi="宋体" w:hint="eastAsia"/>
          <w:color w:val="000000"/>
          <w:sz w:val="24"/>
          <w:lang w:eastAsia="zh-CN"/>
        </w:rPr>
        <w:t>相关项目</w:t>
      </w:r>
      <w:r>
        <w:rPr>
          <w:rFonts w:ascii="宋体" w:eastAsia="宋体" w:hAnsi="宋体" w:hint="eastAsia"/>
          <w:color w:val="000000"/>
          <w:sz w:val="24"/>
        </w:rPr>
        <w:t>部服务，由公司负责行政工作的领导组织公司所属后勤生产部门组成后勤保障部，充分发挥本单位的人力、机械和资金等优势为本</w:t>
      </w:r>
      <w:r>
        <w:rPr>
          <w:rFonts w:ascii="宋体" w:hAnsi="宋体" w:hint="eastAsia"/>
          <w:color w:val="000000"/>
          <w:sz w:val="24"/>
          <w:lang w:eastAsia="zh-CN"/>
        </w:rPr>
        <w:t>相关项目</w:t>
      </w:r>
      <w:r>
        <w:rPr>
          <w:rFonts w:ascii="宋体" w:eastAsia="宋体" w:hAnsi="宋体" w:hint="eastAsia"/>
          <w:color w:val="000000"/>
          <w:sz w:val="24"/>
        </w:rPr>
        <w:t>服务</w:t>
      </w:r>
    </w:p>
    <w:p>
      <w:pPr>
        <w:pStyle w:val="Normal0"/>
        <w:widowControl/>
        <w:suppressAutoHyphens/>
        <w:spacing w:line="360" w:lineRule="auto"/>
        <w:ind w:firstLine="240" w:firstLineChars="100"/>
        <w:jc w:val="left"/>
        <w:rPr>
          <w:rFonts w:ascii="宋体" w:hAnsi="宋体"/>
          <w:color w:val="000000"/>
          <w:sz w:val="24"/>
        </w:rPr>
        <w:sectPr>
          <w:headerReference w:type="default" r:id="rId16"/>
          <w:footerReference w:type="default" r:id="rId17"/>
          <w:type w:val="nextPage"/>
          <w:pgSz w:w="11906" w:h="16838"/>
          <w:pgMar w:top="1440" w:right="1701" w:bottom="1440" w:left="1701" w:header="850" w:footer="992" w:gutter="0"/>
          <w:pgNumType w:start="4"/>
          <w:cols w:num="1" w:space="425"/>
          <w:titlePg w:val="0"/>
          <w:docGrid w:type="lines" w:linePitch="312" w:charSpace="0"/>
        </w:sectPr>
      </w:pPr>
      <w:r>
        <w:rPr>
          <w:rFonts w:ascii="宋体" w:eastAsia="宋体" w:hAnsi="宋体" w:hint="eastAsia"/>
          <w:color w:val="000000"/>
          <w:sz w:val="24"/>
        </w:rPr>
        <w:t>根据本工程既定的质量和工期目标，结合工程特点进行分解，确定各阶段目标。在各阶段中明确主导工序和重点环节，有针对性的制定相应的技术</w:t>
      </w:r>
      <w:r>
        <w:rPr>
          <w:rFonts w:ascii="宋体" w:hAnsi="宋体" w:hint="eastAsia"/>
          <w:color w:val="000000"/>
          <w:sz w:val="24"/>
          <w:lang w:eastAsia="zh-CN"/>
        </w:rPr>
        <w:t>管理管控</w:t>
      </w:r>
      <w:r>
        <w:rPr>
          <w:rFonts w:ascii="宋体" w:eastAsia="宋体" w:hAnsi="宋体" w:hint="eastAsia"/>
          <w:color w:val="000000"/>
          <w:sz w:val="24"/>
        </w:rPr>
        <w:t>和施工等保证措施，落实专人跟踪</w:t>
      </w:r>
      <w:r>
        <w:rPr>
          <w:rFonts w:ascii="宋体" w:hAnsi="宋体" w:hint="eastAsia"/>
          <w:color w:val="000000"/>
          <w:sz w:val="24"/>
          <w:lang w:eastAsia="zh-CN"/>
        </w:rPr>
        <w:t>管理管控</w:t>
      </w:r>
      <w:r>
        <w:rPr>
          <w:rFonts w:ascii="宋体" w:eastAsia="宋体" w:hAnsi="宋体" w:hint="eastAsia"/>
          <w:color w:val="000000"/>
          <w:sz w:val="24"/>
        </w:rPr>
        <w:t>，</w:t>
      </w:r>
      <w:r>
        <w:rPr>
          <w:rFonts w:ascii="宋体" w:hAnsi="宋体" w:hint="eastAsia"/>
          <w:color w:val="000000"/>
          <w:sz w:val="24"/>
          <w:lang w:eastAsia="zh-CN"/>
        </w:rPr>
        <w:t>相关项目</w:t>
      </w:r>
      <w:r>
        <w:rPr>
          <w:rFonts w:ascii="宋体" w:eastAsia="宋体" w:hAnsi="宋体" w:hint="eastAsia"/>
          <w:color w:val="000000"/>
          <w:sz w:val="24"/>
        </w:rPr>
        <w:t>经理重点监控。</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加强施工过程中的动态</w:t>
      </w:r>
      <w:r>
        <w:rPr>
          <w:rFonts w:ascii="宋体" w:hAnsi="宋体" w:hint="eastAsia"/>
          <w:color w:val="000000"/>
          <w:sz w:val="24"/>
          <w:lang w:eastAsia="zh-CN"/>
        </w:rPr>
        <w:t>管理管控</w:t>
      </w:r>
      <w:r>
        <w:rPr>
          <w:rFonts w:ascii="宋体" w:eastAsia="宋体" w:hAnsi="宋体" w:hint="eastAsia"/>
          <w:color w:val="000000"/>
          <w:sz w:val="24"/>
        </w:rPr>
        <w:t>，合理安排劳动力和施工设备的投入，在确保每道工序工程质量的前提下，立足抢时间，争速度，科学的组织流水及交叉施工，严格劳动纪律，严肃施工调度命令，有</w:t>
      </w:r>
      <w:r>
        <w:rPr>
          <w:rFonts w:ascii="宋体" w:hAnsi="宋体" w:hint="eastAsia"/>
          <w:color w:val="000000"/>
          <w:sz w:val="24"/>
          <w:lang w:eastAsia="zh-CN"/>
        </w:rPr>
        <w:t>相关计划</w:t>
      </w:r>
      <w:r>
        <w:rPr>
          <w:rFonts w:ascii="宋体" w:eastAsia="宋体" w:hAnsi="宋体" w:hint="eastAsia"/>
          <w:color w:val="000000"/>
          <w:sz w:val="24"/>
        </w:rPr>
        <w:t>、有目标的严格</w:t>
      </w:r>
      <w:r>
        <w:rPr>
          <w:rFonts w:ascii="宋体" w:hAnsi="宋体" w:hint="eastAsia"/>
          <w:color w:val="000000"/>
          <w:sz w:val="24"/>
          <w:lang w:eastAsia="zh-CN"/>
        </w:rPr>
        <w:t>管理管控</w:t>
      </w:r>
      <w:r>
        <w:rPr>
          <w:rFonts w:ascii="宋体" w:eastAsia="宋体" w:hAnsi="宋体" w:hint="eastAsia"/>
          <w:color w:val="000000"/>
          <w:sz w:val="24"/>
        </w:rPr>
        <w:t>分包单位，严格控制关键工序的施工工期，确保按期、优质、高效地完成工程施工任务。</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通过建设单位、设计单位、监理单位、分包单位等相关单位的工作和</w:t>
      </w:r>
      <w:r>
        <w:rPr>
          <w:rFonts w:ascii="宋体" w:hAnsi="宋体" w:hint="eastAsia"/>
          <w:color w:val="000000"/>
          <w:sz w:val="24"/>
          <w:lang w:eastAsia="zh-CN"/>
        </w:rPr>
        <w:t>管理管控</w:t>
      </w:r>
      <w:r>
        <w:rPr>
          <w:rFonts w:ascii="宋体" w:eastAsia="宋体" w:hAnsi="宋体" w:hint="eastAsia"/>
          <w:color w:val="000000"/>
          <w:sz w:val="24"/>
        </w:rPr>
        <w:t>，是否能实现工期、质量、安全、环保、节能、降低成本的关键之一。因此，为了保证这些目标的实现，首先组建施工</w:t>
      </w:r>
      <w:r>
        <w:rPr>
          <w:rFonts w:ascii="宋体" w:hAnsi="宋体" w:hint="eastAsia"/>
          <w:color w:val="000000"/>
          <w:sz w:val="24"/>
          <w:lang w:eastAsia="zh-CN"/>
        </w:rPr>
        <w:t>管理管控</w:t>
      </w:r>
      <w:r>
        <w:rPr>
          <w:rFonts w:ascii="宋体" w:eastAsia="宋体" w:hAnsi="宋体" w:hint="eastAsia"/>
          <w:color w:val="000000"/>
          <w:sz w:val="24"/>
        </w:rPr>
        <w:t>机构，制定相关规章制度，确保各相关单位的工作组织与协调。</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本工程的施工将充分考虑：总体工期、节点工期、各专业及分包施工插入点等时间上的要求；现场总平面布置、施工区段的划分、多专业工种施工等空间上要求；施工工序的衔接、交叉、配合等工艺上要求；施工劳动力、机械设备、材料、资金等资源上的要求等。我们将统筹考虑上述因素，同时发挥我方总承包</w:t>
      </w:r>
      <w:r>
        <w:rPr>
          <w:rFonts w:ascii="宋体" w:hAnsi="宋体" w:hint="eastAsia"/>
          <w:color w:val="000000"/>
          <w:sz w:val="24"/>
          <w:lang w:eastAsia="zh-CN"/>
        </w:rPr>
        <w:t>管理管控</w:t>
      </w:r>
      <w:r>
        <w:rPr>
          <w:rFonts w:ascii="宋体" w:eastAsia="宋体" w:hAnsi="宋体" w:hint="eastAsia"/>
          <w:color w:val="000000"/>
          <w:sz w:val="24"/>
        </w:rPr>
        <w:t>经验，进行合理布置，科学安排，以利于工程的顺利施工。</w:t>
      </w:r>
    </w:p>
    <w:p>
      <w:pPr>
        <w:pStyle w:val="ListParagraph"/>
        <w:widowControl/>
        <w:numPr>
          <w:ilvl w:val="1"/>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时间上的部署原则——考虑季节施工因素</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根据工程总工期要求、开工时间及工程形象进度，考虑季节因素对施工的影响，统筹兼顾，提前综合安排施工作业，过程中动态调整，尽量避开不利于施工的天气影响，以保证工程质量。</w:t>
      </w:r>
    </w:p>
    <w:p>
      <w:pPr>
        <w:pStyle w:val="ListParagraph"/>
        <w:widowControl/>
        <w:numPr>
          <w:ilvl w:val="1"/>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空间上的部署原则——考虑立体交叉施工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在施工过程中，根据工程特点及周边环境条件，综合考虑工程工期、质量、劳动力、周转材料、中小型机械、临时设施等资源投入情况，组织分阶段分重点进行施工。施工期间，平面分区段，立体分流水，交叉作业。合理组织，保证施工的连续性、均衡性、节奏性，做好分阶段验收安排。提前插入设备专业安装的施工。</w:t>
      </w:r>
    </w:p>
    <w:p>
      <w:pPr>
        <w:pStyle w:val="ListParagraph"/>
        <w:widowControl/>
        <w:numPr>
          <w:ilvl w:val="1"/>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工艺上的部署原则——考虑分部流程</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针对工程的实际情况，按先结构后建筑，先主体后装修，从下到上的施工顺序进行施工，为确保施工工期，充分考虑分项工程验收对下道工序是施工影响，做到各分部工程衔接妥当。</w:t>
      </w:r>
    </w:p>
    <w:p>
      <w:pPr>
        <w:pStyle w:val="ListParagraph"/>
        <w:widowControl/>
        <w:numPr>
          <w:ilvl w:val="1"/>
          <w:numId w:val="5"/>
        </w:numPr>
        <w:suppressAutoHyphens/>
        <w:spacing w:line="360" w:lineRule="auto"/>
        <w:ind w:left="0" w:firstLine="240" w:firstLineChars="100"/>
        <w:jc w:val="left"/>
        <w:rPr>
          <w:rFonts w:ascii="宋体" w:eastAsia="宋体" w:hAnsi="宋体"/>
          <w:color w:val="000000"/>
          <w:sz w:val="24"/>
        </w:rPr>
        <w:sectPr>
          <w:headerReference w:type="default" r:id="rId18"/>
          <w:footerReference w:type="default" r:id="rId19"/>
          <w:type w:val="nextPage"/>
          <w:pgSz w:w="11906" w:h="16838"/>
          <w:pgMar w:top="1440" w:right="1701" w:bottom="1440" w:left="1701" w:header="850" w:footer="992" w:gutter="0"/>
          <w:pgNumType w:start="5"/>
          <w:cols w:num="1" w:space="425"/>
          <w:titlePg w:val="0"/>
          <w:docGrid w:type="lines" w:linePitch="312" w:charSpace="0"/>
        </w:sectPr>
      </w:pPr>
      <w:r>
        <w:rPr>
          <w:rFonts w:ascii="宋体" w:eastAsia="宋体" w:hAnsi="宋体" w:hint="eastAsia"/>
          <w:color w:val="000000"/>
          <w:sz w:val="24"/>
        </w:rPr>
        <w:t>施工总平面布置原则——坚持阶段性、适用性、灵活性及可调整性兼顾的原则。</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科学合理布置施工现场用地范围内的临时设施、运输道路、临时用水、临时用电等，立足紧凑性和可移换性，以施工总进度</w:t>
      </w:r>
      <w:r>
        <w:rPr>
          <w:rFonts w:ascii="宋体" w:hAnsi="宋体" w:hint="eastAsia"/>
          <w:color w:val="000000"/>
          <w:sz w:val="24"/>
          <w:lang w:eastAsia="zh-CN"/>
        </w:rPr>
        <w:t>相关计划</w:t>
      </w:r>
      <w:r>
        <w:rPr>
          <w:rFonts w:ascii="宋体" w:eastAsia="宋体" w:hAnsi="宋体" w:hint="eastAsia"/>
          <w:color w:val="000000"/>
          <w:sz w:val="24"/>
        </w:rPr>
        <w:t>为依据进行阶段性调整。最大限度地减小楼外用地，做到投入最低，收效最大，经济适用。</w:t>
      </w:r>
    </w:p>
    <w:p>
      <w:pPr>
        <w:pStyle w:val="ListParagraph"/>
        <w:widowControl/>
        <w:numPr>
          <w:ilvl w:val="1"/>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施工资源部署原则——考虑人、机、材的合理配置</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根据该工程的重要性，公司将选派高素质的专业</w:t>
      </w:r>
      <w:r>
        <w:rPr>
          <w:rFonts w:ascii="宋体" w:hAnsi="宋体" w:hint="eastAsia"/>
          <w:color w:val="000000"/>
          <w:sz w:val="24"/>
          <w:lang w:eastAsia="zh-CN"/>
        </w:rPr>
        <w:t>管理管控</w:t>
      </w:r>
      <w:r>
        <w:rPr>
          <w:rFonts w:ascii="宋体" w:eastAsia="宋体" w:hAnsi="宋体" w:hint="eastAsia"/>
          <w:color w:val="000000"/>
          <w:sz w:val="24"/>
        </w:rPr>
        <w:t>人员，选用以往曾施工过类似工程和屡获优质工程奖的施工队伍，组建成一个优秀的</w:t>
      </w:r>
      <w:r>
        <w:rPr>
          <w:rFonts w:ascii="宋体" w:hAnsi="宋体" w:hint="eastAsia"/>
          <w:color w:val="000000"/>
          <w:sz w:val="24"/>
          <w:lang w:eastAsia="zh-CN"/>
        </w:rPr>
        <w:t>相关项目</w:t>
      </w:r>
      <w:r>
        <w:rPr>
          <w:rFonts w:ascii="宋体" w:eastAsia="宋体" w:hAnsi="宋体" w:hint="eastAsia"/>
          <w:color w:val="000000"/>
          <w:sz w:val="24"/>
        </w:rPr>
        <w:t>团队。</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本公司强大的资金实力，是工程资金有效运转的坚强后盾。本公司将为本工程设立专用账户，专款专用。确保工程资金有效利用。</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为保证工程质量，材料、设备采用社会公开招标，阳光</w:t>
      </w:r>
      <w:r>
        <w:rPr>
          <w:rFonts w:ascii="宋体" w:hAnsi="宋体" w:hint="eastAsia"/>
          <w:color w:val="000000"/>
          <w:sz w:val="24"/>
          <w:lang w:eastAsia="zh-CN"/>
        </w:rPr>
        <w:t>管理管控</w:t>
      </w:r>
      <w:r>
        <w:rPr>
          <w:rFonts w:ascii="宋体" w:eastAsia="宋体" w:hAnsi="宋体" w:hint="eastAsia"/>
          <w:color w:val="000000"/>
          <w:sz w:val="24"/>
        </w:rPr>
        <w:t>，优选资质条件符合、实力雄厚、信誉良好的生产厂家，作为本工程的供应商。</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材料设备进场采用业主、监理、设计对照样板联合验收，从源头上进行控制，确保工程总体质量目标实现。</w:t>
      </w:r>
    </w:p>
    <w:p>
      <w:pPr>
        <w:pStyle w:val="ListParagraph"/>
        <w:widowControl/>
        <w:numPr>
          <w:ilvl w:val="1"/>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制定</w:t>
      </w:r>
      <w:r>
        <w:rPr>
          <w:rFonts w:ascii="宋体" w:hAnsi="宋体" w:hint="eastAsia"/>
          <w:color w:val="000000"/>
          <w:sz w:val="24"/>
          <w:lang w:eastAsia="zh-CN"/>
        </w:rPr>
        <w:t>相关项目管理管控</w:t>
      </w:r>
      <w:r>
        <w:rPr>
          <w:rFonts w:ascii="宋体" w:eastAsia="宋体" w:hAnsi="宋体" w:hint="eastAsia"/>
          <w:color w:val="000000"/>
          <w:sz w:val="24"/>
        </w:rPr>
        <w:t>制度</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制定图纸会审、图纸交底制度</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在正式施工之前，</w:t>
      </w:r>
      <w:r>
        <w:rPr>
          <w:rFonts w:ascii="宋体" w:hAnsi="宋体" w:hint="eastAsia"/>
          <w:color w:val="000000"/>
          <w:sz w:val="24"/>
          <w:lang w:eastAsia="zh-CN"/>
        </w:rPr>
        <w:t>相关项目</w:t>
      </w:r>
      <w:r>
        <w:rPr>
          <w:rFonts w:ascii="宋体" w:eastAsia="宋体" w:hAnsi="宋体" w:hint="eastAsia"/>
          <w:color w:val="000000"/>
          <w:sz w:val="24"/>
        </w:rPr>
        <w:t>经理部工程部、技术部和物资设备部的人员核对图纸，参加由建设单位组织的图纸会审、图纸交底会，会中确定的</w:t>
      </w:r>
      <w:r>
        <w:rPr>
          <w:rFonts w:ascii="宋体" w:hAnsi="宋体" w:hint="eastAsia"/>
          <w:color w:val="000000"/>
          <w:sz w:val="24"/>
          <w:lang w:eastAsia="zh-CN"/>
        </w:rPr>
        <w:t>合适的内容</w:t>
      </w:r>
      <w:r>
        <w:rPr>
          <w:rFonts w:ascii="宋体" w:eastAsia="宋体" w:hAnsi="宋体" w:hint="eastAsia"/>
          <w:color w:val="000000"/>
          <w:sz w:val="24"/>
        </w:rPr>
        <w:t>形成第一份施工文件。确保工程顺利开始。</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由建设单位及时组织二次设计单位对施工单位的设计和图纸交底。</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建立周例会制度</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在每周的固定时间召开由监理主持，建设单位、设计单位、施工单位参与的周例会，会中商讨一周的工程施工和配合情况，解决问题。由于设计单位参加，可以将一周内的问题在召开周例会时，统一办理洽商。</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若遇到急需解决的事情，可以立即找业主、设计、监理商讨解决。</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制定专题讨论会议制度</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遇到较大问题时，建设单位、设计单位、监理单位、施工单位、共同商议解决。</w:t>
      </w:r>
    </w:p>
    <w:p>
      <w:pPr>
        <w:pStyle w:val="ListParagraph"/>
        <w:widowControl/>
        <w:numPr>
          <w:ilvl w:val="2"/>
          <w:numId w:val="5"/>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制定考察制度</w:t>
      </w:r>
    </w:p>
    <w:p>
      <w:pPr>
        <w:pStyle w:val="Normal0"/>
        <w:widowControl/>
        <w:suppressAutoHyphens/>
        <w:spacing w:line="360" w:lineRule="auto"/>
        <w:ind w:firstLine="240" w:firstLineChars="100"/>
        <w:jc w:val="left"/>
        <w:rPr>
          <w:rFonts w:ascii="宋体" w:hAnsi="宋体"/>
          <w:color w:val="000000"/>
          <w:sz w:val="24"/>
        </w:rPr>
        <w:sectPr>
          <w:headerReference w:type="default" r:id="rId20"/>
          <w:footerReference w:type="default" r:id="rId21"/>
          <w:type w:val="nextPage"/>
          <w:pgSz w:w="11906" w:h="16838"/>
          <w:pgMar w:top="1440" w:right="1701" w:bottom="1440" w:left="1701" w:header="850" w:footer="992" w:gutter="0"/>
          <w:pgNumType w:start="6"/>
          <w:cols w:num="1" w:space="425"/>
          <w:titlePg w:val="0"/>
          <w:docGrid w:type="lines" w:linePitch="312" w:charSpace="0"/>
        </w:sectPr>
      </w:pPr>
      <w:r>
        <w:rPr>
          <w:rFonts w:ascii="宋体" w:eastAsia="宋体" w:hAnsi="宋体" w:hint="eastAsia"/>
          <w:color w:val="000000"/>
          <w:sz w:val="24"/>
        </w:rPr>
        <w:t>制定考察制度，组织建设单位、监理单位共同对主要分供方进行考察，经过综合评比，最终选定合格、满意的分供方。</w:t>
      </w:r>
    </w:p>
    <w:p>
      <w:pPr>
        <w:pStyle w:val="BZ2"/>
        <w:rPr>
          <w:rFonts w:ascii="宋体" w:eastAsia="宋体" w:hAnsi="宋体"/>
        </w:rPr>
      </w:pPr>
      <w:bookmarkStart w:id="20" w:name="_Toc491077881"/>
      <w:r>
        <w:rPr>
          <w:rFonts w:ascii="宋体" w:eastAsia="宋体" w:hAnsi="宋体" w:hint="eastAsia"/>
        </w:rPr>
        <w:t>施工顺序及空间部署</w:t>
      </w:r>
      <w:bookmarkEnd w:id="20"/>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整体施工顺序以确保工期为原则，充分估计可能出现的各种困难，各专业穿插施工带来的影响以及难以预测的因素，因此，在施工安排上，要立足一切向前赶，即组织工人在允许的工作时间内连续施工，充分利用有限的时间。在施工的平面和立面的流向上，同时展开施工，尽可能利用施工空间。</w:t>
      </w:r>
    </w:p>
    <w:p>
      <w:pPr>
        <w:pStyle w:val="Normal0"/>
        <w:widowControl/>
        <w:suppressAutoHyphens/>
        <w:spacing w:before="240" w:line="300" w:lineRule="auto"/>
        <w:ind w:firstLine="480" w:firstLineChars="200"/>
        <w:rPr>
          <w:rFonts w:ascii="宋体" w:hAnsi="宋体"/>
          <w:b/>
          <w:color w:val="000000"/>
          <w:sz w:val="24"/>
        </w:rPr>
      </w:pPr>
      <w:r>
        <w:rPr>
          <w:rFonts w:ascii="宋体" w:eastAsia="宋体" w:hAnsi="宋体" w:hint="eastAsia"/>
          <w:b/>
          <w:color w:val="000000"/>
          <w:sz w:val="24"/>
        </w:rPr>
        <w:t>拆除→排渣换土→土方开挖→场地平整→铺装工程→绿化种植及养护→配套设施安装</w:t>
      </w:r>
    </w:p>
    <w:p>
      <w:pPr>
        <w:pStyle w:val="BZ2"/>
        <w:rPr>
          <w:rFonts w:ascii="宋体" w:eastAsia="宋体" w:hAnsi="宋体"/>
        </w:rPr>
      </w:pPr>
      <w:r>
        <w:rPr>
          <w:rFonts w:ascii="宋体" w:eastAsia="宋体" w:hAnsi="宋体" w:hint="eastAsia"/>
        </w:rPr>
        <w:t xml:space="preserve"> </w:t>
      </w:r>
      <w:bookmarkStart w:id="21" w:name="_Toc491077882"/>
      <w:r>
        <w:rPr>
          <w:rFonts w:ascii="宋体" w:eastAsia="宋体" w:hAnsi="宋体" w:hint="eastAsia"/>
        </w:rPr>
        <w:t>重点难点分析</w:t>
      </w:r>
      <w:bookmarkEnd w:id="21"/>
    </w:p>
    <w:p>
      <w:pPr>
        <w:pStyle w:val="ListParagraph"/>
        <w:widowControl/>
        <w:numPr>
          <w:ilvl w:val="1"/>
          <w:numId w:val="21"/>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工程特点</w:t>
      </w:r>
    </w:p>
    <w:p>
      <w:pPr>
        <w:pStyle w:val="Normal0"/>
        <w:widowControl/>
        <w:suppressAutoHyphens/>
        <w:spacing w:before="240" w:line="300" w:lineRule="auto"/>
        <w:ind w:firstLine="480" w:firstLineChars="200"/>
        <w:rPr>
          <w:rFonts w:ascii="宋体" w:hAnsi="宋体"/>
          <w:color w:val="000000"/>
          <w:kern w:val="0"/>
          <w:sz w:val="24"/>
        </w:rPr>
      </w:pPr>
      <w:r>
        <w:rPr>
          <w:rFonts w:ascii="宋体" w:eastAsia="宋体" w:hAnsi="宋体" w:hint="eastAsia"/>
          <w:color w:val="000000"/>
          <w:sz w:val="24"/>
        </w:rPr>
        <w:t>该工程设有园建、</w:t>
      </w:r>
      <w:r>
        <w:rPr>
          <w:rFonts w:ascii="宋体" w:eastAsia="宋体" w:hAnsi="宋体" w:hint="eastAsia"/>
          <w:color w:val="000000"/>
          <w:kern w:val="0"/>
          <w:sz w:val="24"/>
        </w:rPr>
        <w:t>绿化、换土、铺装工程等。</w:t>
      </w:r>
    </w:p>
    <w:p>
      <w:pPr>
        <w:pStyle w:val="ListParagraph"/>
        <w:widowControl/>
        <w:numPr>
          <w:ilvl w:val="1"/>
          <w:numId w:val="21"/>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工程重点、难点分析</w:t>
      </w:r>
    </w:p>
    <w:p>
      <w:pPr>
        <w:pStyle w:val="ListParagraph"/>
        <w:widowControl/>
        <w:numPr>
          <w:ilvl w:val="2"/>
          <w:numId w:val="21"/>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定位放线：该工程有栽植及客体喷播等不同施工单元，各单元之间相互穿插，重叠，因此定位放线尤为关键。标高控制要根据已经完成的控制点标高进行控制</w:t>
      </w:r>
    </w:p>
    <w:p>
      <w:pPr>
        <w:pStyle w:val="ListParagraph"/>
        <w:widowControl/>
        <w:numPr>
          <w:ilvl w:val="2"/>
          <w:numId w:val="21"/>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在组织施工上，如何合理安排是保证质量和进度的重要因素。</w:t>
      </w:r>
    </w:p>
    <w:p>
      <w:pPr>
        <w:pStyle w:val="ListParagraph"/>
        <w:widowControl/>
        <w:numPr>
          <w:ilvl w:val="2"/>
          <w:numId w:val="21"/>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地下水、电管线保护：为了防止施工过程中对原水管电线等设施的破坏带来不必要的影响，在施工过程中我方把地下管网部分也列入了工程重点保护。</w:t>
      </w:r>
    </w:p>
    <w:p>
      <w:pPr>
        <w:pStyle w:val="ListParagraph"/>
        <w:widowControl/>
        <w:numPr>
          <w:ilvl w:val="2"/>
          <w:numId w:val="21"/>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由于本工程处于居民区附近，白天施工对噪声的要求比较高，人员比较多要合理确定施工顺序分片分段施工。</w:t>
      </w:r>
    </w:p>
    <w:p>
      <w:pPr>
        <w:pStyle w:val="BZ2"/>
        <w:rPr>
          <w:rFonts w:ascii="宋体" w:eastAsia="宋体" w:hAnsi="宋体"/>
        </w:rPr>
      </w:pPr>
      <w:r>
        <w:rPr>
          <w:rFonts w:ascii="宋体" w:eastAsia="宋体" w:hAnsi="宋体" w:hint="eastAsia"/>
        </w:rPr>
        <w:t xml:space="preserve"> </w:t>
      </w:r>
      <w:bookmarkStart w:id="22" w:name="_Toc491077883"/>
      <w:r>
        <w:rPr>
          <w:rFonts w:ascii="宋体" w:eastAsia="宋体" w:hAnsi="宋体" w:hint="eastAsia"/>
          <w:lang w:eastAsia="zh-CN"/>
        </w:rPr>
        <w:t>相关项目</w:t>
      </w:r>
      <w:r>
        <w:rPr>
          <w:rFonts w:ascii="宋体" w:eastAsia="宋体" w:hAnsi="宋体" w:hint="eastAsia"/>
        </w:rPr>
        <w:t>组织机构及</w:t>
      </w:r>
      <w:r>
        <w:rPr>
          <w:rFonts w:ascii="宋体" w:eastAsia="宋体" w:hAnsi="宋体" w:hint="eastAsia"/>
          <w:lang w:eastAsia="zh-CN"/>
        </w:rPr>
        <w:t>管理管控</w:t>
      </w:r>
      <w:r>
        <w:rPr>
          <w:rFonts w:ascii="宋体" w:eastAsia="宋体" w:hAnsi="宋体" w:hint="eastAsia"/>
        </w:rPr>
        <w:t>职责</w:t>
      </w:r>
      <w:bookmarkEnd w:id="22"/>
    </w:p>
    <w:p>
      <w:pPr>
        <w:pStyle w:val="Normal0"/>
        <w:widowControl/>
        <w:suppressAutoHyphens/>
        <w:spacing w:line="360" w:lineRule="auto"/>
        <w:ind w:firstLine="240" w:firstLineChars="100"/>
        <w:jc w:val="left"/>
        <w:rPr>
          <w:rFonts w:ascii="宋体" w:hAnsi="宋体"/>
          <w:color w:val="000000"/>
          <w:sz w:val="24"/>
        </w:rPr>
        <w:sectPr>
          <w:headerReference w:type="default" r:id="rId22"/>
          <w:footerReference w:type="default" r:id="rId23"/>
          <w:type w:val="nextPage"/>
          <w:pgSz w:w="11906" w:h="16838"/>
          <w:pgMar w:top="1440" w:right="1701" w:bottom="1440" w:left="1701" w:header="850" w:footer="992" w:gutter="0"/>
          <w:pgNumType w:start="7"/>
          <w:cols w:num="1" w:space="425"/>
          <w:titlePg w:val="0"/>
          <w:docGrid w:type="lines" w:linePitch="312" w:charSpace="0"/>
        </w:sectPr>
      </w:pPr>
      <w:r>
        <w:rPr>
          <w:rFonts w:ascii="宋体" w:eastAsia="宋体" w:hAnsi="宋体" w:hint="eastAsia"/>
          <w:color w:val="000000"/>
          <w:sz w:val="24"/>
        </w:rPr>
        <w:t>为了响应招标文件的要求和实现工期、质量、安全、环保、节能、降低成本的目的，公司选派一支强有力的现场指挥机构，调集一批具有“高、精、尖”的</w:t>
      </w:r>
      <w:r>
        <w:rPr>
          <w:rFonts w:ascii="宋体" w:hAnsi="宋体" w:hint="eastAsia"/>
          <w:color w:val="000000"/>
          <w:sz w:val="24"/>
          <w:lang w:eastAsia="zh-CN"/>
        </w:rPr>
        <w:t>管理管控</w:t>
      </w:r>
      <w:r>
        <w:rPr>
          <w:rFonts w:ascii="宋体" w:eastAsia="宋体" w:hAnsi="宋体" w:hint="eastAsia"/>
          <w:color w:val="000000"/>
          <w:sz w:val="24"/>
        </w:rPr>
        <w:t>人员组成</w:t>
      </w:r>
      <w:r>
        <w:rPr>
          <w:rFonts w:ascii="宋体" w:hAnsi="宋体" w:hint="eastAsia"/>
          <w:color w:val="000000"/>
          <w:sz w:val="24"/>
          <w:lang w:eastAsia="zh-CN"/>
        </w:rPr>
        <w:t>相关项目</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部。遵循合理分工与密切协作、因事设职与因职选人的原则，建立技术水平高，施工经验丰富、有开拓精神、工作效率高的施工组织领导机构。对工程的总工期、总体质量、安全文明施工总造价和交付使用后的保修工作负责。在施工的全过程中，专业施工单位众多，在同一时间立体交叉施工，需要承包单位建立健全具有权力高度集中</w:t>
      </w:r>
      <w:r>
        <w:rPr>
          <w:rFonts w:ascii="宋体" w:hAnsi="宋体" w:hint="eastAsia"/>
          <w:color w:val="000000"/>
          <w:sz w:val="24"/>
          <w:lang w:eastAsia="zh-CN"/>
        </w:rPr>
        <w:t>管理管控</w:t>
      </w:r>
      <w:r>
        <w:rPr>
          <w:rFonts w:ascii="宋体" w:eastAsia="宋体" w:hAnsi="宋体" w:hint="eastAsia"/>
          <w:color w:val="000000"/>
          <w:sz w:val="24"/>
        </w:rPr>
        <w:t>机构来统一决策、统一指挥、统一部署、统一</w:t>
      </w:r>
      <w:r>
        <w:rPr>
          <w:rFonts w:ascii="宋体" w:hAnsi="宋体" w:hint="eastAsia"/>
          <w:color w:val="000000"/>
          <w:sz w:val="24"/>
          <w:lang w:eastAsia="zh-CN"/>
        </w:rPr>
        <w:t>相关计划</w:t>
      </w:r>
      <w:r>
        <w:rPr>
          <w:rFonts w:ascii="宋体" w:eastAsia="宋体" w:hAnsi="宋体" w:hint="eastAsia"/>
          <w:color w:val="000000"/>
          <w:sz w:val="24"/>
        </w:rPr>
        <w:t>和统一</w:t>
      </w:r>
      <w:r>
        <w:rPr>
          <w:rFonts w:ascii="宋体" w:hAnsi="宋体" w:hint="eastAsia"/>
          <w:color w:val="000000"/>
          <w:sz w:val="24"/>
          <w:lang w:eastAsia="zh-CN"/>
        </w:rPr>
        <w:t>管理管控</w:t>
      </w:r>
      <w:r>
        <w:rPr>
          <w:rFonts w:ascii="宋体" w:eastAsia="宋体" w:hAnsi="宋体" w:hint="eastAsia"/>
          <w:color w:val="000000"/>
          <w:sz w:val="24"/>
        </w:rPr>
        <w:t>的指挥机构设在施工现场，形成统一行动的合力，共同完成承包的施工</w:t>
      </w:r>
      <w:r>
        <w:rPr>
          <w:rFonts w:ascii="宋体" w:hAnsi="宋体" w:hint="eastAsia"/>
          <w:color w:val="000000"/>
          <w:sz w:val="24"/>
          <w:lang w:eastAsia="zh-CN"/>
        </w:rPr>
        <w:t>相关项目</w:t>
      </w:r>
      <w:r>
        <w:rPr>
          <w:rFonts w:ascii="宋体" w:eastAsia="宋体" w:hAnsi="宋体" w:hint="eastAsia"/>
          <w:color w:val="000000"/>
          <w:sz w:val="24"/>
        </w:rPr>
        <w:t>。为实现工期与工程质量、安全文明施工目标，进行动态控制与</w:t>
      </w:r>
      <w:r>
        <w:rPr>
          <w:rFonts w:ascii="宋体" w:hAnsi="宋体" w:hint="eastAsia"/>
          <w:color w:val="000000"/>
          <w:sz w:val="24"/>
          <w:lang w:eastAsia="zh-CN"/>
        </w:rPr>
        <w:t>管理管控</w:t>
      </w:r>
      <w:r>
        <w:rPr>
          <w:rFonts w:ascii="宋体" w:eastAsia="宋体" w:hAnsi="宋体" w:hint="eastAsia"/>
          <w:color w:val="000000"/>
          <w:sz w:val="24"/>
        </w:rPr>
        <w:t>，作用于工程的高效和科学施工。</w:t>
      </w:r>
    </w:p>
    <w:p>
      <w:pPr>
        <w:pStyle w:val="ListParagraph"/>
        <w:widowControl/>
        <w:numPr>
          <w:ilvl w:val="1"/>
          <w:numId w:val="7"/>
        </w:numPr>
        <w:suppressAutoHyphens/>
        <w:spacing w:line="360" w:lineRule="auto"/>
        <w:ind w:left="0" w:firstLine="240" w:firstLineChars="100"/>
        <w:jc w:val="left"/>
        <w:rPr>
          <w:rFonts w:ascii="宋体" w:eastAsia="宋体" w:hAnsi="宋体"/>
          <w:color w:val="000000"/>
          <w:sz w:val="24"/>
        </w:rPr>
      </w:pPr>
      <w:r>
        <w:rPr>
          <w:rFonts w:ascii="宋体" w:hAnsi="宋体" w:hint="eastAsia"/>
          <w:color w:val="000000"/>
          <w:sz w:val="24"/>
          <w:lang w:eastAsia="zh-CN"/>
        </w:rPr>
        <w:t>相关项目</w:t>
      </w:r>
      <w:r>
        <w:rPr>
          <w:rFonts w:ascii="宋体" w:eastAsia="宋体" w:hAnsi="宋体" w:hint="eastAsia"/>
          <w:color w:val="000000"/>
          <w:sz w:val="24"/>
        </w:rPr>
        <w:t>组织机构图</w:t>
      </w:r>
    </w:p>
    <w:p>
      <w:pPr>
        <w:pStyle w:val="Normal0"/>
        <w:widowControl/>
        <w:suppressAutoHyphens/>
        <w:spacing w:before="240" w:line="300" w:lineRule="auto"/>
        <w:rPr>
          <w:rFonts w:ascii="宋体" w:hAnsi="宋体"/>
          <w:color w:val="000000"/>
          <w:sz w:val="24"/>
        </w:rPr>
      </w:pPr>
      <w:bookmarkStart w:id="23" w:name="_Toc188722433"/>
      <w:bookmarkStart w:id="24" w:name="_Toc188161840"/>
      <w:bookmarkStart w:id="25" w:name="_Toc188866656"/>
      <w:bookmarkStart w:id="26" w:name="_Toc188717876"/>
      <w:bookmarkStart w:id="27" w:name="_Toc73465250"/>
      <w:bookmarkStart w:id="28" w:name="_Toc199745056"/>
      <w:bookmarkStart w:id="29" w:name="_Toc199816719"/>
      <w:bookmarkStart w:id="30" w:name="_Toc188627637"/>
      <w:bookmarkStart w:id="31" w:name="_Toc188627614"/>
      <w:r>
        <w:rPr>
          <w:rFonts w:ascii="宋体" w:eastAsia="宋体" w:hAnsi="宋体" w:hint="eastAsia"/>
          <w:b/>
          <w:color w:val="000000"/>
          <w:sz w:val="24"/>
        </w:rPr>
        <w:tab/>
      </w:r>
      <w:bookmarkStart w:id="32" w:name="_Toc285368752"/>
      <w:r>
        <w:rPr>
          <w:rFonts w:ascii="宋体" w:eastAsia="宋体" w:hAnsi="宋体"/>
          <w:b/>
          <w:color w:val="00000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Users\Hudso\Desktop\1111.jpg" style="width:425.2pt;height:261.15pt" coordsize="21600,21600" o:preferrelative="t" filled="f" stroked="f">
            <v:stroke joinstyle="miter"/>
            <v:imagedata r:id="rId24" o:title=""/>
            <o:lock v:ext="edit" aspectratio="t"/>
            <w10:anchorlock/>
          </v:shape>
        </w:pict>
      </w:r>
    </w:p>
    <w:p>
      <w:pPr>
        <w:pStyle w:val="ListParagraph"/>
        <w:widowControl/>
        <w:numPr>
          <w:ilvl w:val="1"/>
          <w:numId w:val="7"/>
        </w:numPr>
        <w:suppressAutoHyphens/>
        <w:spacing w:line="360" w:lineRule="auto"/>
        <w:ind w:left="0" w:firstLine="240" w:firstLineChars="100"/>
        <w:jc w:val="left"/>
        <w:rPr>
          <w:rFonts w:ascii="宋体" w:eastAsia="宋体" w:hAnsi="宋体"/>
          <w:color w:val="000000"/>
          <w:sz w:val="24"/>
        </w:rPr>
      </w:pPr>
      <w:r>
        <w:rPr>
          <w:rFonts w:ascii="宋体" w:hAnsi="宋体" w:hint="eastAsia"/>
          <w:color w:val="000000"/>
          <w:sz w:val="24"/>
          <w:lang w:eastAsia="zh-CN"/>
        </w:rPr>
        <w:t>管理管控</w:t>
      </w:r>
      <w:r>
        <w:rPr>
          <w:rFonts w:ascii="宋体" w:eastAsia="宋体" w:hAnsi="宋体" w:hint="eastAsia"/>
          <w:color w:val="000000"/>
          <w:sz w:val="24"/>
        </w:rPr>
        <w:t>机构人员配备</w:t>
      </w:r>
    </w:p>
    <w:tbl>
      <w:tblPr>
        <w:tblStyle w:val="TableNorm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Grid>
        <w:gridCol w:w="778"/>
        <w:gridCol w:w="1754"/>
        <w:gridCol w:w="1962"/>
        <w:gridCol w:w="1402"/>
        <w:gridCol w:w="2824"/>
      </w:tblGrid>
      <w:tr>
        <w:tblPrEx>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Ex>
        <w:trPr>
          <w:trHeight w:val="397"/>
          <w:tblHeader/>
          <w:jc w:val="center"/>
        </w:trPr>
        <w:tc>
          <w:tcPr>
            <w:tcW w:w="446" w:type="pct"/>
            <w:tcBorders>
              <w:top w:val="single" w:sz="6" w:space="0" w:color="auto"/>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bookmarkEnd w:id="23"/>
            <w:bookmarkEnd w:id="24"/>
            <w:bookmarkEnd w:id="25"/>
            <w:bookmarkEnd w:id="26"/>
            <w:bookmarkEnd w:id="27"/>
            <w:bookmarkEnd w:id="28"/>
            <w:bookmarkEnd w:id="29"/>
            <w:bookmarkEnd w:id="30"/>
            <w:bookmarkEnd w:id="31"/>
            <w:bookmarkEnd w:id="32"/>
            <w:r>
              <w:rPr>
                <w:rFonts w:ascii="宋体" w:eastAsia="宋体" w:hAnsi="宋体" w:cs="Times New Roman" w:hint="eastAsia"/>
                <w:color w:val="000000"/>
                <w:kern w:val="2"/>
                <w:sz w:val="24"/>
                <w:szCs w:val="22"/>
                <w:lang w:val="en-US" w:eastAsia="zh-CN" w:bidi="ar-SA"/>
              </w:rPr>
              <w:t>序号</w:t>
            </w:r>
          </w:p>
        </w:tc>
        <w:tc>
          <w:tcPr>
            <w:tcW w:w="1006" w:type="pct"/>
            <w:tcBorders>
              <w:top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部门名称</w:t>
            </w:r>
          </w:p>
        </w:tc>
        <w:tc>
          <w:tcPr>
            <w:tcW w:w="1125" w:type="pct"/>
            <w:tcBorders>
              <w:top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岗位名称</w:t>
            </w:r>
          </w:p>
        </w:tc>
        <w:tc>
          <w:tcPr>
            <w:tcW w:w="804" w:type="pct"/>
            <w:tcBorders>
              <w:top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配备人数</w:t>
            </w:r>
          </w:p>
        </w:tc>
        <w:tc>
          <w:tcPr>
            <w:tcW w:w="1619" w:type="pct"/>
            <w:tcBorders>
              <w:top w:val="single" w:sz="6" w:space="0" w:color="auto"/>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备注</w:t>
            </w:r>
          </w:p>
        </w:tc>
      </w:tr>
      <w:tr>
        <w:tblPrEx>
          <w:tblW w:w="5000" w:type="pct"/>
          <w:jc w:val="center"/>
          <w:tblCellMar>
            <w:top w:w="0" w:type="dxa"/>
            <w:left w:w="108" w:type="dxa"/>
            <w:bottom w:w="0" w:type="dxa"/>
            <w:right w:w="108" w:type="dxa"/>
          </w:tblCellMar>
        </w:tblPrEx>
        <w:trPr>
          <w:trHeight w:val="397"/>
          <w:jc w:val="center"/>
        </w:trPr>
        <w:tc>
          <w:tcPr>
            <w:tcW w:w="446" w:type="pct"/>
            <w:vMerge w:val="restar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006" w:type="pct"/>
            <w:vMerge w:val="restar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hAnsi="宋体" w:cs="Times New Roman" w:hint="eastAsia"/>
                <w:color w:val="000000"/>
                <w:kern w:val="2"/>
                <w:sz w:val="24"/>
                <w:szCs w:val="22"/>
                <w:lang w:val="en-US" w:eastAsia="zh-CN" w:bidi="ar-SA"/>
              </w:rPr>
              <w:t>相关项目</w:t>
            </w:r>
            <w:r>
              <w:rPr>
                <w:rFonts w:ascii="宋体" w:eastAsia="宋体" w:hAnsi="宋体" w:cs="Times New Roman" w:hint="eastAsia"/>
                <w:color w:val="000000"/>
                <w:kern w:val="2"/>
                <w:sz w:val="24"/>
                <w:szCs w:val="22"/>
                <w:lang w:val="en-US" w:eastAsia="zh-CN" w:bidi="ar-SA"/>
              </w:rPr>
              <w:t>领导层</w:t>
            </w: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hAnsi="宋体" w:cs="Times New Roman" w:hint="eastAsia"/>
                <w:color w:val="000000"/>
                <w:kern w:val="2"/>
                <w:sz w:val="24"/>
                <w:szCs w:val="22"/>
                <w:lang w:val="en-US" w:eastAsia="zh-CN" w:bidi="ar-SA"/>
              </w:rPr>
              <w:t>相关项目</w:t>
            </w:r>
            <w:r>
              <w:rPr>
                <w:rFonts w:ascii="宋体" w:eastAsia="宋体" w:hAnsi="宋体" w:cs="Times New Roman" w:hint="eastAsia"/>
                <w:color w:val="000000"/>
                <w:kern w:val="2"/>
                <w:sz w:val="24"/>
                <w:szCs w:val="22"/>
                <w:lang w:val="en-US" w:eastAsia="zh-CN" w:bidi="ar-SA"/>
              </w:rPr>
              <w:t>经理</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hAnsi="宋体" w:cs="Times New Roman" w:hint="eastAsia"/>
                <w:color w:val="000000"/>
                <w:kern w:val="2"/>
                <w:sz w:val="24"/>
                <w:szCs w:val="22"/>
                <w:lang w:val="en-US" w:eastAsia="zh-CN" w:bidi="ar-SA"/>
              </w:rPr>
              <w:t>相关项目</w:t>
            </w:r>
            <w:r>
              <w:rPr>
                <w:rFonts w:ascii="宋体" w:eastAsia="宋体" w:hAnsi="宋体" w:cs="Times New Roman" w:hint="eastAsia"/>
                <w:color w:val="000000"/>
                <w:kern w:val="2"/>
                <w:sz w:val="24"/>
                <w:szCs w:val="22"/>
                <w:lang w:val="en-US" w:eastAsia="zh-CN" w:bidi="ar-SA"/>
              </w:rPr>
              <w:t>总工程师</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val="restar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2</w:t>
            </w:r>
          </w:p>
        </w:tc>
        <w:tc>
          <w:tcPr>
            <w:tcW w:w="1006" w:type="pct"/>
            <w:vMerge w:val="restar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工程部</w:t>
            </w: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工程部长</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tcBorders>
              <w:bottom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施工员</w:t>
            </w:r>
          </w:p>
        </w:tc>
        <w:tc>
          <w:tcPr>
            <w:tcW w:w="804" w:type="pct"/>
            <w:tcBorders>
              <w:bottom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2</w:t>
            </w:r>
          </w:p>
        </w:tc>
        <w:tc>
          <w:tcPr>
            <w:tcW w:w="1619" w:type="pct"/>
            <w:tcBorders>
              <w:bottom w:val="single" w:sz="4" w:space="0" w:color="auto"/>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25"/>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tcBorders>
              <w:top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档案资料员</w:t>
            </w:r>
          </w:p>
        </w:tc>
        <w:tc>
          <w:tcPr>
            <w:tcW w:w="804" w:type="pct"/>
            <w:tcBorders>
              <w:top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top w:val="single" w:sz="4" w:space="0" w:color="auto"/>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val="restar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3</w:t>
            </w:r>
          </w:p>
        </w:tc>
        <w:tc>
          <w:tcPr>
            <w:tcW w:w="1006" w:type="pct"/>
            <w:vMerge w:val="restar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质量部</w:t>
            </w: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质量部长</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质检员</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val="restar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4</w:t>
            </w:r>
          </w:p>
        </w:tc>
        <w:tc>
          <w:tcPr>
            <w:tcW w:w="1006" w:type="pct"/>
            <w:vMerge w:val="restar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安全环境部</w:t>
            </w: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安全部长</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安全员</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5</w:t>
            </w:r>
          </w:p>
        </w:tc>
        <w:tc>
          <w:tcPr>
            <w:tcW w:w="1006"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机电部</w:t>
            </w: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机电部长</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bl>
    <w:p>
      <w:pPr>
        <w:sectPr>
          <w:headerReference w:type="default" r:id="rId25"/>
          <w:footerReference w:type="default" r:id="rId26"/>
          <w:type w:val="nextPage"/>
          <w:pgSz w:w="11906" w:h="16838"/>
          <w:pgMar w:top="1440" w:right="1701" w:bottom="1440" w:left="1701" w:header="850" w:footer="992" w:gutter="0"/>
          <w:pgNumType w:start="8"/>
          <w:cols w:num="1" w:space="425"/>
          <w:titlePg w:val="0"/>
          <w:docGrid w:type="lines" w:linePitch="312" w:charSpace="0"/>
        </w:sectPr>
      </w:pPr>
    </w:p>
    <w:tbl>
      <w:tblPr>
        <w:tblStyle w:val="TableNorm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Grid>
        <w:gridCol w:w="778"/>
        <w:gridCol w:w="1754"/>
        <w:gridCol w:w="1962"/>
        <w:gridCol w:w="1402"/>
        <w:gridCol w:w="2824"/>
      </w:tblGrid>
      <w:tr>
        <w:tblPrEx>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Ex>
        <w:trPr>
          <w:trHeight w:val="397"/>
          <w:jc w:val="center"/>
        </w:trPr>
        <w:tc>
          <w:tcPr>
            <w:tcW w:w="446" w:type="pct"/>
            <w:vMerge w:val="restar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val="restart"/>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专业工程师</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val="restar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6</w:t>
            </w:r>
          </w:p>
        </w:tc>
        <w:tc>
          <w:tcPr>
            <w:tcW w:w="1006" w:type="pct"/>
            <w:vMerge w:val="restar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商务合约部</w:t>
            </w: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部门经理</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造价员</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val="restart"/>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7</w:t>
            </w:r>
          </w:p>
        </w:tc>
        <w:tc>
          <w:tcPr>
            <w:tcW w:w="1006" w:type="pct"/>
            <w:vMerge w:val="restar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物资设备</w:t>
            </w:r>
            <w:r>
              <w:rPr>
                <w:rFonts w:ascii="宋体" w:hAnsi="宋体" w:cs="Times New Roman" w:hint="eastAsia"/>
                <w:color w:val="000000"/>
                <w:kern w:val="2"/>
                <w:sz w:val="24"/>
                <w:szCs w:val="22"/>
                <w:lang w:val="en-US" w:eastAsia="zh-CN" w:bidi="ar-SA"/>
              </w:rPr>
              <w:t>管理管控</w:t>
            </w:r>
            <w:r>
              <w:rPr>
                <w:rFonts w:ascii="宋体" w:eastAsia="宋体" w:hAnsi="宋体" w:cs="Times New Roman" w:hint="eastAsia"/>
                <w:color w:val="000000"/>
                <w:kern w:val="2"/>
                <w:sz w:val="24"/>
                <w:szCs w:val="22"/>
                <w:lang w:val="en-US" w:eastAsia="zh-CN" w:bidi="ar-SA"/>
              </w:rPr>
              <w:t>部</w:t>
            </w:r>
          </w:p>
        </w:tc>
        <w:tc>
          <w:tcPr>
            <w:tcW w:w="1125"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物资部长</w:t>
            </w:r>
          </w:p>
        </w:tc>
        <w:tc>
          <w:tcPr>
            <w:tcW w:w="804" w:type="pct"/>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397"/>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tcBorders>
              <w:bottom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材料员</w:t>
            </w:r>
          </w:p>
        </w:tc>
        <w:tc>
          <w:tcPr>
            <w:tcW w:w="804" w:type="pct"/>
            <w:tcBorders>
              <w:bottom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1</w:t>
            </w:r>
          </w:p>
        </w:tc>
        <w:tc>
          <w:tcPr>
            <w:tcW w:w="1619" w:type="pct"/>
            <w:tcBorders>
              <w:bottom w:val="single" w:sz="4" w:space="0" w:color="auto"/>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r>
        <w:tblPrEx>
          <w:tblW w:w="5000" w:type="pct"/>
          <w:jc w:val="center"/>
          <w:tblCellMar>
            <w:top w:w="0" w:type="dxa"/>
            <w:left w:w="108" w:type="dxa"/>
            <w:bottom w:w="0" w:type="dxa"/>
            <w:right w:w="108" w:type="dxa"/>
          </w:tblCellMar>
        </w:tblPrEx>
        <w:trPr>
          <w:trHeight w:val="92"/>
          <w:jc w:val="center"/>
        </w:trPr>
        <w:tc>
          <w:tcPr>
            <w:tcW w:w="446" w:type="pct"/>
            <w:vMerge/>
            <w:tcBorders>
              <w:lef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006" w:type="pct"/>
            <w:vMerge/>
            <w:shd w:val="clear" w:color="auto" w:fill="auto"/>
            <w:vAlign w:val="center"/>
          </w:tcPr>
          <w:p>
            <w:pPr>
              <w:pStyle w:val="Normal0"/>
              <w:widowControl w:val="0"/>
              <w:adjustRightInd w:val="0"/>
              <w:snapToGrid w:val="0"/>
              <w:jc w:val="center"/>
              <w:rPr>
                <w:rFonts w:ascii="宋体" w:hAnsi="宋体" w:cs="Times New Roman"/>
                <w:color w:val="000000"/>
                <w:sz w:val="24"/>
              </w:rPr>
            </w:pPr>
          </w:p>
        </w:tc>
        <w:tc>
          <w:tcPr>
            <w:tcW w:w="1125" w:type="pct"/>
            <w:tcBorders>
              <w:top w:val="single" w:sz="4" w:space="0" w:color="auto"/>
              <w:bottom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设备</w:t>
            </w:r>
            <w:r>
              <w:rPr>
                <w:rFonts w:ascii="宋体" w:hAnsi="宋体" w:cs="Times New Roman" w:hint="eastAsia"/>
                <w:color w:val="000000"/>
                <w:kern w:val="2"/>
                <w:sz w:val="24"/>
                <w:szCs w:val="22"/>
                <w:lang w:val="en-US" w:eastAsia="zh-CN" w:bidi="ar-SA"/>
              </w:rPr>
              <w:t>管理管控</w:t>
            </w:r>
            <w:r>
              <w:rPr>
                <w:rFonts w:ascii="宋体" w:eastAsia="宋体" w:hAnsi="宋体" w:cs="Times New Roman" w:hint="eastAsia"/>
                <w:color w:val="000000"/>
                <w:kern w:val="2"/>
                <w:sz w:val="24"/>
                <w:szCs w:val="22"/>
                <w:lang w:val="en-US" w:eastAsia="zh-CN" w:bidi="ar-SA"/>
              </w:rPr>
              <w:t>员</w:t>
            </w:r>
          </w:p>
        </w:tc>
        <w:tc>
          <w:tcPr>
            <w:tcW w:w="804" w:type="pct"/>
            <w:tcBorders>
              <w:top w:val="single" w:sz="4" w:space="0" w:color="auto"/>
              <w:bottom w:val="single" w:sz="4"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r>
              <w:rPr>
                <w:rFonts w:ascii="宋体" w:eastAsia="宋体" w:hAnsi="宋体" w:cs="Times New Roman" w:hint="eastAsia"/>
                <w:color w:val="000000"/>
                <w:kern w:val="2"/>
                <w:sz w:val="24"/>
                <w:szCs w:val="22"/>
                <w:lang w:val="en-US" w:eastAsia="zh-CN" w:bidi="ar-SA"/>
              </w:rPr>
              <w:t>2</w:t>
            </w:r>
          </w:p>
        </w:tc>
        <w:tc>
          <w:tcPr>
            <w:tcW w:w="1619" w:type="pct"/>
            <w:tcBorders>
              <w:top w:val="single" w:sz="4" w:space="0" w:color="auto"/>
              <w:bottom w:val="single" w:sz="4" w:space="0" w:color="auto"/>
              <w:right w:val="single" w:sz="6" w:space="0" w:color="auto"/>
            </w:tcBorders>
            <w:shd w:val="clear" w:color="auto" w:fill="auto"/>
            <w:vAlign w:val="center"/>
          </w:tcPr>
          <w:p>
            <w:pPr>
              <w:pStyle w:val="Normal0"/>
              <w:widowControl w:val="0"/>
              <w:adjustRightInd w:val="0"/>
              <w:snapToGrid w:val="0"/>
              <w:jc w:val="center"/>
              <w:rPr>
                <w:rFonts w:ascii="宋体" w:hAnsi="宋体" w:cs="Times New Roman"/>
                <w:color w:val="000000"/>
                <w:sz w:val="24"/>
              </w:rPr>
            </w:pPr>
          </w:p>
        </w:tc>
      </w:tr>
    </w:tbl>
    <w:p>
      <w:pPr>
        <w:pStyle w:val="ListParagraph"/>
        <w:widowControl/>
        <w:numPr>
          <w:ilvl w:val="1"/>
          <w:numId w:val="7"/>
        </w:numPr>
        <w:suppressAutoHyphens/>
        <w:spacing w:line="360" w:lineRule="auto"/>
        <w:ind w:left="0" w:firstLine="240" w:firstLineChars="100"/>
        <w:jc w:val="left"/>
        <w:rPr>
          <w:rFonts w:ascii="宋体" w:eastAsia="宋体" w:hAnsi="宋体"/>
          <w:color w:val="000000"/>
          <w:sz w:val="24"/>
        </w:rPr>
      </w:pPr>
      <w:bookmarkStart w:id="33" w:name="_Toc109717301"/>
      <w:bookmarkStart w:id="34" w:name="_Toc202368916"/>
      <w:r>
        <w:rPr>
          <w:rFonts w:ascii="宋体" w:eastAsia="宋体" w:hAnsi="宋体" w:hint="eastAsia"/>
          <w:color w:val="000000"/>
          <w:sz w:val="24"/>
        </w:rPr>
        <w:t>各职能部门职责</w:t>
      </w:r>
    </w:p>
    <w:p>
      <w:pPr>
        <w:pStyle w:val="ListParagraph"/>
        <w:widowControl/>
        <w:numPr>
          <w:ilvl w:val="2"/>
          <w:numId w:val="7"/>
        </w:numPr>
        <w:suppressAutoHyphens/>
        <w:spacing w:line="360" w:lineRule="auto"/>
        <w:ind w:left="0" w:firstLine="240" w:firstLineChars="100"/>
        <w:jc w:val="left"/>
        <w:rPr>
          <w:rFonts w:ascii="宋体" w:eastAsia="宋体" w:hAnsi="宋体"/>
          <w:color w:val="000000"/>
          <w:sz w:val="24"/>
        </w:rPr>
      </w:pPr>
      <w:r>
        <w:rPr>
          <w:rFonts w:ascii="宋体" w:hAnsi="宋体" w:hint="eastAsia"/>
          <w:color w:val="000000"/>
          <w:sz w:val="24"/>
          <w:lang w:eastAsia="zh-CN"/>
        </w:rPr>
        <w:t>相关项目</w:t>
      </w:r>
      <w:r>
        <w:rPr>
          <w:rFonts w:ascii="宋体" w:eastAsia="宋体" w:hAnsi="宋体" w:hint="eastAsia"/>
          <w:color w:val="000000"/>
          <w:sz w:val="24"/>
        </w:rPr>
        <w:t>经理部职责</w:t>
      </w:r>
      <w:bookmarkEnd w:id="33"/>
      <w:bookmarkEnd w:id="34"/>
    </w:p>
    <w:p>
      <w:pPr>
        <w:pStyle w:val="Normal0"/>
        <w:widowControl/>
        <w:suppressAutoHyphens/>
        <w:spacing w:line="360" w:lineRule="auto"/>
        <w:ind w:firstLine="240" w:firstLineChars="100"/>
        <w:jc w:val="left"/>
        <w:rPr>
          <w:rFonts w:ascii="宋体" w:hAnsi="宋体"/>
          <w:color w:val="000000"/>
          <w:sz w:val="24"/>
        </w:rPr>
      </w:pPr>
      <w:r>
        <w:rPr>
          <w:rFonts w:ascii="宋体" w:hAnsi="宋体" w:hint="eastAsia"/>
          <w:color w:val="000000"/>
          <w:sz w:val="24"/>
          <w:lang w:eastAsia="zh-CN"/>
        </w:rPr>
        <w:t>相关项目</w:t>
      </w:r>
      <w:r>
        <w:rPr>
          <w:rFonts w:ascii="宋体" w:eastAsia="宋体" w:hAnsi="宋体" w:hint="eastAsia"/>
          <w:color w:val="000000"/>
          <w:sz w:val="24"/>
        </w:rPr>
        <w:t>经理：直接受业主、监理指令并对业主负责，对专业分包商进行</w:t>
      </w:r>
      <w:r>
        <w:rPr>
          <w:rFonts w:ascii="宋体" w:hAnsi="宋体" w:hint="eastAsia"/>
          <w:color w:val="000000"/>
          <w:sz w:val="24"/>
          <w:lang w:eastAsia="zh-CN"/>
        </w:rPr>
        <w:t>管理管控</w:t>
      </w:r>
      <w:r>
        <w:rPr>
          <w:rFonts w:ascii="宋体" w:eastAsia="宋体" w:hAnsi="宋体" w:hint="eastAsia"/>
          <w:color w:val="000000"/>
          <w:sz w:val="24"/>
        </w:rPr>
        <w:t>和协调，对工程的质量、安全、进度负责。</w:t>
      </w:r>
    </w:p>
    <w:p>
      <w:pPr>
        <w:pStyle w:val="ListParagraph"/>
        <w:widowControl/>
        <w:numPr>
          <w:ilvl w:val="2"/>
          <w:numId w:val="7"/>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工程部：负责重大技术</w:t>
      </w:r>
      <w:r>
        <w:rPr>
          <w:rFonts w:ascii="宋体" w:hAnsi="宋体" w:hint="eastAsia"/>
          <w:color w:val="000000"/>
          <w:sz w:val="24"/>
          <w:lang w:eastAsia="zh-CN"/>
        </w:rPr>
        <w:t>合适的方案</w:t>
      </w:r>
      <w:r>
        <w:rPr>
          <w:rFonts w:ascii="宋体" w:eastAsia="宋体" w:hAnsi="宋体" w:hint="eastAsia"/>
          <w:color w:val="000000"/>
          <w:sz w:val="24"/>
        </w:rPr>
        <w:t>和措施的编制、审核 和交底，组织二次设计，材料设备进场质量控制，材料试验，试验和检验资料档案等技术</w:t>
      </w:r>
      <w:r>
        <w:rPr>
          <w:rFonts w:ascii="宋体" w:hAnsi="宋体" w:hint="eastAsia"/>
          <w:color w:val="000000"/>
          <w:sz w:val="24"/>
          <w:lang w:eastAsia="zh-CN"/>
        </w:rPr>
        <w:t>管理管控</w:t>
      </w:r>
      <w:r>
        <w:rPr>
          <w:rFonts w:ascii="宋体" w:eastAsia="宋体" w:hAnsi="宋体" w:hint="eastAsia"/>
          <w:color w:val="000000"/>
          <w:sz w:val="24"/>
        </w:rPr>
        <w:t>工作，负责工程的施工</w:t>
      </w:r>
      <w:r>
        <w:rPr>
          <w:rFonts w:ascii="宋体" w:hAnsi="宋体" w:hint="eastAsia"/>
          <w:color w:val="000000"/>
          <w:sz w:val="24"/>
          <w:lang w:eastAsia="zh-CN"/>
        </w:rPr>
        <w:t>管理管控</w:t>
      </w:r>
      <w:r>
        <w:rPr>
          <w:rFonts w:ascii="宋体" w:eastAsia="宋体" w:hAnsi="宋体" w:hint="eastAsia"/>
          <w:color w:val="000000"/>
          <w:sz w:val="24"/>
        </w:rPr>
        <w:t>，编制工程进度总</w:t>
      </w:r>
      <w:r>
        <w:rPr>
          <w:rFonts w:ascii="宋体" w:hAnsi="宋体" w:hint="eastAsia"/>
          <w:color w:val="000000"/>
          <w:sz w:val="24"/>
          <w:lang w:eastAsia="zh-CN"/>
        </w:rPr>
        <w:t>相关计划</w:t>
      </w:r>
      <w:r>
        <w:rPr>
          <w:rFonts w:ascii="宋体" w:eastAsia="宋体" w:hAnsi="宋体" w:hint="eastAsia"/>
          <w:color w:val="000000"/>
          <w:sz w:val="24"/>
        </w:rPr>
        <w:t>、月</w:t>
      </w:r>
      <w:r>
        <w:rPr>
          <w:rFonts w:ascii="宋体" w:hAnsi="宋体" w:hint="eastAsia"/>
          <w:color w:val="000000"/>
          <w:sz w:val="24"/>
          <w:lang w:eastAsia="zh-CN"/>
        </w:rPr>
        <w:t>相关计划</w:t>
      </w:r>
      <w:r>
        <w:rPr>
          <w:rFonts w:ascii="宋体" w:eastAsia="宋体" w:hAnsi="宋体" w:hint="eastAsia"/>
          <w:color w:val="000000"/>
          <w:sz w:val="24"/>
        </w:rPr>
        <w:t>、周</w:t>
      </w:r>
      <w:r>
        <w:rPr>
          <w:rFonts w:ascii="宋体" w:hAnsi="宋体" w:hint="eastAsia"/>
          <w:color w:val="000000"/>
          <w:sz w:val="24"/>
          <w:lang w:eastAsia="zh-CN"/>
        </w:rPr>
        <w:t>相关计划</w:t>
      </w:r>
      <w:r>
        <w:rPr>
          <w:rFonts w:ascii="宋体" w:eastAsia="宋体" w:hAnsi="宋体" w:hint="eastAsia"/>
          <w:color w:val="000000"/>
          <w:sz w:val="24"/>
        </w:rPr>
        <w:t>，负责施工、生产调度，协调分包施工，负责临时水电，施工现场总平面</w:t>
      </w:r>
      <w:r>
        <w:rPr>
          <w:rFonts w:ascii="宋体" w:hAnsi="宋体" w:hint="eastAsia"/>
          <w:color w:val="000000"/>
          <w:sz w:val="24"/>
          <w:lang w:eastAsia="zh-CN"/>
        </w:rPr>
        <w:t>管理管控</w:t>
      </w:r>
      <w:r>
        <w:rPr>
          <w:rFonts w:ascii="宋体" w:eastAsia="宋体" w:hAnsi="宋体" w:hint="eastAsia"/>
          <w:color w:val="000000"/>
          <w:sz w:val="24"/>
        </w:rPr>
        <w:t>，填写总施工日记。</w:t>
      </w:r>
    </w:p>
    <w:p>
      <w:pPr>
        <w:pStyle w:val="ListParagraph"/>
        <w:widowControl/>
        <w:numPr>
          <w:ilvl w:val="2"/>
          <w:numId w:val="7"/>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质安部：控制</w:t>
      </w:r>
      <w:r>
        <w:rPr>
          <w:rFonts w:ascii="宋体" w:hAnsi="宋体" w:hint="eastAsia"/>
          <w:color w:val="000000"/>
          <w:sz w:val="24"/>
          <w:lang w:eastAsia="zh-CN"/>
        </w:rPr>
        <w:t>相关项目</w:t>
      </w:r>
      <w:r>
        <w:rPr>
          <w:rFonts w:ascii="宋体" w:eastAsia="宋体" w:hAnsi="宋体" w:hint="eastAsia"/>
          <w:color w:val="000000"/>
          <w:sz w:val="24"/>
        </w:rPr>
        <w:t>施工质量，安全</w:t>
      </w:r>
      <w:r>
        <w:rPr>
          <w:rFonts w:ascii="宋体" w:hAnsi="宋体" w:hint="eastAsia"/>
          <w:color w:val="000000"/>
          <w:sz w:val="24"/>
          <w:lang w:eastAsia="zh-CN"/>
        </w:rPr>
        <w:t>管理管控</w:t>
      </w:r>
      <w:r>
        <w:rPr>
          <w:rFonts w:ascii="宋体" w:eastAsia="宋体" w:hAnsi="宋体" w:hint="eastAsia"/>
          <w:color w:val="000000"/>
          <w:sz w:val="24"/>
        </w:rPr>
        <w:t>与检查验收，环境</w:t>
      </w:r>
      <w:r>
        <w:rPr>
          <w:rFonts w:ascii="宋体" w:hAnsi="宋体" w:hint="eastAsia"/>
          <w:color w:val="000000"/>
          <w:sz w:val="24"/>
          <w:lang w:eastAsia="zh-CN"/>
        </w:rPr>
        <w:t>管理管控</w:t>
      </w:r>
      <w:r>
        <w:rPr>
          <w:rFonts w:ascii="宋体" w:eastAsia="宋体" w:hAnsi="宋体" w:hint="eastAsia"/>
          <w:color w:val="000000"/>
          <w:sz w:val="24"/>
        </w:rPr>
        <w:t>和文明施工。</w:t>
      </w:r>
    </w:p>
    <w:p>
      <w:pPr>
        <w:pStyle w:val="ListParagraph"/>
        <w:widowControl/>
        <w:numPr>
          <w:ilvl w:val="2"/>
          <w:numId w:val="7"/>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物资设备部：负责施工材料、设备、机械的采购、供应和</w:t>
      </w:r>
      <w:r>
        <w:rPr>
          <w:rFonts w:ascii="宋体" w:hAnsi="宋体" w:hint="eastAsia"/>
          <w:color w:val="000000"/>
          <w:sz w:val="24"/>
          <w:lang w:eastAsia="zh-CN"/>
        </w:rPr>
        <w:t>管理管控</w:t>
      </w:r>
      <w:r>
        <w:rPr>
          <w:rFonts w:ascii="宋体" w:eastAsia="宋体" w:hAnsi="宋体" w:hint="eastAsia"/>
          <w:color w:val="000000"/>
          <w:sz w:val="24"/>
        </w:rPr>
        <w:t>，并保证周转料具的供应、运转与保管，塔吊、施工电梯等大型机械设备的</w:t>
      </w:r>
      <w:r>
        <w:rPr>
          <w:rFonts w:ascii="宋体" w:hAnsi="宋体" w:hint="eastAsia"/>
          <w:color w:val="000000"/>
          <w:sz w:val="24"/>
          <w:lang w:eastAsia="zh-CN"/>
        </w:rPr>
        <w:t>管理管控</w:t>
      </w:r>
      <w:r>
        <w:rPr>
          <w:rFonts w:ascii="宋体" w:eastAsia="宋体" w:hAnsi="宋体" w:hint="eastAsia"/>
          <w:color w:val="000000"/>
          <w:sz w:val="24"/>
        </w:rPr>
        <w:t>，后勤</w:t>
      </w:r>
      <w:r>
        <w:rPr>
          <w:rFonts w:ascii="宋体" w:hAnsi="宋体" w:hint="eastAsia"/>
          <w:color w:val="000000"/>
          <w:sz w:val="24"/>
          <w:lang w:eastAsia="zh-CN"/>
        </w:rPr>
        <w:t>管理管控</w:t>
      </w:r>
      <w:r>
        <w:rPr>
          <w:rFonts w:ascii="宋体" w:eastAsia="宋体" w:hAnsi="宋体" w:hint="eastAsia"/>
          <w:color w:val="000000"/>
          <w:sz w:val="24"/>
        </w:rPr>
        <w:t>工作。</w:t>
      </w:r>
    </w:p>
    <w:p>
      <w:pPr>
        <w:pStyle w:val="ListParagraph"/>
        <w:widowControl/>
        <w:numPr>
          <w:ilvl w:val="2"/>
          <w:numId w:val="7"/>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商务部：负责工程投标报价、</w:t>
      </w:r>
      <w:r>
        <w:rPr>
          <w:rFonts w:ascii="宋体" w:hAnsi="宋体" w:hint="eastAsia"/>
          <w:color w:val="000000"/>
          <w:sz w:val="24"/>
          <w:lang w:eastAsia="zh-CN"/>
        </w:rPr>
        <w:t>合同合约管理管控</w:t>
      </w:r>
      <w:r>
        <w:rPr>
          <w:rFonts w:ascii="宋体" w:eastAsia="宋体" w:hAnsi="宋体" w:hint="eastAsia"/>
          <w:color w:val="000000"/>
          <w:sz w:val="24"/>
        </w:rPr>
        <w:t>、工程预结算、工程量统计和对总分包</w:t>
      </w:r>
      <w:r>
        <w:rPr>
          <w:rFonts w:ascii="宋体" w:hAnsi="宋体" w:hint="eastAsia"/>
          <w:color w:val="000000"/>
          <w:sz w:val="24"/>
          <w:lang w:eastAsia="zh-CN"/>
        </w:rPr>
        <w:t>合同合约</w:t>
      </w:r>
      <w:r>
        <w:rPr>
          <w:rFonts w:ascii="宋体" w:eastAsia="宋体" w:hAnsi="宋体" w:hint="eastAsia"/>
          <w:color w:val="000000"/>
          <w:sz w:val="24"/>
        </w:rPr>
        <w:t>的</w:t>
      </w:r>
      <w:r>
        <w:rPr>
          <w:rFonts w:ascii="宋体" w:hAnsi="宋体" w:hint="eastAsia"/>
          <w:color w:val="000000"/>
          <w:sz w:val="24"/>
          <w:lang w:eastAsia="zh-CN"/>
        </w:rPr>
        <w:t>管理管控</w:t>
      </w:r>
      <w:r>
        <w:rPr>
          <w:rFonts w:ascii="宋体" w:eastAsia="宋体" w:hAnsi="宋体" w:hint="eastAsia"/>
          <w:color w:val="000000"/>
          <w:sz w:val="24"/>
        </w:rPr>
        <w:t>、工程成本</w:t>
      </w:r>
      <w:r>
        <w:rPr>
          <w:rFonts w:ascii="宋体" w:hAnsi="宋体" w:hint="eastAsia"/>
          <w:color w:val="000000"/>
          <w:sz w:val="24"/>
          <w:lang w:eastAsia="zh-CN"/>
        </w:rPr>
        <w:t>管理管控</w:t>
      </w:r>
      <w:r>
        <w:rPr>
          <w:rFonts w:ascii="宋体" w:eastAsia="宋体" w:hAnsi="宋体" w:hint="eastAsia"/>
          <w:color w:val="000000"/>
          <w:sz w:val="24"/>
        </w:rPr>
        <w:t>、</w:t>
      </w:r>
      <w:r>
        <w:rPr>
          <w:rFonts w:ascii="宋体" w:hAnsi="宋体" w:hint="eastAsia"/>
          <w:color w:val="000000"/>
          <w:sz w:val="24"/>
          <w:lang w:eastAsia="zh-CN"/>
        </w:rPr>
        <w:t>相关项目</w:t>
      </w:r>
      <w:r>
        <w:rPr>
          <w:rFonts w:ascii="宋体" w:eastAsia="宋体" w:hAnsi="宋体" w:hint="eastAsia"/>
          <w:color w:val="000000"/>
          <w:sz w:val="24"/>
        </w:rPr>
        <w:t>财务</w:t>
      </w:r>
      <w:r>
        <w:rPr>
          <w:rFonts w:ascii="宋体" w:hAnsi="宋体" w:hint="eastAsia"/>
          <w:color w:val="000000"/>
          <w:sz w:val="24"/>
          <w:lang w:eastAsia="zh-CN"/>
        </w:rPr>
        <w:t>管理管控</w:t>
      </w:r>
      <w:r>
        <w:rPr>
          <w:rFonts w:ascii="宋体" w:eastAsia="宋体" w:hAnsi="宋体" w:hint="eastAsia"/>
          <w:color w:val="000000"/>
          <w:sz w:val="24"/>
        </w:rPr>
        <w:t>，做好成本控制与</w:t>
      </w:r>
      <w:r>
        <w:rPr>
          <w:rFonts w:ascii="宋体" w:hAnsi="宋体" w:hint="eastAsia"/>
          <w:color w:val="000000"/>
          <w:sz w:val="24"/>
          <w:lang w:eastAsia="zh-CN"/>
        </w:rPr>
        <w:t>管理管控</w:t>
      </w:r>
      <w:r>
        <w:rPr>
          <w:rFonts w:ascii="宋体" w:eastAsia="宋体" w:hAnsi="宋体" w:hint="eastAsia"/>
          <w:color w:val="000000"/>
          <w:sz w:val="24"/>
        </w:rPr>
        <w:t>。</w:t>
      </w:r>
    </w:p>
    <w:p>
      <w:pPr>
        <w:pStyle w:val="BZ2"/>
        <w:rPr>
          <w:rFonts w:ascii="宋体" w:eastAsia="宋体" w:hAnsi="宋体"/>
        </w:rPr>
      </w:pPr>
      <w:bookmarkStart w:id="35" w:name="_Toc491077884"/>
      <w:r>
        <w:rPr>
          <w:rFonts w:ascii="宋体" w:eastAsia="宋体" w:hAnsi="宋体" w:hint="eastAsia"/>
        </w:rPr>
        <w:t>总包</w:t>
      </w:r>
      <w:r>
        <w:rPr>
          <w:rFonts w:ascii="宋体" w:eastAsia="宋体" w:hAnsi="宋体" w:hint="eastAsia"/>
          <w:lang w:eastAsia="zh-CN"/>
        </w:rPr>
        <w:t>管理管控</w:t>
      </w:r>
      <w:r>
        <w:rPr>
          <w:rFonts w:ascii="宋体" w:eastAsia="宋体" w:hAnsi="宋体" w:hint="eastAsia"/>
        </w:rPr>
        <w:t>部署</w:t>
      </w:r>
      <w:bookmarkEnd w:id="35"/>
    </w:p>
    <w:p>
      <w:pPr>
        <w:pStyle w:val="ListParagraph"/>
        <w:widowControl/>
        <w:numPr>
          <w:ilvl w:val="1"/>
          <w:numId w:val="8"/>
        </w:numPr>
        <w:suppressAutoHyphens/>
        <w:spacing w:line="360" w:lineRule="auto"/>
        <w:ind w:left="0" w:firstLine="240" w:firstLineChars="100"/>
        <w:jc w:val="left"/>
        <w:rPr>
          <w:rFonts w:ascii="宋体" w:eastAsia="宋体" w:hAnsi="宋体"/>
          <w:color w:val="000000"/>
          <w:sz w:val="24"/>
        </w:rPr>
      </w:pPr>
      <w:bookmarkStart w:id="36" w:name="_Toc184023729"/>
      <w:bookmarkStart w:id="37" w:name="_Toc285368756"/>
      <w:bookmarkStart w:id="38" w:name="_Toc188258971"/>
      <w:bookmarkStart w:id="39" w:name="_Toc163377999"/>
      <w:bookmarkStart w:id="40" w:name="_Toc163108389"/>
      <w:bookmarkStart w:id="41" w:name="_Toc163108899"/>
      <w:bookmarkStart w:id="42" w:name="_Toc163108656"/>
      <w:bookmarkStart w:id="43" w:name="_Toc163107716"/>
      <w:r>
        <w:rPr>
          <w:rFonts w:ascii="宋体" w:eastAsia="宋体" w:hAnsi="宋体" w:hint="eastAsia"/>
          <w:color w:val="000000"/>
          <w:sz w:val="24"/>
        </w:rPr>
        <w:t>施工总承包方与业主、监理单位及设计单位关系及配合措施</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Grid>
        <w:gridCol w:w="1090"/>
        <w:gridCol w:w="1174"/>
        <w:gridCol w:w="6456"/>
      </w:tblGrid>
      <w:tr>
        <w:tblPrEx>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Ex>
        <w:trPr>
          <w:trHeight w:val="457"/>
          <w:jc w:val="center"/>
        </w:trPr>
        <w:tc>
          <w:tcPr>
            <w:tcW w:w="625" w:type="pct"/>
            <w:shd w:val="clear" w:color="auto" w:fill="auto"/>
            <w:vAlign w:val="center"/>
          </w:tcPr>
          <w:p>
            <w:pPr>
              <w:pStyle w:val="Normal0"/>
              <w:widowControl w:val="0"/>
              <w:jc w:val="center"/>
              <w:rPr>
                <w:rFonts w:ascii="宋体" w:hAnsi="宋体" w:cs="Times New Roman"/>
                <w:b/>
                <w:color w:val="000000"/>
                <w:sz w:val="24"/>
                <w:szCs w:val="24"/>
              </w:rPr>
            </w:pPr>
            <w:bookmarkEnd w:id="36"/>
            <w:bookmarkEnd w:id="37"/>
            <w:bookmarkEnd w:id="38"/>
            <w:bookmarkEnd w:id="39"/>
            <w:bookmarkEnd w:id="40"/>
            <w:bookmarkEnd w:id="41"/>
            <w:bookmarkEnd w:id="42"/>
            <w:bookmarkEnd w:id="43"/>
            <w:r>
              <w:rPr>
                <w:rFonts w:ascii="宋体" w:eastAsia="宋体" w:hAnsi="宋体" w:cs="Times New Roman" w:hint="eastAsia"/>
                <w:b/>
                <w:color w:val="000000"/>
                <w:kern w:val="2"/>
                <w:sz w:val="24"/>
                <w:szCs w:val="24"/>
                <w:lang w:val="en-US" w:eastAsia="zh-CN" w:bidi="ar-SA"/>
              </w:rPr>
              <w:t>施工</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总承包</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与</w:t>
            </w:r>
          </w:p>
        </w:tc>
        <w:tc>
          <w:tcPr>
            <w:tcW w:w="673" w:type="pct"/>
            <w:shd w:val="clear" w:color="auto" w:fill="auto"/>
            <w:vAlign w:val="center"/>
          </w:tcPr>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配合原则</w:t>
            </w:r>
          </w:p>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(三服从）</w:t>
            </w: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1.业主要求超出</w:t>
            </w:r>
            <w:r>
              <w:rPr>
                <w:rFonts w:ascii="宋体" w:hAnsi="宋体" w:cs="Times New Roman" w:hint="eastAsia"/>
                <w:color w:val="000000"/>
                <w:kern w:val="2"/>
                <w:sz w:val="24"/>
                <w:szCs w:val="24"/>
                <w:lang w:val="en-US" w:eastAsia="zh-CN" w:bidi="ar-SA"/>
              </w:rPr>
              <w:t>合同合约</w:t>
            </w:r>
            <w:r>
              <w:rPr>
                <w:rFonts w:ascii="宋体" w:eastAsia="宋体" w:hAnsi="宋体" w:cs="Times New Roman" w:hint="eastAsia"/>
                <w:color w:val="000000"/>
                <w:kern w:val="2"/>
                <w:sz w:val="24"/>
                <w:szCs w:val="24"/>
                <w:lang w:val="en-US" w:eastAsia="zh-CN" w:bidi="ar-SA"/>
              </w:rPr>
              <w:t>规定但对工程质量或使用功能有好处时，服从业主要求；</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2.业主要求与总包想法不一致，但业主要求不低于国家规范要求或者都达到相同效果时，服从业主要求；</w:t>
            </w:r>
          </w:p>
        </w:tc>
      </w:tr>
    </w:tbl>
    <w:p>
      <w:pPr>
        <w:sectPr>
          <w:headerReference w:type="default" r:id="rId27"/>
          <w:footerReference w:type="default" r:id="rId28"/>
          <w:type w:val="nextPage"/>
          <w:pgSz w:w="11906" w:h="16838"/>
          <w:pgMar w:top="1440" w:right="1701" w:bottom="1440" w:left="1701" w:header="850" w:footer="992" w:gutter="0"/>
          <w:pgNumType w:start="9"/>
          <w:cols w:num="1" w:space="425"/>
          <w:titlePg w:val="0"/>
          <w:docGrid w:type="lines" w:linePitch="312" w:charSpace="0"/>
        </w:sect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Grid>
        <w:gridCol w:w="1090"/>
        <w:gridCol w:w="1174"/>
        <w:gridCol w:w="6456"/>
      </w:tblGrid>
      <w:tr>
        <w:tblPrEx>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Ex>
        <w:trPr>
          <w:trHeight w:val="457"/>
          <w:jc w:val="center"/>
        </w:trPr>
        <w:tc>
          <w:tcPr>
            <w:tcW w:w="625" w:type="pct"/>
            <w:vMerge w:val="restart"/>
            <w:shd w:val="clear" w:color="auto" w:fill="auto"/>
            <w:vAlign w:val="center"/>
          </w:tcPr>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业主</w:t>
            </w:r>
          </w:p>
        </w:tc>
        <w:tc>
          <w:tcPr>
            <w:tcW w:w="673" w:type="pct"/>
            <w:shd w:val="clear" w:color="auto" w:fill="auto"/>
            <w:vAlign w:val="center"/>
          </w:tcP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3.业主要求超出</w:t>
            </w:r>
            <w:r>
              <w:rPr>
                <w:rFonts w:ascii="宋体" w:hAnsi="宋体" w:cs="Times New Roman" w:hint="eastAsia"/>
                <w:color w:val="000000"/>
                <w:kern w:val="2"/>
                <w:sz w:val="24"/>
                <w:szCs w:val="24"/>
                <w:lang w:val="en-US" w:eastAsia="zh-CN" w:bidi="ar-SA"/>
              </w:rPr>
              <w:t>合同合约</w:t>
            </w:r>
            <w:r>
              <w:rPr>
                <w:rFonts w:ascii="宋体" w:eastAsia="宋体" w:hAnsi="宋体" w:cs="Times New Roman" w:hint="eastAsia"/>
                <w:color w:val="000000"/>
                <w:kern w:val="2"/>
                <w:sz w:val="24"/>
                <w:szCs w:val="24"/>
                <w:lang w:val="en-US" w:eastAsia="zh-CN" w:bidi="ar-SA"/>
              </w:rPr>
              <w:t>范围，但总承包经过努力能够做到时，服从业主要求。</w:t>
            </w:r>
          </w:p>
        </w:tc>
      </w:tr>
      <w:tr>
        <w:tblPrEx>
          <w:tblW w:w="5000" w:type="pct"/>
          <w:jc w:val="center"/>
          <w:tblCellMar>
            <w:top w:w="0" w:type="dxa"/>
            <w:left w:w="108" w:type="dxa"/>
            <w:bottom w:w="0" w:type="dxa"/>
            <w:right w:w="108" w:type="dxa"/>
          </w:tblCellMar>
        </w:tblPrEx>
        <w:trPr>
          <w:jc w:val="center"/>
        </w:trPr>
        <w:tc>
          <w:tcPr>
            <w:tcW w:w="625" w:type="pct"/>
            <w:vMerge/>
            <w:shd w:val="clear" w:color="auto" w:fill="auto"/>
          </w:tcPr>
          <w:p>
            <w:pPr>
              <w:pStyle w:val="Normal0"/>
              <w:widowControl w:val="0"/>
              <w:jc w:val="both"/>
              <w:rPr>
                <w:rFonts w:ascii="宋体" w:hAnsi="宋体" w:cs="Times New Roman"/>
                <w:color w:val="000000"/>
                <w:sz w:val="24"/>
                <w:szCs w:val="24"/>
              </w:rPr>
            </w:pPr>
          </w:p>
        </w:tc>
        <w:tc>
          <w:tcPr>
            <w:tcW w:w="673" w:type="pct"/>
            <w:shd w:val="clear" w:color="auto" w:fill="auto"/>
            <w:vAlign w:val="center"/>
          </w:tcPr>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配合</w:t>
            </w:r>
          </w:p>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措施</w:t>
            </w: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1.图纸出图或需求</w:t>
            </w:r>
            <w:r>
              <w:rPr>
                <w:rFonts w:ascii="宋体" w:hAnsi="宋体" w:cs="Times New Roman" w:hint="eastAsia"/>
                <w:color w:val="000000"/>
                <w:kern w:val="2"/>
                <w:sz w:val="24"/>
                <w:szCs w:val="24"/>
                <w:lang w:val="en-US" w:eastAsia="zh-CN" w:bidi="ar-SA"/>
              </w:rPr>
              <w:t>相关计划</w:t>
            </w:r>
            <w:r>
              <w:rPr>
                <w:rFonts w:ascii="宋体" w:eastAsia="宋体" w:hAnsi="宋体" w:cs="Times New Roman" w:hint="eastAsia"/>
                <w:color w:val="000000"/>
                <w:kern w:val="2"/>
                <w:sz w:val="24"/>
                <w:szCs w:val="24"/>
                <w:lang w:val="en-US" w:eastAsia="zh-CN" w:bidi="ar-SA"/>
              </w:rPr>
              <w:t>。设计</w:t>
            </w:r>
            <w:r>
              <w:rPr>
                <w:rFonts w:ascii="宋体" w:hAnsi="宋体" w:cs="Times New Roman" w:hint="eastAsia"/>
                <w:color w:val="000000"/>
                <w:kern w:val="2"/>
                <w:sz w:val="24"/>
                <w:szCs w:val="24"/>
                <w:lang w:val="en-US" w:eastAsia="zh-CN" w:bidi="ar-SA"/>
              </w:rPr>
              <w:t>管理管控</w:t>
            </w:r>
            <w:r>
              <w:rPr>
                <w:rFonts w:ascii="宋体" w:eastAsia="宋体" w:hAnsi="宋体" w:cs="Times New Roman" w:hint="eastAsia"/>
                <w:color w:val="000000"/>
                <w:kern w:val="2"/>
                <w:sz w:val="24"/>
                <w:szCs w:val="24"/>
                <w:lang w:val="en-US" w:eastAsia="zh-CN" w:bidi="ar-SA"/>
              </w:rPr>
              <w:t>部将根据施工进度需要，编制图纸需求</w:t>
            </w:r>
            <w:r>
              <w:rPr>
                <w:rFonts w:ascii="宋体" w:hAnsi="宋体" w:cs="Times New Roman" w:hint="eastAsia"/>
                <w:color w:val="000000"/>
                <w:kern w:val="2"/>
                <w:sz w:val="24"/>
                <w:szCs w:val="24"/>
                <w:lang w:val="en-US" w:eastAsia="zh-CN" w:bidi="ar-SA"/>
              </w:rPr>
              <w:t>相关计划</w:t>
            </w:r>
            <w:r>
              <w:rPr>
                <w:rFonts w:ascii="宋体" w:eastAsia="宋体" w:hAnsi="宋体" w:cs="Times New Roman" w:hint="eastAsia"/>
                <w:color w:val="000000"/>
                <w:kern w:val="2"/>
                <w:sz w:val="24"/>
                <w:szCs w:val="24"/>
                <w:lang w:val="en-US" w:eastAsia="zh-CN" w:bidi="ar-SA"/>
              </w:rPr>
              <w:t>，提前与业主、监理、设计进行沟通，提前确定设计图纸，防止因图纸问题耽误施工；</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2.设备采购</w:t>
            </w:r>
            <w:r>
              <w:rPr>
                <w:rFonts w:ascii="宋体" w:hAnsi="宋体" w:cs="Times New Roman" w:hint="eastAsia"/>
                <w:color w:val="000000"/>
                <w:kern w:val="2"/>
                <w:sz w:val="24"/>
                <w:szCs w:val="24"/>
                <w:lang w:val="en-US" w:eastAsia="zh-CN" w:bidi="ar-SA"/>
              </w:rPr>
              <w:t>相关计划</w:t>
            </w:r>
            <w:r>
              <w:rPr>
                <w:rFonts w:ascii="宋体" w:eastAsia="宋体" w:hAnsi="宋体" w:cs="Times New Roman" w:hint="eastAsia"/>
                <w:color w:val="000000"/>
                <w:kern w:val="2"/>
                <w:sz w:val="24"/>
                <w:szCs w:val="24"/>
                <w:lang w:val="en-US" w:eastAsia="zh-CN" w:bidi="ar-SA"/>
              </w:rPr>
              <w:t>。对业主提供的材料设备提前编制进场</w:t>
            </w:r>
            <w:r>
              <w:rPr>
                <w:rFonts w:ascii="宋体" w:hAnsi="宋体" w:cs="Times New Roman" w:hint="eastAsia"/>
                <w:color w:val="000000"/>
                <w:kern w:val="2"/>
                <w:sz w:val="24"/>
                <w:szCs w:val="24"/>
                <w:lang w:val="en-US" w:eastAsia="zh-CN" w:bidi="ar-SA"/>
              </w:rPr>
              <w:t>相关计划</w:t>
            </w:r>
            <w:r>
              <w:rPr>
                <w:rFonts w:ascii="宋体" w:eastAsia="宋体" w:hAnsi="宋体" w:cs="Times New Roman" w:hint="eastAsia"/>
                <w:color w:val="000000"/>
                <w:kern w:val="2"/>
                <w:sz w:val="24"/>
                <w:szCs w:val="24"/>
                <w:lang w:val="en-US" w:eastAsia="zh-CN" w:bidi="ar-SA"/>
              </w:rPr>
              <w:t>，必要时协助业主进行考察、订货，确保工程需要；</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3.认真复核图纸，积极提出合理化建议，改善大厦的使用功能；</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4.搞好图纸</w:t>
            </w:r>
            <w:r>
              <w:rPr>
                <w:rFonts w:ascii="宋体" w:hAnsi="宋体" w:cs="Times New Roman" w:hint="eastAsia"/>
                <w:color w:val="000000"/>
                <w:kern w:val="2"/>
                <w:sz w:val="24"/>
                <w:szCs w:val="24"/>
                <w:lang w:val="en-US" w:eastAsia="zh-CN" w:bidi="ar-SA"/>
              </w:rPr>
              <w:t>管理管控</w:t>
            </w:r>
            <w:r>
              <w:rPr>
                <w:rFonts w:ascii="宋体" w:eastAsia="宋体" w:hAnsi="宋体" w:cs="Times New Roman" w:hint="eastAsia"/>
                <w:color w:val="000000"/>
                <w:kern w:val="2"/>
                <w:sz w:val="24"/>
                <w:szCs w:val="24"/>
                <w:lang w:val="en-US" w:eastAsia="zh-CN" w:bidi="ar-SA"/>
              </w:rPr>
              <w:t>，减少变更，洽商</w:t>
            </w:r>
            <w:r>
              <w:rPr>
                <w:rFonts w:ascii="宋体" w:hAnsi="宋体" w:cs="Times New Roman" w:hint="eastAsia"/>
                <w:color w:val="000000"/>
                <w:kern w:val="2"/>
                <w:sz w:val="24"/>
                <w:szCs w:val="24"/>
                <w:lang w:val="en-US" w:eastAsia="zh-CN" w:bidi="ar-SA"/>
              </w:rPr>
              <w:t>管理管控</w:t>
            </w:r>
            <w:r>
              <w:rPr>
                <w:rFonts w:ascii="宋体" w:eastAsia="宋体" w:hAnsi="宋体" w:cs="Times New Roman" w:hint="eastAsia"/>
                <w:color w:val="000000"/>
                <w:kern w:val="2"/>
                <w:sz w:val="24"/>
                <w:szCs w:val="24"/>
                <w:lang w:val="en-US" w:eastAsia="zh-CN" w:bidi="ar-SA"/>
              </w:rPr>
              <w:t>，从而达到降低造价、控制投资的目的；</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5.协助业主策划工期、优化设计降低工程造价。</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6.协助业主组织制定分包工程的招标，审核优化专业工程的施工</w:t>
            </w:r>
            <w:r>
              <w:rPr>
                <w:rFonts w:ascii="宋体" w:hAnsi="宋体" w:cs="Times New Roman" w:hint="eastAsia"/>
                <w:color w:val="000000"/>
                <w:kern w:val="2"/>
                <w:sz w:val="24"/>
                <w:szCs w:val="24"/>
                <w:lang w:val="en-US" w:eastAsia="zh-CN" w:bidi="ar-SA"/>
              </w:rPr>
              <w:t>合适的方案</w:t>
            </w:r>
            <w:r>
              <w:rPr>
                <w:rFonts w:ascii="宋体" w:eastAsia="宋体" w:hAnsi="宋体" w:cs="Times New Roman" w:hint="eastAsia"/>
                <w:color w:val="000000"/>
                <w:kern w:val="2"/>
                <w:sz w:val="24"/>
                <w:szCs w:val="24"/>
                <w:lang w:val="en-US" w:eastAsia="zh-CN" w:bidi="ar-SA"/>
              </w:rPr>
              <w:t>。</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7.协助业主进行质量控制及检查验收、检查各类分包工程的竣工资料。</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8.提供业主要求的其他配合和服务。</w:t>
            </w:r>
          </w:p>
        </w:tc>
      </w:tr>
      <w:tr>
        <w:tblPrEx>
          <w:tblW w:w="5000" w:type="pct"/>
          <w:jc w:val="center"/>
          <w:tblCellMar>
            <w:top w:w="0" w:type="dxa"/>
            <w:left w:w="108" w:type="dxa"/>
            <w:bottom w:w="0" w:type="dxa"/>
            <w:right w:w="108" w:type="dxa"/>
          </w:tblCellMar>
        </w:tblPrEx>
        <w:trPr>
          <w:jc w:val="center"/>
        </w:trPr>
        <w:tc>
          <w:tcPr>
            <w:tcW w:w="625" w:type="pct"/>
            <w:shd w:val="clear" w:color="auto" w:fill="auto"/>
            <w:vAlign w:val="center"/>
          </w:tcPr>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施工</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总承包</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与</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监理</w:t>
            </w:r>
          </w:p>
        </w:tc>
        <w:tc>
          <w:tcPr>
            <w:tcW w:w="673" w:type="pct"/>
            <w:shd w:val="clear" w:color="auto" w:fill="auto"/>
            <w:vAlign w:val="center"/>
          </w:tcPr>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配合原则</w:t>
            </w:r>
          </w:p>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(三让）</w:t>
            </w: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1.总包与监理</w:t>
            </w:r>
            <w:r>
              <w:rPr>
                <w:rFonts w:ascii="宋体" w:hAnsi="宋体" w:cs="Times New Roman" w:hint="eastAsia"/>
                <w:color w:val="000000"/>
                <w:kern w:val="2"/>
                <w:sz w:val="24"/>
                <w:szCs w:val="24"/>
                <w:lang w:val="en-US" w:eastAsia="zh-CN" w:bidi="ar-SA"/>
              </w:rPr>
              <w:t>合适的方案</w:t>
            </w:r>
            <w:r>
              <w:rPr>
                <w:rFonts w:ascii="宋体" w:eastAsia="宋体" w:hAnsi="宋体" w:cs="Times New Roman" w:hint="eastAsia"/>
                <w:color w:val="000000"/>
                <w:kern w:val="2"/>
                <w:sz w:val="24"/>
                <w:szCs w:val="24"/>
                <w:lang w:val="en-US" w:eastAsia="zh-CN" w:bidi="ar-SA"/>
              </w:rPr>
              <w:t>不一致，但效果相同时，总包意见让位于监理；</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2.总包与监理要求不一致，但监理要求有利于使用功能时，总包意见让位于监理；</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3.总包与监理要求不一致，但监理要求高于标准或规范要求时，总包意见让位于监理。</w:t>
            </w:r>
          </w:p>
        </w:tc>
      </w:tr>
      <w:tr>
        <w:tblPrEx>
          <w:tblW w:w="5000" w:type="pct"/>
          <w:jc w:val="center"/>
          <w:tblCellMar>
            <w:top w:w="0" w:type="dxa"/>
            <w:left w:w="108" w:type="dxa"/>
            <w:bottom w:w="0" w:type="dxa"/>
            <w:right w:w="108" w:type="dxa"/>
          </w:tblCellMar>
        </w:tblPrEx>
        <w:trPr>
          <w:jc w:val="center"/>
        </w:trPr>
        <w:tc>
          <w:tcPr>
            <w:tcW w:w="625" w:type="pct"/>
            <w:shd w:val="clear" w:color="auto" w:fill="auto"/>
            <w:vAlign w:val="center"/>
          </w:tcPr>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施工</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总承包</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与</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监理单位</w:t>
            </w:r>
          </w:p>
        </w:tc>
        <w:tc>
          <w:tcPr>
            <w:tcW w:w="673" w:type="pct"/>
            <w:shd w:val="clear" w:color="auto" w:fill="auto"/>
            <w:vAlign w:val="center"/>
          </w:tcPr>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配合措施</w:t>
            </w: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1.认真学习监理规范和监理交底，服从监理单位的监理；</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2.按照与监理配合的“三让”原则，正确处理与监理要求或意见不一致时的情况；</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3.及时向监理单位提供监理要求的各种</w:t>
            </w:r>
            <w:r>
              <w:rPr>
                <w:rFonts w:ascii="宋体" w:hAnsi="宋体" w:cs="Times New Roman" w:hint="eastAsia"/>
                <w:color w:val="000000"/>
                <w:kern w:val="2"/>
                <w:sz w:val="24"/>
                <w:szCs w:val="24"/>
                <w:lang w:val="en-US" w:eastAsia="zh-CN" w:bidi="ar-SA"/>
              </w:rPr>
              <w:t>合适的方案</w:t>
            </w:r>
            <w:r>
              <w:rPr>
                <w:rFonts w:ascii="宋体" w:eastAsia="宋体" w:hAnsi="宋体" w:cs="Times New Roman" w:hint="eastAsia"/>
                <w:color w:val="000000"/>
                <w:kern w:val="2"/>
                <w:sz w:val="24"/>
                <w:szCs w:val="24"/>
                <w:lang w:val="en-US" w:eastAsia="zh-CN" w:bidi="ar-SA"/>
              </w:rPr>
              <w:t>、</w:t>
            </w:r>
            <w:r>
              <w:rPr>
                <w:rFonts w:ascii="宋体" w:hAnsi="宋体" w:cs="Times New Roman" w:hint="eastAsia"/>
                <w:color w:val="000000"/>
                <w:kern w:val="2"/>
                <w:sz w:val="24"/>
                <w:szCs w:val="24"/>
                <w:lang w:val="en-US" w:eastAsia="zh-CN" w:bidi="ar-SA"/>
              </w:rPr>
              <w:t>相关计划</w:t>
            </w:r>
            <w:r>
              <w:rPr>
                <w:rFonts w:ascii="宋体" w:eastAsia="宋体" w:hAnsi="宋体" w:cs="Times New Roman" w:hint="eastAsia"/>
                <w:color w:val="000000"/>
                <w:kern w:val="2"/>
                <w:sz w:val="24"/>
                <w:szCs w:val="24"/>
                <w:lang w:val="en-US" w:eastAsia="zh-CN" w:bidi="ar-SA"/>
              </w:rPr>
              <w:t>、报表等；</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4.建立积极的与监理沟通的渠道，如会议制度、报表制度等，与监理及时交换工程信息，及时解决存在的问题；</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5.与监理意见不能达成一致时，共同与业主协商，本着对工程有利、对业主有利的原则妥善处理</w:t>
            </w:r>
          </w:p>
        </w:tc>
      </w:tr>
      <w:tr>
        <w:tblPrEx>
          <w:tblW w:w="5000" w:type="pct"/>
          <w:jc w:val="center"/>
          <w:tblCellMar>
            <w:top w:w="0" w:type="dxa"/>
            <w:left w:w="108" w:type="dxa"/>
            <w:bottom w:w="0" w:type="dxa"/>
            <w:right w:w="108" w:type="dxa"/>
          </w:tblCellMar>
        </w:tblPrEx>
        <w:trPr>
          <w:jc w:val="center"/>
        </w:trPr>
        <w:tc>
          <w:tcPr>
            <w:tcW w:w="625" w:type="pct"/>
            <w:shd w:val="clear" w:color="auto" w:fill="auto"/>
            <w:vAlign w:val="center"/>
          </w:tcPr>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施工</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总承包</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与</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设计单位</w:t>
            </w:r>
          </w:p>
        </w:tc>
        <w:tc>
          <w:tcPr>
            <w:tcW w:w="673" w:type="pct"/>
            <w:shd w:val="clear" w:color="auto" w:fill="auto"/>
            <w:vAlign w:val="center"/>
          </w:tcPr>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配合措施</w:t>
            </w: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严格按设计施工。在施工中认真配合建筑、装修设计单位，为设计单位提供具体的设计参数。针对施工中具体深化的二次设计及时报与设计单位审批。对于施工过程中发现的问题，将认真提出解决</w:t>
            </w:r>
            <w:r>
              <w:rPr>
                <w:rFonts w:ascii="宋体" w:hAnsi="宋体" w:cs="Times New Roman" w:hint="eastAsia"/>
                <w:color w:val="000000"/>
                <w:kern w:val="2"/>
                <w:sz w:val="24"/>
                <w:szCs w:val="24"/>
                <w:lang w:val="en-US" w:eastAsia="zh-CN" w:bidi="ar-SA"/>
              </w:rPr>
              <w:t>合适的方案</w:t>
            </w:r>
            <w:r>
              <w:rPr>
                <w:rFonts w:ascii="宋体" w:eastAsia="宋体" w:hAnsi="宋体" w:cs="Times New Roman" w:hint="eastAsia"/>
                <w:color w:val="000000"/>
                <w:kern w:val="2"/>
                <w:sz w:val="24"/>
                <w:szCs w:val="24"/>
                <w:lang w:val="en-US" w:eastAsia="zh-CN" w:bidi="ar-SA"/>
              </w:rPr>
              <w:t>报业主、监理单位和设计单位参考。</w:t>
            </w:r>
          </w:p>
        </w:tc>
      </w:tr>
      <w:tr>
        <w:tblPrEx>
          <w:tblW w:w="5000" w:type="pct"/>
          <w:jc w:val="center"/>
          <w:tblCellMar>
            <w:top w:w="0" w:type="dxa"/>
            <w:left w:w="108" w:type="dxa"/>
            <w:bottom w:w="0" w:type="dxa"/>
            <w:right w:w="108" w:type="dxa"/>
          </w:tblCellMar>
        </w:tblPrEx>
        <w:trPr>
          <w:jc w:val="center"/>
        </w:trPr>
        <w:tc>
          <w:tcPr>
            <w:tcW w:w="625" w:type="pct"/>
            <w:shd w:val="clear" w:color="auto" w:fill="auto"/>
            <w:vAlign w:val="center"/>
          </w:tcPr>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施工</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总承包</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与</w:t>
            </w:r>
          </w:p>
          <w:p>
            <w:pPr>
              <w:pStyle w:val="Normal0"/>
              <w:widowControl w:val="0"/>
              <w:jc w:val="center"/>
              <w:rPr>
                <w:rFonts w:ascii="宋体" w:hAnsi="宋体" w:cs="Times New Roman"/>
                <w:b/>
                <w:color w:val="000000"/>
                <w:sz w:val="24"/>
                <w:szCs w:val="24"/>
              </w:rPr>
            </w:pPr>
            <w:r>
              <w:rPr>
                <w:rFonts w:ascii="宋体" w:eastAsia="宋体" w:hAnsi="宋体" w:cs="Times New Roman" w:hint="eastAsia"/>
                <w:b/>
                <w:color w:val="000000"/>
                <w:kern w:val="2"/>
                <w:sz w:val="24"/>
                <w:szCs w:val="24"/>
                <w:lang w:val="en-US" w:eastAsia="zh-CN" w:bidi="ar-SA"/>
              </w:rPr>
              <w:t>政府部门</w:t>
            </w:r>
          </w:p>
        </w:tc>
        <w:tc>
          <w:tcPr>
            <w:tcW w:w="673" w:type="pct"/>
            <w:shd w:val="clear" w:color="auto" w:fill="auto"/>
            <w:vAlign w:val="center"/>
          </w:tcPr>
          <w:p>
            <w:pPr>
              <w:pStyle w:val="Normal0"/>
              <w:widowControl w:val="0"/>
              <w:jc w:val="center"/>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协调措施</w:t>
            </w: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我们将根据工程的实际情况及我司住宅工程的施工优势，明确专人及时与政府部门取得联系，以及时得到或获得政府部门的指导、支持和谅解，为工程施工的顺利进行打下良好的基础。要进行协调的政府部门主要有：建设、市政、公安、消防、卫生、劳动、环保、社区、街道等。主要措施如下：</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1.在工程开工前，与各部门取得联系，并办理政府各部门规定的手续，如临建审批、夜间施工、污水排放等；</w:t>
            </w:r>
          </w:p>
        </w:tc>
      </w:tr>
    </w:tbl>
    <w:p>
      <w:pPr>
        <w:sectPr>
          <w:headerReference w:type="default" r:id="rId29"/>
          <w:footerReference w:type="default" r:id="rId30"/>
          <w:type w:val="nextPage"/>
          <w:pgSz w:w="11906" w:h="16838"/>
          <w:pgMar w:top="1440" w:right="1701" w:bottom="1440" w:left="1701" w:header="850" w:footer="992" w:gutter="0"/>
          <w:pgNumType w:start="10"/>
          <w:cols w:num="1" w:space="425"/>
          <w:titlePg w:val="0"/>
          <w:docGrid w:type="lines" w:linePitch="312" w:charSpace="0"/>
        </w:sect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Grid>
        <w:gridCol w:w="1090"/>
        <w:gridCol w:w="1174"/>
        <w:gridCol w:w="6456"/>
      </w:tblGrid>
      <w:tr>
        <w:tblPrEx>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Ex>
        <w:trPr>
          <w:jc w:val="center"/>
        </w:trPr>
        <w:tc>
          <w:tcPr>
            <w:tcW w:w="625" w:type="pct"/>
            <w:shd w:val="clear" w:color="auto" w:fill="auto"/>
            <w:vAlign w:val="center"/>
          </w:tcPr>
          <w:p/>
        </w:tc>
        <w:tc>
          <w:tcPr>
            <w:tcW w:w="673" w:type="pct"/>
            <w:shd w:val="clear" w:color="auto" w:fill="auto"/>
            <w:vAlign w:val="center"/>
          </w:tcPr>
          <w:p/>
        </w:tc>
        <w:tc>
          <w:tcPr>
            <w:tcW w:w="3702" w:type="pct"/>
            <w:shd w:val="clear" w:color="auto" w:fill="auto"/>
          </w:tcPr>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2.建立定期沟通制度，及时向有关部门汇报施工</w:t>
            </w:r>
            <w:r>
              <w:rPr>
                <w:rFonts w:ascii="宋体" w:hAnsi="宋体" w:cs="Times New Roman" w:hint="eastAsia"/>
                <w:color w:val="000000"/>
                <w:kern w:val="2"/>
                <w:sz w:val="24"/>
                <w:szCs w:val="24"/>
                <w:lang w:val="en-US" w:eastAsia="zh-CN" w:bidi="ar-SA"/>
              </w:rPr>
              <w:t>管理管控</w:t>
            </w:r>
            <w:r>
              <w:rPr>
                <w:rFonts w:ascii="宋体" w:eastAsia="宋体" w:hAnsi="宋体" w:cs="Times New Roman" w:hint="eastAsia"/>
                <w:color w:val="000000"/>
                <w:kern w:val="2"/>
                <w:sz w:val="24"/>
                <w:szCs w:val="24"/>
                <w:lang w:val="en-US" w:eastAsia="zh-CN" w:bidi="ar-SA"/>
              </w:rPr>
              <w:t>情况以及施工中遇到的困难和解决的措施等，以期获得有力的支持；</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3.协助交通部门维持现场周围的交通，缓解施工带来的交通压力；</w:t>
            </w:r>
          </w:p>
          <w:p>
            <w:pPr>
              <w:pStyle w:val="Normal0"/>
              <w:widowControl w:val="0"/>
              <w:snapToGrid w:val="0"/>
              <w:jc w:val="both"/>
              <w:rPr>
                <w:rFonts w:ascii="宋体" w:hAnsi="宋体" w:cs="Times New Roman"/>
                <w:color w:val="000000"/>
                <w:sz w:val="24"/>
                <w:szCs w:val="24"/>
              </w:rPr>
            </w:pPr>
            <w:r>
              <w:rPr>
                <w:rFonts w:ascii="宋体" w:eastAsia="宋体" w:hAnsi="宋体" w:cs="Times New Roman" w:hint="eastAsia"/>
                <w:color w:val="000000"/>
                <w:kern w:val="2"/>
                <w:sz w:val="24"/>
                <w:szCs w:val="24"/>
                <w:lang w:val="en-US" w:eastAsia="zh-CN" w:bidi="ar-SA"/>
              </w:rPr>
              <w:t>4.建立综合治理小组，对涉及施工现场的治安、环卫、环保、消防等问题按有关规定进行</w:t>
            </w:r>
            <w:r>
              <w:rPr>
                <w:rFonts w:ascii="宋体" w:hAnsi="宋体" w:cs="Times New Roman" w:hint="eastAsia"/>
                <w:color w:val="000000"/>
                <w:kern w:val="2"/>
                <w:sz w:val="24"/>
                <w:szCs w:val="24"/>
                <w:lang w:val="en-US" w:eastAsia="zh-CN" w:bidi="ar-SA"/>
              </w:rPr>
              <w:t>管理管控</w:t>
            </w:r>
            <w:r>
              <w:rPr>
                <w:rFonts w:ascii="宋体" w:eastAsia="宋体" w:hAnsi="宋体" w:cs="Times New Roman" w:hint="eastAsia"/>
                <w:color w:val="000000"/>
                <w:kern w:val="2"/>
                <w:sz w:val="24"/>
                <w:szCs w:val="24"/>
                <w:lang w:val="en-US" w:eastAsia="zh-CN" w:bidi="ar-SA"/>
              </w:rPr>
              <w:t>，确保不因上述方面的问题影响工程的顺利进行。</w:t>
            </w:r>
          </w:p>
        </w:tc>
      </w:tr>
    </w:tbl>
    <w:p>
      <w:pPr>
        <w:pStyle w:val="BZ2"/>
        <w:rPr>
          <w:rFonts w:ascii="宋体" w:eastAsia="宋体" w:hAnsi="宋体"/>
        </w:rPr>
      </w:pPr>
      <w:bookmarkStart w:id="44" w:name="_Toc491077885"/>
      <w:r>
        <w:rPr>
          <w:rFonts w:ascii="宋体" w:eastAsia="宋体" w:hAnsi="宋体" w:hint="eastAsia"/>
        </w:rPr>
        <w:t>施工准备工作</w:t>
      </w:r>
      <w:bookmarkEnd w:id="44"/>
    </w:p>
    <w:p>
      <w:pPr>
        <w:pStyle w:val="ListParagraph"/>
        <w:widowControl/>
        <w:numPr>
          <w:ilvl w:val="1"/>
          <w:numId w:val="22"/>
        </w:numPr>
        <w:suppressAutoHyphens/>
        <w:spacing w:line="360" w:lineRule="auto"/>
        <w:ind w:left="0" w:firstLine="240" w:firstLineChars="100"/>
        <w:jc w:val="left"/>
        <w:rPr>
          <w:rFonts w:ascii="宋体" w:eastAsia="宋体" w:hAnsi="宋体"/>
          <w:color w:val="000000"/>
          <w:sz w:val="24"/>
        </w:rPr>
      </w:pPr>
      <w:bookmarkStart w:id="45" w:name="_Toc285368795"/>
      <w:bookmarkStart w:id="46" w:name="_Toc204057224"/>
      <w:r>
        <w:rPr>
          <w:rFonts w:ascii="宋体" w:eastAsia="宋体" w:hAnsi="宋体" w:hint="eastAsia"/>
          <w:color w:val="000000"/>
          <w:sz w:val="24"/>
        </w:rPr>
        <w:t>施工技术准备</w:t>
      </w:r>
      <w:bookmarkEnd w:id="45"/>
      <w:bookmarkEnd w:id="46"/>
    </w:p>
    <w:p>
      <w:pPr>
        <w:pStyle w:val="Normal0"/>
        <w:widowControl/>
        <w:suppressAutoHyphens/>
        <w:spacing w:line="360" w:lineRule="auto"/>
        <w:ind w:firstLine="240" w:firstLineChars="100"/>
        <w:jc w:val="left"/>
        <w:rPr>
          <w:rFonts w:ascii="宋体" w:hAnsi="宋体"/>
          <w:color w:val="000000"/>
          <w:sz w:val="24"/>
        </w:rPr>
      </w:pPr>
      <w:bookmarkStart w:id="47" w:name="_Toc401316633"/>
      <w:bookmarkStart w:id="48" w:name="_Toc417570142"/>
      <w:bookmarkStart w:id="49" w:name="_Toc417571057"/>
      <w:bookmarkStart w:id="50" w:name="_Toc417571525"/>
      <w:bookmarkStart w:id="51" w:name="_Toc442841205"/>
      <w:bookmarkStart w:id="52" w:name="_Toc468507618"/>
      <w:bookmarkStart w:id="53" w:name="_Toc440044772"/>
      <w:bookmarkStart w:id="54" w:name="_Toc417631887"/>
      <w:bookmarkStart w:id="55" w:name="_Toc434687793"/>
      <w:bookmarkStart w:id="56" w:name="_Toc434977911"/>
      <w:bookmarkStart w:id="57" w:name="_Toc438108025"/>
      <w:bookmarkStart w:id="58" w:name="_Toc459993342"/>
      <w:bookmarkStart w:id="59" w:name="_Toc434132951"/>
      <w:bookmarkStart w:id="60" w:name="_Toc438265847"/>
      <w:bookmarkStart w:id="61" w:name="_Toc444855875"/>
      <w:r>
        <w:rPr>
          <w:rFonts w:ascii="宋体" w:eastAsia="宋体" w:hAnsi="宋体" w:hint="eastAsia"/>
          <w:color w:val="000000"/>
          <w:sz w:val="24"/>
        </w:rPr>
        <w:t>1做好调查工作</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本工程在施工前先做好各种物质资源和技术条件的调查。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1）气象、地理、周边环境的调查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掌握气象资料，以便综合组织全过程的均衡施工，制定雨季、冬季的施工措施。</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2）与前期工程的承包人办理必要的施工资料，为工程的顺利展开做好</w:t>
      </w:r>
      <w:r>
        <w:rPr>
          <w:rFonts w:ascii="宋体" w:hAnsi="宋体" w:hint="eastAsia"/>
          <w:color w:val="000000"/>
          <w:sz w:val="24"/>
          <w:lang w:eastAsia="zh-CN"/>
        </w:rPr>
        <w:t>相关计划</w:t>
      </w:r>
      <w:r>
        <w:rPr>
          <w:rFonts w:ascii="宋体" w:eastAsia="宋体" w:hAnsi="宋体" w:hint="eastAsia"/>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3）提前联系及择优选择钢材、商品混凝土、商品砂浆、铺装用砖、边石等生产厂家以保证质量和供应，满足工程施工需要。</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4）落实现场用水用电，保证施工用水用电正常。</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5）联系机械设备，以备工程施工的需要。</w:t>
      </w:r>
    </w:p>
    <w:p>
      <w:pPr>
        <w:pStyle w:val="Normal0"/>
        <w:widowControl/>
        <w:suppressAutoHyphens/>
        <w:spacing w:line="360" w:lineRule="auto"/>
        <w:ind w:firstLine="240" w:firstLineChars="100"/>
        <w:jc w:val="left"/>
        <w:rPr>
          <w:rFonts w:ascii="宋体" w:hAnsi="宋体"/>
          <w:color w:val="000000"/>
          <w:sz w:val="24"/>
        </w:rPr>
      </w:pPr>
      <w:bookmarkStart w:id="62" w:name="_Toc417571058"/>
      <w:bookmarkStart w:id="63" w:name="_Toc417571526"/>
      <w:bookmarkStart w:id="64" w:name="_Toc417570143"/>
      <w:bookmarkStart w:id="65" w:name="_Toc417631888"/>
      <w:bookmarkStart w:id="66" w:name="_Toc434687794"/>
      <w:bookmarkStart w:id="67" w:name="_Toc434132952"/>
      <w:bookmarkStart w:id="68" w:name="_Toc401316634"/>
      <w:bookmarkStart w:id="69" w:name="_Toc440044773"/>
      <w:bookmarkStart w:id="70" w:name="_Toc444855876"/>
      <w:bookmarkStart w:id="71" w:name="_Toc438265848"/>
      <w:bookmarkStart w:id="72" w:name="_Toc459993343"/>
      <w:bookmarkStart w:id="73" w:name="_Toc468507619"/>
      <w:bookmarkStart w:id="74" w:name="_Toc434977912"/>
      <w:bookmarkStart w:id="75" w:name="_Toc438108026"/>
      <w:bookmarkStart w:id="76" w:name="_Toc442841206"/>
      <w:r>
        <w:rPr>
          <w:rFonts w:ascii="宋体" w:eastAsia="宋体" w:hAnsi="宋体" w:hint="eastAsia"/>
          <w:color w:val="000000"/>
          <w:sz w:val="24"/>
        </w:rPr>
        <w:t>2做好与设计的结合工作</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1）通过学习，熟悉图纸</w:t>
      </w:r>
      <w:r>
        <w:rPr>
          <w:rFonts w:ascii="宋体" w:hAnsi="宋体" w:hint="eastAsia"/>
          <w:color w:val="000000"/>
          <w:sz w:val="24"/>
          <w:lang w:eastAsia="zh-CN"/>
        </w:rPr>
        <w:t>合适的内容</w:t>
      </w:r>
      <w:r>
        <w:rPr>
          <w:rFonts w:ascii="宋体" w:eastAsia="宋体" w:hAnsi="宋体" w:hint="eastAsia"/>
          <w:color w:val="000000"/>
          <w:sz w:val="24"/>
        </w:rPr>
        <w:t>，了解设计要求施工达到的技术标准，明确工艺流程。</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2）进行自审，组织各工种的施工</w:t>
      </w:r>
      <w:r>
        <w:rPr>
          <w:rFonts w:ascii="宋体" w:hAnsi="宋体" w:hint="eastAsia"/>
          <w:color w:val="000000"/>
          <w:sz w:val="24"/>
          <w:lang w:eastAsia="zh-CN"/>
        </w:rPr>
        <w:t>管理管控</w:t>
      </w:r>
      <w:r>
        <w:rPr>
          <w:rFonts w:ascii="宋体" w:eastAsia="宋体" w:hAnsi="宋体" w:hint="eastAsia"/>
          <w:color w:val="000000"/>
          <w:sz w:val="24"/>
        </w:rPr>
        <w:t>人员对本工种的有关图纸进行审查，掌握和了解图纸中的细节。</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3）组织各专业施工班组共同学习施工图纸，商定施工配合事宜。</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4）组织图纸会审，由设计方进行交底，理解设计意图及施工质量标准，准确掌握设计图纸中的细节。</w:t>
      </w:r>
    </w:p>
    <w:p>
      <w:pPr>
        <w:pStyle w:val="Normal0"/>
        <w:widowControl/>
        <w:suppressAutoHyphens/>
        <w:spacing w:line="360" w:lineRule="auto"/>
        <w:ind w:firstLine="240" w:firstLineChars="100"/>
        <w:jc w:val="left"/>
        <w:rPr>
          <w:rFonts w:ascii="宋体" w:hAnsi="宋体"/>
          <w:color w:val="000000"/>
          <w:sz w:val="24"/>
        </w:rPr>
      </w:pPr>
      <w:bookmarkStart w:id="77" w:name="_Toc401316635"/>
      <w:bookmarkStart w:id="78" w:name="_Toc417570144"/>
      <w:bookmarkStart w:id="79" w:name="_Toc417571059"/>
      <w:bookmarkStart w:id="80" w:name="_Toc417631889"/>
      <w:bookmarkStart w:id="81" w:name="_Toc434687795"/>
      <w:bookmarkStart w:id="82" w:name="_Toc434977913"/>
      <w:bookmarkStart w:id="83" w:name="_Toc442841207"/>
      <w:bookmarkStart w:id="84" w:name="_Toc459993344"/>
      <w:bookmarkStart w:id="85" w:name="_Toc468507620"/>
      <w:bookmarkStart w:id="86" w:name="_Toc417571527"/>
      <w:bookmarkStart w:id="87" w:name="_Toc440044774"/>
      <w:bookmarkStart w:id="88" w:name="_Toc444855877"/>
      <w:bookmarkStart w:id="89" w:name="_Toc438108027"/>
      <w:bookmarkStart w:id="90" w:name="_Toc438265849"/>
      <w:bookmarkStart w:id="91" w:name="_Toc434132953"/>
      <w:r>
        <w:rPr>
          <w:rFonts w:ascii="宋体" w:eastAsia="宋体" w:hAnsi="宋体" w:hint="eastAsia"/>
          <w:color w:val="000000"/>
          <w:sz w:val="24"/>
        </w:rPr>
        <w:t>3认真编制施工组织设计</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Normal0"/>
        <w:widowControl/>
        <w:suppressAutoHyphens/>
        <w:spacing w:line="360" w:lineRule="auto"/>
        <w:ind w:firstLine="240" w:firstLineChars="100"/>
        <w:jc w:val="left"/>
        <w:rPr>
          <w:rFonts w:ascii="宋体" w:hAnsi="宋体"/>
          <w:color w:val="000000"/>
          <w:sz w:val="24"/>
        </w:rPr>
        <w:sectPr>
          <w:headerReference w:type="default" r:id="rId31"/>
          <w:footerReference w:type="default" r:id="rId32"/>
          <w:type w:val="nextPage"/>
          <w:pgSz w:w="11906" w:h="16838"/>
          <w:pgMar w:top="1440" w:right="1701" w:bottom="1440" w:left="1701" w:header="850" w:footer="992" w:gutter="0"/>
          <w:pgNumType w:start="11"/>
          <w:cols w:num="1" w:space="425"/>
          <w:titlePg w:val="0"/>
          <w:docGrid w:type="lines" w:linePitch="312" w:charSpace="0"/>
        </w:sectPr>
      </w:pPr>
      <w:r>
        <w:rPr>
          <w:rFonts w:ascii="宋体" w:eastAsia="宋体" w:hAnsi="宋体" w:hint="eastAsia"/>
          <w:color w:val="000000"/>
          <w:sz w:val="24"/>
        </w:rPr>
        <w:t>由技术部门认真编制该工程的实施性施工组织设计，施工组织设计要具有可行性、可操作性、针对性作为工程施工生产的指导性文件，并且必须经过企业技术负责人审核、企业负责人审批。</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对一些专业工程应提前编制专项</w:t>
      </w:r>
      <w:r>
        <w:rPr>
          <w:rFonts w:ascii="宋体" w:hAnsi="宋体" w:hint="eastAsia"/>
          <w:color w:val="000000"/>
          <w:sz w:val="24"/>
          <w:lang w:eastAsia="zh-CN"/>
        </w:rPr>
        <w:t>合适的方案</w:t>
      </w:r>
      <w:r>
        <w:rPr>
          <w:rFonts w:ascii="宋体" w:eastAsia="宋体" w:hAnsi="宋体" w:hint="eastAsia"/>
          <w:color w:val="000000"/>
          <w:sz w:val="24"/>
        </w:rPr>
        <w:t>，通过</w:t>
      </w:r>
      <w:r>
        <w:rPr>
          <w:rFonts w:ascii="宋体" w:hAnsi="宋体" w:hint="eastAsia"/>
          <w:color w:val="000000"/>
          <w:sz w:val="24"/>
          <w:lang w:eastAsia="zh-CN"/>
        </w:rPr>
        <w:t>相关项目</w:t>
      </w:r>
      <w:r>
        <w:rPr>
          <w:rFonts w:ascii="宋体" w:eastAsia="宋体" w:hAnsi="宋体" w:hint="eastAsia"/>
          <w:color w:val="000000"/>
          <w:sz w:val="24"/>
        </w:rPr>
        <w:t>（企业）技术负责人审核、</w:t>
      </w:r>
      <w:r>
        <w:rPr>
          <w:rFonts w:ascii="宋体" w:hAnsi="宋体" w:hint="eastAsia"/>
          <w:color w:val="000000"/>
          <w:sz w:val="24"/>
          <w:lang w:eastAsia="zh-CN"/>
        </w:rPr>
        <w:t>相关项目</w:t>
      </w:r>
      <w:r>
        <w:rPr>
          <w:rFonts w:ascii="宋体" w:eastAsia="宋体" w:hAnsi="宋体" w:hint="eastAsia"/>
          <w:color w:val="000000"/>
          <w:sz w:val="24"/>
        </w:rPr>
        <w:t>（企业）负责人审批合格后，方可用于指导施工。</w:t>
      </w:r>
    </w:p>
    <w:p>
      <w:pPr>
        <w:pStyle w:val="ListParagraph"/>
        <w:widowControl/>
        <w:numPr>
          <w:ilvl w:val="1"/>
          <w:numId w:val="9"/>
        </w:numPr>
        <w:suppressAutoHyphens/>
        <w:spacing w:line="360" w:lineRule="auto"/>
        <w:ind w:left="0" w:firstLine="240" w:firstLineChars="100"/>
        <w:jc w:val="left"/>
        <w:rPr>
          <w:rFonts w:ascii="宋体" w:eastAsia="宋体" w:hAnsi="宋体"/>
          <w:color w:val="000000"/>
          <w:sz w:val="24"/>
        </w:rPr>
      </w:pPr>
      <w:bookmarkStart w:id="92" w:name="_Toc204057225"/>
      <w:bookmarkStart w:id="93" w:name="_Toc285368796"/>
      <w:r>
        <w:rPr>
          <w:rFonts w:ascii="宋体" w:eastAsia="宋体" w:hAnsi="宋体" w:hint="eastAsia"/>
          <w:color w:val="000000"/>
          <w:sz w:val="24"/>
        </w:rPr>
        <w:t>施工机械准备</w:t>
      </w:r>
      <w:bookmarkEnd w:id="92"/>
      <w:bookmarkEnd w:id="93"/>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根据施工组织设计中确定的施工方法、施工机具、设备的要求和数量以及施工进度的安排，编制施工机具设备需用量</w:t>
      </w:r>
      <w:r>
        <w:rPr>
          <w:rFonts w:ascii="宋体" w:hAnsi="宋体" w:hint="eastAsia"/>
          <w:color w:val="000000"/>
          <w:sz w:val="24"/>
          <w:lang w:eastAsia="zh-CN"/>
        </w:rPr>
        <w:t>相关计划</w:t>
      </w:r>
      <w:r>
        <w:rPr>
          <w:rFonts w:ascii="宋体" w:eastAsia="宋体" w:hAnsi="宋体" w:hint="eastAsia"/>
          <w:color w:val="000000"/>
          <w:sz w:val="24"/>
        </w:rPr>
        <w:t>，组织施工机具设备需用量</w:t>
      </w:r>
      <w:r>
        <w:rPr>
          <w:rFonts w:ascii="宋体" w:hAnsi="宋体" w:hint="eastAsia"/>
          <w:color w:val="000000"/>
          <w:sz w:val="24"/>
          <w:lang w:eastAsia="zh-CN"/>
        </w:rPr>
        <w:t>相关计划</w:t>
      </w:r>
      <w:r>
        <w:rPr>
          <w:rFonts w:ascii="宋体" w:eastAsia="宋体" w:hAnsi="宋体" w:hint="eastAsia"/>
          <w:color w:val="000000"/>
          <w:sz w:val="24"/>
        </w:rPr>
        <w:t>的落实，确保按期进场。本工程拟投入的机械设备大部分为我单位自有的机械设备，不足部分与机械租赁公司租赁。</w:t>
      </w:r>
    </w:p>
    <w:p>
      <w:pPr>
        <w:pStyle w:val="ListParagraph"/>
        <w:widowControl/>
        <w:numPr>
          <w:ilvl w:val="1"/>
          <w:numId w:val="9"/>
        </w:numPr>
        <w:suppressAutoHyphens/>
        <w:spacing w:line="360" w:lineRule="auto"/>
        <w:ind w:left="0" w:firstLine="240" w:firstLineChars="100"/>
        <w:jc w:val="left"/>
        <w:rPr>
          <w:rFonts w:ascii="宋体" w:eastAsia="宋体" w:hAnsi="宋体"/>
          <w:color w:val="000000"/>
          <w:sz w:val="24"/>
        </w:rPr>
      </w:pPr>
      <w:bookmarkStart w:id="94" w:name="_Toc204057226"/>
      <w:bookmarkStart w:id="95" w:name="_Toc285368797"/>
      <w:r>
        <w:rPr>
          <w:rFonts w:ascii="宋体" w:eastAsia="宋体" w:hAnsi="宋体" w:hint="eastAsia"/>
          <w:color w:val="000000"/>
          <w:sz w:val="24"/>
        </w:rPr>
        <w:t>物资材料准</w:t>
      </w:r>
      <w:bookmarkEnd w:id="94"/>
      <w:bookmarkEnd w:id="95"/>
      <w:bookmarkStart w:id="96" w:name="_Toc434687798"/>
      <w:bookmarkStart w:id="97" w:name="_Toc405060523"/>
      <w:bookmarkStart w:id="98" w:name="_Toc405704573"/>
      <w:bookmarkStart w:id="99" w:name="_Toc378110218"/>
      <w:bookmarkStart w:id="100" w:name="_Toc431352548"/>
      <w:bookmarkStart w:id="101" w:name="_Toc433429679"/>
      <w:bookmarkStart w:id="102" w:name="_Toc431268117"/>
      <w:bookmarkStart w:id="103" w:name="_Toc424154311"/>
      <w:bookmarkStart w:id="104" w:name="_Toc424368611"/>
      <w:bookmarkStart w:id="105" w:name="_Toc433593885"/>
      <w:bookmarkStart w:id="106" w:name="_Toc434977916"/>
      <w:bookmarkStart w:id="107" w:name="_Toc438265852"/>
      <w:bookmarkStart w:id="108" w:name="_Toc440044777"/>
      <w:bookmarkStart w:id="109" w:name="_Toc442841210"/>
      <w:bookmarkStart w:id="110" w:name="_Toc444855880"/>
      <w:bookmarkStart w:id="111" w:name="_Toc468507623"/>
      <w:bookmarkStart w:id="112" w:name="_Toc438108030"/>
      <w:bookmarkStart w:id="113" w:name="_Toc459993347"/>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材料的准备</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根据施工组织设计中的施工进度</w:t>
      </w:r>
      <w:r>
        <w:rPr>
          <w:rFonts w:ascii="宋体" w:hAnsi="宋体" w:hint="eastAsia"/>
          <w:color w:val="000000"/>
          <w:sz w:val="24"/>
          <w:lang w:eastAsia="zh-CN"/>
        </w:rPr>
        <w:t>相关计划</w:t>
      </w:r>
      <w:r>
        <w:rPr>
          <w:rFonts w:ascii="宋体" w:eastAsia="宋体" w:hAnsi="宋体" w:hint="eastAsia"/>
          <w:color w:val="000000"/>
          <w:sz w:val="24"/>
        </w:rPr>
        <w:t>和施工预算中的工料分析，编制工程所需的材料用量</w:t>
      </w:r>
      <w:r>
        <w:rPr>
          <w:rFonts w:ascii="宋体" w:hAnsi="宋体" w:hint="eastAsia"/>
          <w:color w:val="000000"/>
          <w:sz w:val="24"/>
          <w:lang w:eastAsia="zh-CN"/>
        </w:rPr>
        <w:t>相关计划</w:t>
      </w:r>
      <w:r>
        <w:rPr>
          <w:rFonts w:ascii="宋体" w:eastAsia="宋体" w:hAnsi="宋体" w:hint="eastAsia"/>
          <w:color w:val="000000"/>
          <w:sz w:val="24"/>
        </w:rPr>
        <w:t>，作好备料、供料工作和确定仓库、堆场面积及组织运输的依据。</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根据材料需用量</w:t>
      </w:r>
      <w:r>
        <w:rPr>
          <w:rFonts w:ascii="宋体" w:hAnsi="宋体" w:hint="eastAsia"/>
          <w:color w:val="000000"/>
          <w:sz w:val="24"/>
          <w:lang w:eastAsia="zh-CN"/>
        </w:rPr>
        <w:t>相关计划</w:t>
      </w:r>
      <w:r>
        <w:rPr>
          <w:rFonts w:ascii="宋体" w:eastAsia="宋体" w:hAnsi="宋体" w:hint="eastAsia"/>
          <w:color w:val="000000"/>
          <w:sz w:val="24"/>
        </w:rPr>
        <w:t>，做好材料的申请、针对招标文件提出对材料的要求，我们将对多个供应厂家进行对比分析，择优选取，并做好订货和采购工作，使</w:t>
      </w:r>
      <w:r>
        <w:rPr>
          <w:rFonts w:ascii="宋体" w:hAnsi="宋体" w:hint="eastAsia"/>
          <w:color w:val="000000"/>
          <w:sz w:val="24"/>
          <w:lang w:eastAsia="zh-CN"/>
        </w:rPr>
        <w:t>相关计划</w:t>
      </w:r>
      <w:r>
        <w:rPr>
          <w:rFonts w:ascii="宋体" w:eastAsia="宋体" w:hAnsi="宋体" w:hint="eastAsia"/>
          <w:color w:val="000000"/>
          <w:sz w:val="24"/>
        </w:rPr>
        <w:t>得到落实。</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本工程拟投入的物资材料主要分为周转料具、工程实体材料两类，其组织进场方式如下：</w:t>
      </w:r>
    </w:p>
    <w:p>
      <w:pPr>
        <w:pStyle w:val="ListParagraph"/>
        <w:widowControl/>
        <w:numPr>
          <w:ilvl w:val="3"/>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对于钢管、扣件、竹胶板、木方、脚手板等周转料具，将根据施工进度，陆续组织分批进场。</w:t>
      </w:r>
    </w:p>
    <w:p>
      <w:pPr>
        <w:pStyle w:val="ListParagraph"/>
        <w:widowControl/>
        <w:numPr>
          <w:ilvl w:val="3"/>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对于木种、商品混凝土、商品砂浆等主要材料将响应招标文件要求采用合格供应商处采购。</w:t>
      </w:r>
    </w:p>
    <w:p>
      <w:pPr>
        <w:pStyle w:val="ListParagraph"/>
        <w:widowControl/>
        <w:numPr>
          <w:ilvl w:val="3"/>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施工中，提前编制材料需用</w:t>
      </w:r>
      <w:r>
        <w:rPr>
          <w:rFonts w:ascii="宋体" w:hAnsi="宋体" w:hint="eastAsia"/>
          <w:color w:val="000000"/>
          <w:sz w:val="24"/>
          <w:lang w:eastAsia="zh-CN"/>
        </w:rPr>
        <w:t>相关计划</w:t>
      </w:r>
      <w:r>
        <w:rPr>
          <w:rFonts w:ascii="宋体" w:eastAsia="宋体" w:hAnsi="宋体" w:hint="eastAsia"/>
          <w:color w:val="000000"/>
          <w:sz w:val="24"/>
        </w:rPr>
        <w:t>及采购</w:t>
      </w:r>
      <w:r>
        <w:rPr>
          <w:rFonts w:ascii="宋体" w:hAnsi="宋体" w:hint="eastAsia"/>
          <w:color w:val="000000"/>
          <w:sz w:val="24"/>
          <w:lang w:eastAsia="zh-CN"/>
        </w:rPr>
        <w:t>相关计划</w:t>
      </w:r>
      <w:r>
        <w:rPr>
          <w:rFonts w:ascii="宋体" w:eastAsia="宋体" w:hAnsi="宋体" w:hint="eastAsia"/>
          <w:color w:val="000000"/>
          <w:sz w:val="24"/>
        </w:rPr>
        <w:t>，</w:t>
      </w:r>
      <w:r>
        <w:rPr>
          <w:rFonts w:ascii="宋体" w:hAnsi="宋体" w:hint="eastAsia"/>
          <w:color w:val="000000"/>
          <w:sz w:val="24"/>
          <w:lang w:eastAsia="zh-CN"/>
        </w:rPr>
        <w:t>相关项目</w:t>
      </w:r>
      <w:r>
        <w:rPr>
          <w:rFonts w:ascii="宋体" w:eastAsia="宋体" w:hAnsi="宋体" w:hint="eastAsia"/>
          <w:color w:val="000000"/>
          <w:sz w:val="24"/>
        </w:rPr>
        <w:t>经理部材料员负责组织物资进场并负责做好物资进场的验收、入库及保管工作；并制定应急措施，对材料可能不能按时到场的情况事先确定应急</w:t>
      </w:r>
      <w:r>
        <w:rPr>
          <w:rFonts w:ascii="宋体" w:hAnsi="宋体" w:hint="eastAsia"/>
          <w:color w:val="000000"/>
          <w:sz w:val="24"/>
          <w:lang w:eastAsia="zh-CN"/>
        </w:rPr>
        <w:t>合适的方案</w:t>
      </w:r>
      <w:r>
        <w:rPr>
          <w:rFonts w:ascii="宋体" w:eastAsia="宋体" w:hAnsi="宋体" w:hint="eastAsia"/>
          <w:color w:val="000000"/>
          <w:sz w:val="24"/>
        </w:rPr>
        <w:t>。对业主指定供应或直接采购的物资，进场后由</w:t>
      </w:r>
      <w:r>
        <w:rPr>
          <w:rFonts w:ascii="宋体" w:hAnsi="宋体" w:hint="eastAsia"/>
          <w:color w:val="000000"/>
          <w:sz w:val="24"/>
          <w:lang w:eastAsia="zh-CN"/>
        </w:rPr>
        <w:t>相关项目</w:t>
      </w:r>
      <w:r>
        <w:rPr>
          <w:rFonts w:ascii="宋体" w:eastAsia="宋体" w:hAnsi="宋体" w:hint="eastAsia"/>
          <w:color w:val="000000"/>
          <w:sz w:val="24"/>
        </w:rPr>
        <w:t>经理部材料员会同业主、监理组织验收，并单独做好物资进场验收记录。</w:t>
      </w:r>
    </w:p>
    <w:p>
      <w:pPr>
        <w:pStyle w:val="Normal0"/>
        <w:widowControl/>
        <w:suppressAutoHyphens/>
        <w:spacing w:line="360" w:lineRule="auto"/>
        <w:ind w:firstLine="240" w:firstLineChars="100"/>
        <w:jc w:val="left"/>
        <w:rPr>
          <w:rFonts w:ascii="宋体" w:hAnsi="宋体"/>
          <w:color w:val="000000"/>
          <w:sz w:val="24"/>
        </w:rPr>
        <w:sectPr>
          <w:headerReference w:type="default" r:id="rId33"/>
          <w:footerReference w:type="default" r:id="rId34"/>
          <w:type w:val="nextPage"/>
          <w:pgSz w:w="11906" w:h="16838"/>
          <w:pgMar w:top="1440" w:right="1701" w:bottom="1440" w:left="1701" w:header="850" w:footer="992" w:gutter="0"/>
          <w:pgNumType w:start="12"/>
          <w:cols w:num="1" w:space="425"/>
          <w:titlePg w:val="0"/>
          <w:docGrid w:type="lines" w:linePitch="312" w:charSpace="0"/>
        </w:sectPr>
      </w:pPr>
      <w:bookmarkStart w:id="114" w:name="_Toc405060524"/>
      <w:bookmarkStart w:id="115" w:name="_Toc405704574"/>
      <w:bookmarkStart w:id="116" w:name="_Toc378110219"/>
      <w:bookmarkStart w:id="117" w:name="_Toc424368612"/>
      <w:bookmarkStart w:id="118" w:name="_Toc431268118"/>
      <w:bookmarkStart w:id="119" w:name="_Toc424154312"/>
      <w:bookmarkStart w:id="120" w:name="_Toc431352549"/>
      <w:bookmarkStart w:id="121" w:name="_Toc433429680"/>
      <w:bookmarkStart w:id="122" w:name="_Toc433593886"/>
      <w:bookmarkStart w:id="123" w:name="_Toc459993348"/>
      <w:bookmarkStart w:id="124" w:name="_Toc442841211"/>
      <w:bookmarkStart w:id="125" w:name="_Toc468507624"/>
      <w:bookmarkStart w:id="126" w:name="_Toc434687799"/>
      <w:bookmarkStart w:id="127" w:name="_Toc440044778"/>
      <w:bookmarkStart w:id="128" w:name="_Toc434977917"/>
      <w:bookmarkStart w:id="129" w:name="_Toc438108031"/>
      <w:bookmarkStart w:id="130" w:name="_Toc444855881"/>
      <w:bookmarkStart w:id="131" w:name="_Toc438265853"/>
      <w:r>
        <w:rPr>
          <w:rFonts w:ascii="宋体" w:eastAsia="宋体" w:hAnsi="宋体" w:hint="eastAsia"/>
          <w:color w:val="000000"/>
          <w:sz w:val="24"/>
        </w:rPr>
        <w:t>3.2构配件的加工订货准备</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根据施工进度</w:t>
      </w:r>
      <w:r>
        <w:rPr>
          <w:rFonts w:ascii="宋体" w:hAnsi="宋体" w:hint="eastAsia"/>
          <w:color w:val="000000"/>
          <w:sz w:val="24"/>
          <w:lang w:eastAsia="zh-CN"/>
        </w:rPr>
        <w:t>相关计划</w:t>
      </w:r>
      <w:r>
        <w:rPr>
          <w:rFonts w:ascii="宋体" w:eastAsia="宋体" w:hAnsi="宋体" w:hint="eastAsia"/>
          <w:color w:val="000000"/>
          <w:sz w:val="24"/>
        </w:rPr>
        <w:t>及施工预算所提供的各种构配件数量，做好加工放样工作，并编制相应的需用量</w:t>
      </w:r>
      <w:r>
        <w:rPr>
          <w:rFonts w:ascii="宋体" w:hAnsi="宋体" w:hint="eastAsia"/>
          <w:color w:val="000000"/>
          <w:sz w:val="24"/>
          <w:lang w:eastAsia="zh-CN"/>
        </w:rPr>
        <w:t>相关计划</w:t>
      </w:r>
      <w:r>
        <w:rPr>
          <w:rFonts w:ascii="宋体" w:eastAsia="宋体" w:hAnsi="宋体" w:hint="eastAsia"/>
          <w:color w:val="000000"/>
          <w:sz w:val="24"/>
        </w:rPr>
        <w:t>。组织构配件按</w:t>
      </w:r>
      <w:r>
        <w:rPr>
          <w:rFonts w:ascii="宋体" w:hAnsi="宋体" w:hint="eastAsia"/>
          <w:color w:val="000000"/>
          <w:sz w:val="24"/>
          <w:lang w:eastAsia="zh-CN"/>
        </w:rPr>
        <w:t>相关计划</w:t>
      </w:r>
      <w:r>
        <w:rPr>
          <w:rFonts w:ascii="宋体" w:eastAsia="宋体" w:hAnsi="宋体" w:hint="eastAsia"/>
          <w:color w:val="000000"/>
          <w:sz w:val="24"/>
        </w:rPr>
        <w:t>进场，按施工平面布置图作好存放和保管。</w:t>
      </w:r>
      <w:bookmarkStart w:id="132" w:name="_Toc204057227"/>
      <w:bookmarkStart w:id="133" w:name="_Toc285368798"/>
    </w:p>
    <w:p>
      <w:pPr>
        <w:pStyle w:val="ListParagraph"/>
        <w:widowControl/>
        <w:numPr>
          <w:ilvl w:val="1"/>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临设设施准备</w:t>
      </w:r>
      <w:bookmarkEnd w:id="132"/>
      <w:bookmarkEnd w:id="133"/>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bookmarkStart w:id="134" w:name="_Toc459993351"/>
      <w:bookmarkStart w:id="135" w:name="_Toc440044781"/>
      <w:bookmarkStart w:id="136" w:name="_Toc424154315"/>
      <w:bookmarkStart w:id="137" w:name="_Toc431352552"/>
      <w:bookmarkStart w:id="138" w:name="_Toc434687802"/>
      <w:bookmarkStart w:id="139" w:name="_Toc405704577"/>
      <w:bookmarkStart w:id="140" w:name="_Toc438265856"/>
      <w:bookmarkStart w:id="141" w:name="_Toc431268121"/>
      <w:bookmarkStart w:id="142" w:name="_Toc438108034"/>
      <w:bookmarkStart w:id="143" w:name="_Toc378110222"/>
      <w:bookmarkStart w:id="144" w:name="_Toc424368615"/>
      <w:bookmarkStart w:id="145" w:name="_Toc442841214"/>
      <w:bookmarkStart w:id="146" w:name="_Toc444855884"/>
      <w:bookmarkStart w:id="147" w:name="_Toc405060527"/>
      <w:bookmarkStart w:id="148" w:name="_Toc468507627"/>
      <w:bookmarkStart w:id="149" w:name="_Toc433429683"/>
      <w:bookmarkStart w:id="150" w:name="_Toc433593889"/>
      <w:bookmarkStart w:id="151" w:name="_Toc434977920"/>
      <w:r>
        <w:rPr>
          <w:rFonts w:ascii="宋体" w:eastAsia="宋体" w:hAnsi="宋体" w:hint="eastAsia"/>
          <w:color w:val="000000"/>
          <w:sz w:val="24"/>
        </w:rPr>
        <w:t>场地控制网的测量，建立控制基准点</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为保证施工控制网的精确性，工程开工时根据规划院及贵所提供的基准点设置测量控制网，各控制点均应为永久性的坐标桩和水平基准点桩，必要时设防保护措施，以防破坏，利用测量控制网定期复测和校正施工控制轴线、施工测量基准点等，确保施工精度。</w:t>
      </w:r>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现场临建准备</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由于本工程地点坟山，活比较零散，我方将按照现场平面布置图的布置，在业主指定区域附近搭设职工宿舍，以满足人员住宿要求，若我单位一旦中标，可立即组织临建搭设工作。</w:t>
      </w:r>
      <w:bookmarkStart w:id="152" w:name="_Toc204057228"/>
      <w:bookmarkStart w:id="153" w:name="_Toc285368799"/>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施工队伍准备</w:t>
      </w:r>
      <w:bookmarkEnd w:id="152"/>
      <w:bookmarkEnd w:id="153"/>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根据确定的现场</w:t>
      </w:r>
      <w:r>
        <w:rPr>
          <w:rFonts w:ascii="宋体" w:hAnsi="宋体" w:hint="eastAsia"/>
          <w:color w:val="000000"/>
          <w:sz w:val="24"/>
          <w:lang w:eastAsia="zh-CN"/>
        </w:rPr>
        <w:t>管理管控</w:t>
      </w:r>
      <w:r>
        <w:rPr>
          <w:rFonts w:ascii="宋体" w:eastAsia="宋体" w:hAnsi="宋体" w:hint="eastAsia"/>
          <w:color w:val="000000"/>
          <w:sz w:val="24"/>
        </w:rPr>
        <w:t>机构建立</w:t>
      </w:r>
      <w:r>
        <w:rPr>
          <w:rFonts w:ascii="宋体" w:hAnsi="宋体" w:hint="eastAsia"/>
          <w:color w:val="000000"/>
          <w:sz w:val="24"/>
          <w:lang w:eastAsia="zh-CN"/>
        </w:rPr>
        <w:t>相关项目</w:t>
      </w:r>
      <w:r>
        <w:rPr>
          <w:rFonts w:ascii="宋体" w:eastAsia="宋体" w:hAnsi="宋体" w:hint="eastAsia"/>
          <w:color w:val="000000"/>
          <w:sz w:val="24"/>
        </w:rPr>
        <w:t>施工</w:t>
      </w:r>
      <w:r>
        <w:rPr>
          <w:rFonts w:ascii="宋体" w:hAnsi="宋体" w:hint="eastAsia"/>
          <w:color w:val="000000"/>
          <w:sz w:val="24"/>
          <w:lang w:eastAsia="zh-CN"/>
        </w:rPr>
        <w:t>管理管控</w:t>
      </w:r>
      <w:r>
        <w:rPr>
          <w:rFonts w:ascii="宋体" w:eastAsia="宋体" w:hAnsi="宋体" w:hint="eastAsia"/>
          <w:color w:val="000000"/>
          <w:sz w:val="24"/>
        </w:rPr>
        <w:t>层，选择高素质的施工专业劳务队伍进行该工程的施工。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我单位有大量稳定、技术素质高的施工人员和</w:t>
      </w:r>
      <w:r>
        <w:rPr>
          <w:rFonts w:ascii="宋体" w:hAnsi="宋体" w:hint="eastAsia"/>
          <w:color w:val="000000"/>
          <w:sz w:val="24"/>
          <w:lang w:eastAsia="zh-CN"/>
        </w:rPr>
        <w:t>管理管控</w:t>
      </w:r>
      <w:r>
        <w:rPr>
          <w:rFonts w:ascii="宋体" w:eastAsia="宋体" w:hAnsi="宋体" w:hint="eastAsia"/>
          <w:color w:val="000000"/>
          <w:sz w:val="24"/>
        </w:rPr>
        <w:t>人员，以及实力雄厚的供应商，能够有效快速地组织劳动力资源进场，根据该工程的特点和施工进度</w:t>
      </w:r>
      <w:r>
        <w:rPr>
          <w:rFonts w:ascii="宋体" w:hAnsi="宋体" w:hint="eastAsia"/>
          <w:color w:val="000000"/>
          <w:sz w:val="24"/>
          <w:lang w:eastAsia="zh-CN"/>
        </w:rPr>
        <w:t>相关计划</w:t>
      </w:r>
      <w:r>
        <w:rPr>
          <w:rFonts w:ascii="宋体" w:eastAsia="宋体" w:hAnsi="宋体" w:hint="eastAsia"/>
          <w:color w:val="000000"/>
          <w:sz w:val="24"/>
        </w:rPr>
        <w:t>的要求，确定各施工阶段的劳动力需用量</w:t>
      </w:r>
      <w:r>
        <w:rPr>
          <w:rFonts w:ascii="宋体" w:hAnsi="宋体" w:hint="eastAsia"/>
          <w:color w:val="000000"/>
          <w:sz w:val="24"/>
          <w:lang w:eastAsia="zh-CN"/>
        </w:rPr>
        <w:t>相关计划</w:t>
      </w:r>
      <w:r>
        <w:rPr>
          <w:rFonts w:ascii="宋体" w:eastAsia="宋体" w:hAnsi="宋体" w:hint="eastAsia"/>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做好工人的技术、安全、思想和法制教育，使工人树立“质量第一，安全第一”的正确思想，遵守有关施工和安全的技术法规，遵守地方治安法规，根据大连市及厂区</w:t>
      </w:r>
      <w:r>
        <w:rPr>
          <w:rFonts w:ascii="宋体" w:hAnsi="宋体" w:hint="eastAsia"/>
          <w:color w:val="000000"/>
          <w:sz w:val="24"/>
          <w:lang w:eastAsia="zh-CN"/>
        </w:rPr>
        <w:t>管理管控</w:t>
      </w:r>
      <w:r>
        <w:rPr>
          <w:rFonts w:ascii="宋体" w:eastAsia="宋体" w:hAnsi="宋体" w:hint="eastAsia"/>
          <w:color w:val="000000"/>
          <w:sz w:val="24"/>
        </w:rPr>
        <w:t>部门的要求，对工人全部实行实名制卡和</w:t>
      </w:r>
      <w:r>
        <w:rPr>
          <w:rFonts w:ascii="宋体" w:hAnsi="宋体" w:hint="eastAsia"/>
          <w:color w:val="000000"/>
          <w:sz w:val="24"/>
          <w:lang w:eastAsia="zh-CN"/>
        </w:rPr>
        <w:t>管理管控</w:t>
      </w:r>
      <w:r>
        <w:rPr>
          <w:rFonts w:ascii="宋体" w:eastAsia="宋体" w:hAnsi="宋体" w:hint="eastAsia"/>
          <w:color w:val="000000"/>
          <w:sz w:val="24"/>
        </w:rPr>
        <w:t>。</w:t>
      </w:r>
      <w:bookmarkStart w:id="154" w:name="_Toc204057229"/>
      <w:bookmarkStart w:id="155" w:name="_Toc285368800"/>
    </w:p>
    <w:p>
      <w:pPr>
        <w:pStyle w:val="ListParagraph"/>
        <w:widowControl/>
        <w:numPr>
          <w:ilvl w:val="1"/>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作业条件准备</w:t>
      </w:r>
      <w:bookmarkEnd w:id="154"/>
      <w:bookmarkEnd w:id="155"/>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向班组进行</w:t>
      </w:r>
      <w:r>
        <w:rPr>
          <w:rFonts w:ascii="宋体" w:hAnsi="宋体" w:hint="eastAsia"/>
          <w:color w:val="000000"/>
          <w:sz w:val="24"/>
          <w:lang w:eastAsia="zh-CN"/>
        </w:rPr>
        <w:t>相关计划</w:t>
      </w:r>
      <w:r>
        <w:rPr>
          <w:rFonts w:ascii="宋体" w:eastAsia="宋体" w:hAnsi="宋体" w:hint="eastAsia"/>
          <w:color w:val="000000"/>
          <w:sz w:val="24"/>
        </w:rPr>
        <w:t>交底和质量、技术和安全交底，下达工程施工任务单，使班组明确有关任务、质量、技术、安全、进度等要求。</w:t>
      </w:r>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做好工作面准备：检查道路、水平和垂直运输是否畅通，操作场所是否清理干净。</w:t>
      </w:r>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sectPr>
          <w:headerReference w:type="default" r:id="rId35"/>
          <w:footerReference w:type="default" r:id="rId36"/>
          <w:type w:val="nextPage"/>
          <w:pgSz w:w="11906" w:h="16838"/>
          <w:pgMar w:top="1440" w:right="1701" w:bottom="1440" w:left="1701" w:header="850" w:footer="992" w:gutter="0"/>
          <w:pgNumType w:start="13"/>
          <w:cols w:num="1" w:space="425"/>
          <w:titlePg w:val="0"/>
          <w:docGrid w:type="lines" w:linePitch="312" w:charSpace="0"/>
        </w:sectPr>
      </w:pPr>
      <w:r>
        <w:rPr>
          <w:rFonts w:ascii="宋体" w:eastAsia="宋体" w:hAnsi="宋体" w:hint="eastAsia"/>
          <w:color w:val="000000"/>
          <w:sz w:val="24"/>
        </w:rPr>
        <w:t>对材料、构配件的质量、规格、数量等进行清查，并有相当一部分运到指定的作业地点。</w:t>
      </w:r>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施工机械就位并进行试运转，做好维护保养，以保证施工机械能正常运行。</w:t>
      </w:r>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检查前道工序的质量。在前道工序的质量合格后才能进行下道工序施工。</w:t>
      </w:r>
    </w:p>
    <w:p>
      <w:pPr>
        <w:pStyle w:val="ListParagraph"/>
        <w:widowControl/>
        <w:numPr>
          <w:ilvl w:val="2"/>
          <w:numId w:val="9"/>
        </w:numPr>
        <w:suppressAutoHyphens/>
        <w:spacing w:line="360" w:lineRule="auto"/>
        <w:ind w:left="0" w:firstLine="240" w:firstLineChars="100"/>
        <w:jc w:val="left"/>
        <w:rPr>
          <w:rFonts w:ascii="宋体" w:eastAsia="宋体" w:hAnsi="宋体"/>
          <w:color w:val="000000"/>
          <w:sz w:val="24"/>
        </w:rPr>
      </w:pPr>
      <w:r>
        <w:rPr>
          <w:rFonts w:ascii="宋体" w:eastAsia="宋体" w:hAnsi="宋体" w:hint="eastAsia"/>
          <w:color w:val="000000"/>
          <w:sz w:val="24"/>
        </w:rPr>
        <w:t>积极配合业主、监理做好前期已完工作的验收及维护工作，做好总承包方的协调、照管等事务，以确保工程顺利进行。</w:t>
      </w:r>
    </w:p>
    <w:p>
      <w:pPr>
        <w:pStyle w:val="BZ1"/>
        <w:rPr>
          <w:rFonts w:eastAsia="宋体"/>
        </w:rPr>
        <w:sectPr>
          <w:headerReference w:type="default" r:id="rId37"/>
          <w:footerReference w:type="default" r:id="rId38"/>
          <w:type w:val="nextPage"/>
          <w:pgSz w:w="11906" w:h="16838"/>
          <w:pgMar w:top="1440" w:right="1701" w:bottom="1440" w:left="1701" w:header="850" w:footer="992" w:gutter="0"/>
          <w:pgNumType w:start="14"/>
          <w:cols w:num="1" w:space="425"/>
          <w:titlePg w:val="0"/>
          <w:docGrid w:type="lines" w:linePitch="312" w:charSpace="0"/>
        </w:sectPr>
      </w:pPr>
    </w:p>
    <w:p>
      <w:pPr>
        <w:pStyle w:val="BZ1"/>
        <w:jc w:val="center"/>
        <w:rPr>
          <w:rFonts w:eastAsia="宋体"/>
        </w:rPr>
      </w:pPr>
      <w:bookmarkStart w:id="156" w:name="_Toc491077886"/>
      <w:r>
        <w:rPr>
          <w:rFonts w:ascii="宋体" w:eastAsia="宋体" w:hAnsi="宋体" w:hint="eastAsia"/>
        </w:rPr>
        <w:t>施工总平面图与布置</w:t>
      </w:r>
      <w:bookmarkEnd w:id="156"/>
    </w:p>
    <w:p>
      <w:pPr>
        <w:pStyle w:val="BZ2"/>
        <w:rPr>
          <w:rFonts w:ascii="宋体" w:eastAsia="宋体" w:hAnsi="宋体"/>
        </w:rPr>
      </w:pPr>
      <w:r>
        <w:rPr>
          <w:rFonts w:ascii="宋体" w:eastAsia="宋体" w:hAnsi="宋体" w:hint="eastAsia"/>
        </w:rPr>
        <w:t xml:space="preserve"> </w:t>
      </w:r>
      <w:bookmarkStart w:id="157" w:name="_Toc491077887"/>
      <w:r>
        <w:rPr>
          <w:rFonts w:ascii="宋体" w:eastAsia="宋体" w:hAnsi="宋体" w:hint="eastAsia"/>
        </w:rPr>
        <w:t>施工总体布置</w:t>
      </w:r>
      <w:bookmarkEnd w:id="157"/>
    </w:p>
    <w:p>
      <w:pPr>
        <w:pStyle w:val="Normal0"/>
        <w:widowControl/>
        <w:suppressAutoHyphens/>
        <w:spacing w:before="240" w:line="300" w:lineRule="auto"/>
        <w:ind w:firstLine="480" w:firstLineChars="200"/>
        <w:rPr>
          <w:rFonts w:ascii="宋体" w:hAnsi="宋体" w:cs="宋体"/>
          <w:color w:val="000000"/>
          <w:kern w:val="0"/>
          <w:sz w:val="24"/>
          <w:szCs w:val="21"/>
        </w:rPr>
      </w:pPr>
      <w:r>
        <w:rPr>
          <w:rFonts w:ascii="宋体" w:eastAsia="宋体" w:hAnsi="宋体" w:cs="宋体" w:hint="eastAsia"/>
          <w:color w:val="000000"/>
          <w:kern w:val="0"/>
          <w:sz w:val="24"/>
          <w:szCs w:val="21"/>
        </w:rPr>
        <w:t>本工程范围内</w:t>
      </w:r>
      <w:r>
        <w:rPr>
          <w:rFonts w:ascii="宋体" w:hAnsi="宋体" w:cs="宋体" w:hint="eastAsia"/>
          <w:color w:val="000000"/>
          <w:kern w:val="0"/>
          <w:sz w:val="24"/>
          <w:szCs w:val="21"/>
          <w:lang w:eastAsia="zh-CN"/>
        </w:rPr>
        <w:t>相关项目合适的内容</w:t>
      </w:r>
      <w:r>
        <w:rPr>
          <w:rFonts w:ascii="宋体" w:eastAsia="宋体" w:hAnsi="宋体" w:cs="宋体" w:hint="eastAsia"/>
          <w:color w:val="000000"/>
          <w:kern w:val="0"/>
          <w:sz w:val="24"/>
          <w:szCs w:val="21"/>
        </w:rPr>
        <w:t>较多，绿地分布大，距离长，工期紧。所以在施工总体布置上分为4个施工区：种植工程施工区、土建施工区、安装施工区、配套工程施工区，并组成相对应的施工队，其中种植施工队分为大树移植施工班和苗木种植施工班。土建施工队为园林建筑施工班和市政设施施工班。各个施工区、队、班及各工种在施工中相互配合，紧密合作，在</w:t>
      </w:r>
      <w:r>
        <w:rPr>
          <w:rFonts w:ascii="宋体" w:hAnsi="宋体" w:cs="宋体" w:hint="eastAsia"/>
          <w:color w:val="000000"/>
          <w:kern w:val="0"/>
          <w:sz w:val="24"/>
          <w:szCs w:val="21"/>
          <w:lang w:eastAsia="zh-CN"/>
        </w:rPr>
        <w:t>相关项目</w:t>
      </w:r>
      <w:r>
        <w:rPr>
          <w:rFonts w:ascii="宋体" w:eastAsia="宋体" w:hAnsi="宋体" w:cs="宋体" w:hint="eastAsia"/>
          <w:color w:val="000000"/>
          <w:kern w:val="0"/>
          <w:sz w:val="24"/>
          <w:szCs w:val="21"/>
        </w:rPr>
        <w:t>部的统一协调下流水作业，种植、土建、安装、配套工程相互交替进行。</w:t>
      </w:r>
    </w:p>
    <w:p>
      <w:pPr>
        <w:pStyle w:val="ListParagraph"/>
        <w:widowControl/>
        <w:numPr>
          <w:ilvl w:val="1"/>
          <w:numId w:val="23"/>
        </w:numPr>
        <w:suppressAutoHyphens/>
        <w:spacing w:before="120" w:line="300" w:lineRule="auto"/>
        <w:ind w:left="0" w:firstLine="567" w:firstLineChars="0"/>
        <w:rPr>
          <w:rFonts w:ascii="宋体" w:eastAsia="宋体" w:hAnsi="宋体"/>
          <w:color w:val="000000"/>
          <w:sz w:val="24"/>
        </w:rPr>
      </w:pPr>
      <w:r>
        <w:rPr>
          <w:rFonts w:ascii="宋体" w:eastAsia="宋体" w:hAnsi="宋体" w:hint="eastAsia"/>
          <w:color w:val="000000"/>
          <w:sz w:val="24"/>
        </w:rPr>
        <w:t>场地总平面布置</w:t>
      </w:r>
    </w:p>
    <w:p>
      <w:pPr>
        <w:pStyle w:val="Normal0"/>
        <w:widowControl/>
        <w:suppressAutoHyphens/>
        <w:spacing w:before="240" w:line="300" w:lineRule="auto"/>
        <w:ind w:firstLine="480" w:firstLineChars="200"/>
        <w:rPr>
          <w:rFonts w:ascii="宋体" w:hAnsi="宋体" w:cs="宋体"/>
          <w:color w:val="000000"/>
          <w:kern w:val="0"/>
          <w:sz w:val="24"/>
          <w:szCs w:val="21"/>
        </w:rPr>
      </w:pPr>
      <w:r>
        <w:rPr>
          <w:rFonts w:ascii="宋体" w:eastAsia="宋体" w:hAnsi="宋体" w:cs="宋体" w:hint="eastAsia"/>
          <w:color w:val="000000"/>
          <w:kern w:val="0"/>
          <w:sz w:val="24"/>
          <w:szCs w:val="21"/>
        </w:rPr>
        <w:t>施工现场平面布置按照建设部15 号令《建设工程施工现场</w:t>
      </w:r>
      <w:r>
        <w:rPr>
          <w:rFonts w:ascii="宋体" w:hAnsi="宋体" w:cs="宋体" w:hint="eastAsia"/>
          <w:color w:val="000000"/>
          <w:kern w:val="0"/>
          <w:sz w:val="24"/>
          <w:szCs w:val="21"/>
          <w:lang w:eastAsia="zh-CN"/>
        </w:rPr>
        <w:t>管理管控</w:t>
      </w:r>
      <w:r>
        <w:rPr>
          <w:rFonts w:ascii="宋体" w:eastAsia="宋体" w:hAnsi="宋体" w:cs="宋体" w:hint="eastAsia"/>
          <w:color w:val="000000"/>
          <w:kern w:val="0"/>
          <w:sz w:val="24"/>
          <w:szCs w:val="21"/>
        </w:rPr>
        <w:t>规定》的要求和城市建设</w:t>
      </w:r>
      <w:r>
        <w:rPr>
          <w:rFonts w:ascii="宋体" w:hAnsi="宋体" w:cs="宋体" w:hint="eastAsia"/>
          <w:color w:val="000000"/>
          <w:kern w:val="0"/>
          <w:sz w:val="24"/>
          <w:szCs w:val="21"/>
          <w:lang w:eastAsia="zh-CN"/>
        </w:rPr>
        <w:t>管理管控</w:t>
      </w:r>
      <w:r>
        <w:rPr>
          <w:rFonts w:ascii="宋体" w:eastAsia="宋体" w:hAnsi="宋体" w:cs="宋体" w:hint="eastAsia"/>
          <w:color w:val="000000"/>
          <w:kern w:val="0"/>
          <w:sz w:val="24"/>
          <w:szCs w:val="21"/>
        </w:rPr>
        <w:t>的有关法规，科学合理地安排施工现场，协调各专业</w:t>
      </w:r>
      <w:r>
        <w:rPr>
          <w:rFonts w:ascii="宋体" w:hAnsi="宋体" w:cs="宋体" w:hint="eastAsia"/>
          <w:color w:val="000000"/>
          <w:kern w:val="0"/>
          <w:sz w:val="24"/>
          <w:szCs w:val="21"/>
          <w:lang w:eastAsia="zh-CN"/>
        </w:rPr>
        <w:t>管理管控</w:t>
      </w:r>
      <w:r>
        <w:rPr>
          <w:rFonts w:ascii="宋体" w:eastAsia="宋体" w:hAnsi="宋体" w:cs="宋体" w:hint="eastAsia"/>
          <w:color w:val="000000"/>
          <w:kern w:val="0"/>
          <w:sz w:val="24"/>
          <w:szCs w:val="21"/>
        </w:rPr>
        <w:t>和各项施工活动，控制污染，创造文明安全的施工环境和人流、物流、资金流、信息流畅通的施工秩序所进行的一系列</w:t>
      </w:r>
      <w:r>
        <w:rPr>
          <w:rFonts w:ascii="宋体" w:hAnsi="宋体" w:cs="宋体" w:hint="eastAsia"/>
          <w:color w:val="000000"/>
          <w:kern w:val="0"/>
          <w:sz w:val="24"/>
          <w:szCs w:val="21"/>
          <w:lang w:eastAsia="zh-CN"/>
        </w:rPr>
        <w:t>管理管控</w:t>
      </w:r>
      <w:r>
        <w:rPr>
          <w:rFonts w:ascii="宋体" w:eastAsia="宋体" w:hAnsi="宋体" w:cs="宋体" w:hint="eastAsia"/>
          <w:color w:val="000000"/>
          <w:kern w:val="0"/>
          <w:sz w:val="24"/>
          <w:szCs w:val="21"/>
        </w:rPr>
        <w:t>工作。 (施工平面图布置见附件)总平面布置是否合理，直接关系到施工进度的快慢，安全文明施工的要求和体现我公司</w:t>
      </w:r>
      <w:r>
        <w:rPr>
          <w:rFonts w:ascii="宋体" w:hAnsi="宋体" w:cs="宋体" w:hint="eastAsia"/>
          <w:color w:val="000000"/>
          <w:kern w:val="0"/>
          <w:sz w:val="24"/>
          <w:szCs w:val="21"/>
          <w:lang w:eastAsia="zh-CN"/>
        </w:rPr>
        <w:t>管理管控</w:t>
      </w:r>
      <w:r>
        <w:rPr>
          <w:rFonts w:ascii="宋体" w:eastAsia="宋体" w:hAnsi="宋体" w:cs="宋体" w:hint="eastAsia"/>
          <w:color w:val="000000"/>
          <w:kern w:val="0"/>
          <w:sz w:val="24"/>
          <w:szCs w:val="21"/>
        </w:rPr>
        <w:t>水平的高低，施工平面布置应考虑以下因素：</w:t>
      </w:r>
    </w:p>
    <w:p>
      <w:pPr>
        <w:pStyle w:val="ListParagraph"/>
        <w:widowControl/>
        <w:numPr>
          <w:ilvl w:val="2"/>
          <w:numId w:val="23"/>
        </w:numPr>
        <w:suppressAutoHyphens/>
        <w:spacing w:before="120" w:line="300" w:lineRule="auto"/>
        <w:ind w:firstLineChars="0"/>
        <w:rPr>
          <w:rFonts w:ascii="宋体" w:eastAsia="宋体" w:hAnsi="宋体"/>
          <w:color w:val="000000"/>
          <w:sz w:val="24"/>
        </w:rPr>
      </w:pPr>
      <w:r>
        <w:rPr>
          <w:rFonts w:ascii="宋体" w:eastAsia="宋体" w:hAnsi="宋体" w:hint="eastAsia"/>
          <w:color w:val="000000"/>
          <w:sz w:val="24"/>
        </w:rPr>
        <w:t>确保场内道路畅通，满足施工对材料堆放场地的要求，尽量减少二次搬运和场内运输。</w:t>
      </w:r>
    </w:p>
    <w:p>
      <w:pPr>
        <w:pStyle w:val="ListParagraph"/>
        <w:widowControl/>
        <w:numPr>
          <w:ilvl w:val="2"/>
          <w:numId w:val="23"/>
        </w:numPr>
        <w:suppressAutoHyphens/>
        <w:spacing w:before="120" w:line="300" w:lineRule="auto"/>
        <w:ind w:firstLineChars="0"/>
        <w:rPr>
          <w:rFonts w:ascii="宋体" w:eastAsia="宋体" w:hAnsi="宋体"/>
          <w:color w:val="000000"/>
          <w:sz w:val="24"/>
        </w:rPr>
      </w:pPr>
      <w:r>
        <w:rPr>
          <w:rFonts w:ascii="宋体" w:eastAsia="宋体" w:hAnsi="宋体" w:hint="eastAsia"/>
          <w:color w:val="000000"/>
          <w:sz w:val="24"/>
        </w:rPr>
        <w:t>满足安全、文明施工对场地的要求，生活区和生产区要有明显的隔离。</w:t>
      </w:r>
    </w:p>
    <w:p>
      <w:pPr>
        <w:pStyle w:val="ListParagraph"/>
        <w:widowControl/>
        <w:numPr>
          <w:ilvl w:val="2"/>
          <w:numId w:val="23"/>
        </w:numPr>
        <w:suppressAutoHyphens/>
        <w:spacing w:before="120" w:line="300" w:lineRule="auto"/>
        <w:ind w:firstLineChars="0"/>
        <w:rPr>
          <w:rFonts w:ascii="宋体" w:eastAsia="宋体" w:hAnsi="宋体"/>
          <w:color w:val="000000"/>
          <w:sz w:val="24"/>
        </w:rPr>
      </w:pPr>
      <w:r>
        <w:rPr>
          <w:rFonts w:ascii="宋体" w:eastAsia="宋体" w:hAnsi="宋体" w:hint="eastAsia"/>
          <w:color w:val="000000"/>
          <w:sz w:val="24"/>
        </w:rPr>
        <w:t>符合施工现场消防要求和环境卫生的要求。</w:t>
      </w:r>
    </w:p>
    <w:p>
      <w:pPr>
        <w:pStyle w:val="ListParagraph"/>
        <w:widowControl/>
        <w:numPr>
          <w:ilvl w:val="2"/>
          <w:numId w:val="23"/>
        </w:numPr>
        <w:suppressAutoHyphens/>
        <w:spacing w:before="120" w:line="300" w:lineRule="auto"/>
        <w:ind w:firstLineChars="0"/>
        <w:rPr>
          <w:rFonts w:ascii="宋体" w:eastAsia="宋体" w:hAnsi="宋体"/>
          <w:color w:val="000000"/>
          <w:sz w:val="24"/>
        </w:rPr>
      </w:pPr>
      <w:r>
        <w:rPr>
          <w:rFonts w:ascii="宋体" w:eastAsia="宋体" w:hAnsi="宋体" w:hint="eastAsia"/>
          <w:color w:val="000000"/>
          <w:sz w:val="24"/>
        </w:rPr>
        <w:t>符合施工现场安全用电规范要求。</w:t>
      </w:r>
    </w:p>
    <w:p>
      <w:pPr>
        <w:pStyle w:val="ListParagraph"/>
        <w:widowControl/>
        <w:numPr>
          <w:ilvl w:val="2"/>
          <w:numId w:val="23"/>
        </w:numPr>
        <w:suppressAutoHyphens/>
        <w:spacing w:before="120" w:line="300" w:lineRule="auto"/>
        <w:ind w:firstLineChars="0"/>
        <w:rPr>
          <w:rFonts w:ascii="宋体" w:eastAsia="宋体" w:hAnsi="宋体"/>
          <w:color w:val="000000"/>
          <w:sz w:val="24"/>
        </w:rPr>
      </w:pPr>
      <w:r>
        <w:rPr>
          <w:rFonts w:ascii="宋体" w:eastAsia="宋体" w:hAnsi="宋体" w:hint="eastAsia"/>
          <w:color w:val="000000"/>
          <w:sz w:val="24"/>
        </w:rPr>
        <w:t>场地布置中，要避免相关单位相互干扰，还要满足</w:t>
      </w:r>
      <w:r>
        <w:rPr>
          <w:rFonts w:ascii="宋体" w:hAnsi="宋体" w:hint="eastAsia"/>
          <w:color w:val="000000"/>
          <w:sz w:val="24"/>
          <w:lang w:eastAsia="zh-CN"/>
        </w:rPr>
        <w:t>合约甲方</w:t>
      </w:r>
      <w:r>
        <w:rPr>
          <w:rFonts w:ascii="宋体" w:eastAsia="宋体" w:hAnsi="宋体" w:hint="eastAsia"/>
          <w:color w:val="000000"/>
          <w:sz w:val="24"/>
        </w:rPr>
        <w:t>的有关要求。</w:t>
      </w:r>
    </w:p>
    <w:p>
      <w:pPr>
        <w:pStyle w:val="BZ2"/>
        <w:rPr>
          <w:rFonts w:ascii="宋体" w:eastAsia="宋体" w:hAnsi="宋体"/>
        </w:rPr>
      </w:pPr>
      <w:bookmarkStart w:id="158" w:name="_Toc491077888"/>
      <w:r>
        <w:rPr>
          <w:rFonts w:ascii="宋体" w:eastAsia="宋体" w:hAnsi="宋体" w:hint="eastAsia"/>
        </w:rPr>
        <w:t>临时道路及设施</w:t>
      </w:r>
      <w:bookmarkEnd w:id="158"/>
    </w:p>
    <w:p>
      <w:pPr>
        <w:pStyle w:val="ListParagraph"/>
        <w:widowControl/>
        <w:numPr>
          <w:ilvl w:val="1"/>
          <w:numId w:val="11"/>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临时道路</w:t>
      </w:r>
    </w:p>
    <w:p>
      <w:pPr>
        <w:pStyle w:val="Normal0"/>
        <w:widowControl/>
        <w:suppressAutoHyphens/>
        <w:spacing w:before="240" w:line="300" w:lineRule="auto"/>
        <w:ind w:firstLine="480" w:firstLineChars="200"/>
        <w:rPr>
          <w:rFonts w:ascii="宋体" w:hAnsi="宋体" w:cs="宋体"/>
          <w:color w:val="000000"/>
          <w:kern w:val="0"/>
          <w:sz w:val="24"/>
          <w:szCs w:val="21"/>
        </w:rPr>
      </w:pPr>
      <w:r>
        <w:rPr>
          <w:rFonts w:ascii="宋体" w:eastAsia="宋体" w:hAnsi="宋体" w:cs="宋体" w:hint="eastAsia"/>
          <w:color w:val="000000"/>
          <w:kern w:val="0"/>
          <w:sz w:val="24"/>
          <w:szCs w:val="21"/>
        </w:rPr>
        <w:t>根据施工场地布置的要求，结合总平面布置，利用原有市政道路。</w:t>
      </w:r>
    </w:p>
    <w:p>
      <w:pPr>
        <w:pStyle w:val="ListParagraph"/>
        <w:widowControl/>
        <w:numPr>
          <w:ilvl w:val="1"/>
          <w:numId w:val="11"/>
        </w:numPr>
        <w:suppressAutoHyphens/>
        <w:spacing w:before="120" w:line="360" w:lineRule="auto"/>
        <w:ind w:left="0" w:firstLine="240" w:firstLineChars="100"/>
        <w:jc w:val="left"/>
        <w:rPr>
          <w:rFonts w:ascii="宋体" w:eastAsia="宋体" w:hAnsi="宋体" w:cs="宋体"/>
          <w:color w:val="000000"/>
          <w:kern w:val="0"/>
          <w:sz w:val="24"/>
          <w:szCs w:val="21"/>
        </w:rPr>
        <w:sectPr>
          <w:headerReference w:type="default" r:id="rId39"/>
          <w:footerReference w:type="default" r:id="rId40"/>
          <w:pgSz w:w="11906" w:h="16838"/>
          <w:pgMar w:top="1440" w:right="1701" w:bottom="1440" w:left="1701" w:header="850" w:footer="992" w:gutter="0"/>
          <w:pgNumType w:start="15"/>
          <w:cols w:num="1" w:space="425"/>
          <w:docGrid w:type="lines" w:linePitch="312" w:charSpace="0"/>
        </w:sectPr>
      </w:pPr>
      <w:r>
        <w:rPr>
          <w:rFonts w:ascii="宋体" w:eastAsia="宋体" w:hAnsi="宋体" w:cs="宋体" w:hint="eastAsia"/>
          <w:color w:val="000000"/>
          <w:kern w:val="0"/>
          <w:sz w:val="24"/>
          <w:szCs w:val="21"/>
        </w:rPr>
        <w:t>临时设施</w:t>
      </w:r>
    </w:p>
    <w:p>
      <w:pPr>
        <w:pStyle w:val="Normal0"/>
        <w:widowControl/>
        <w:suppressAutoHyphens/>
        <w:spacing w:before="240" w:line="300" w:lineRule="auto"/>
        <w:ind w:firstLine="480" w:firstLineChars="200"/>
        <w:rPr>
          <w:rFonts w:ascii="宋体" w:hAnsi="宋体" w:cs="宋体"/>
          <w:color w:val="000000"/>
          <w:kern w:val="0"/>
          <w:sz w:val="24"/>
          <w:szCs w:val="21"/>
        </w:rPr>
      </w:pPr>
      <w:r>
        <w:rPr>
          <w:rFonts w:ascii="宋体" w:eastAsia="宋体" w:hAnsi="宋体" w:cs="宋体" w:hint="eastAsia"/>
          <w:color w:val="000000"/>
          <w:kern w:val="0"/>
          <w:sz w:val="24"/>
          <w:szCs w:val="21"/>
        </w:rPr>
        <w:t>场地布置以保持现场总体环境，重点保护管线及周围环境、场内施工方便为原则。食堂宿舍等生活设施拟定设在指定空地位置。待整个工程完成后再拆除施工用房，局部进行地坪施工。</w:t>
      </w:r>
    </w:p>
    <w:p>
      <w:pPr>
        <w:pStyle w:val="BZ2"/>
        <w:rPr>
          <w:rFonts w:ascii="宋体" w:eastAsia="宋体" w:hAnsi="宋体"/>
        </w:rPr>
      </w:pPr>
      <w:bookmarkStart w:id="159" w:name="_Toc491077889"/>
      <w:r>
        <w:rPr>
          <w:rFonts w:ascii="宋体" w:eastAsia="宋体" w:hAnsi="宋体" w:hint="eastAsia"/>
        </w:rPr>
        <w:t>施工用电</w:t>
      </w:r>
      <w:bookmarkEnd w:id="159"/>
    </w:p>
    <w:p>
      <w:pPr>
        <w:pStyle w:val="ListParagraph"/>
        <w:widowControl/>
        <w:numPr>
          <w:ilvl w:val="1"/>
          <w:numId w:val="2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工地需装配总配电箱一台，下设分配电箱、开关箱。</w:t>
      </w:r>
    </w:p>
    <w:p>
      <w:pPr>
        <w:pStyle w:val="ListParagraph"/>
        <w:widowControl/>
        <w:numPr>
          <w:ilvl w:val="1"/>
          <w:numId w:val="2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配电线路布设：根据现场实际情况，为确保安全生产，配电线路采用电缆。室外部分埋地敷设，临时设施内穿在护套管内，不得外露。室内照明线路采用BV电线穿PVC 护套管，临时照明线路采用五芯橡胶电缆。</w:t>
      </w:r>
    </w:p>
    <w:p>
      <w:pPr>
        <w:pStyle w:val="ListParagraph"/>
        <w:widowControl/>
        <w:numPr>
          <w:ilvl w:val="1"/>
          <w:numId w:val="2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配电箱及开关箱：</w:t>
      </w:r>
    </w:p>
    <w:p>
      <w:pPr>
        <w:pStyle w:val="ListParagraph"/>
        <w:widowControl/>
        <w:numPr>
          <w:ilvl w:val="2"/>
          <w:numId w:val="2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配电箱和开关箱由专业生产厂家生产，并有合格证明。</w:t>
      </w:r>
    </w:p>
    <w:p>
      <w:pPr>
        <w:pStyle w:val="ListParagraph"/>
        <w:widowControl/>
        <w:numPr>
          <w:ilvl w:val="2"/>
          <w:numId w:val="2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现场施工用电实行三级配电，二级保护。配电箱放置在干燥通风处，室外电箱设置挡雨装置。固定式配电箱底边距地面1．3M。移动式配电箱、开关箱装在紧固支架上。分配电箱设置在荷载较为集中区域。开关箱与其控制的用电设备的水平距离不大于3m，配电箱和开关箱周围应有二人可同时工作的空间，不得堆放其它物品。动力配电箱与照明配电箱分别设置。所有配电箱均标明编号。名称，用途，并作分路标记。</w:t>
      </w:r>
    </w:p>
    <w:p>
      <w:pPr>
        <w:pStyle w:val="ListParagraph"/>
        <w:widowControl/>
        <w:numPr>
          <w:ilvl w:val="2"/>
          <w:numId w:val="2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总配电箱：总配电箱设总隔离开关和分路隔离开关，总熔断器和分路熔断器，并装设漏电保护器。总开关电器的额定值与分路开关相适应。</w:t>
      </w:r>
    </w:p>
    <w:p>
      <w:pPr>
        <w:pStyle w:val="ListParagraph"/>
        <w:widowControl/>
        <w:numPr>
          <w:ilvl w:val="2"/>
          <w:numId w:val="2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分配电箱：分配电箱安装总隔离开关和分路隔离开关以及总熔断器和分路熔断器。分路隔离开关的数量应由该分配电箱控制用电设备的数量来决定。分配电箱和各分路应安装漏电保护器，其开关的额定值应与相应开关箱额定值相适应。</w:t>
      </w:r>
    </w:p>
    <w:p>
      <w:pPr>
        <w:pStyle w:val="ListParagraph"/>
        <w:widowControl/>
        <w:numPr>
          <w:ilvl w:val="2"/>
          <w:numId w:val="24"/>
        </w:numPr>
        <w:suppressAutoHyphens/>
        <w:spacing w:before="120" w:line="360" w:lineRule="auto"/>
        <w:ind w:left="0" w:firstLine="240" w:firstLineChars="100"/>
        <w:jc w:val="left"/>
        <w:rPr>
          <w:rFonts w:ascii="宋体" w:eastAsia="宋体" w:hAnsi="宋体" w:cs="宋体"/>
          <w:color w:val="000000"/>
          <w:kern w:val="0"/>
          <w:sz w:val="24"/>
          <w:szCs w:val="21"/>
        </w:rPr>
        <w:sectPr>
          <w:headerReference w:type="default" r:id="rId41"/>
          <w:footerReference w:type="default" r:id="rId42"/>
          <w:type w:val="nextPage"/>
          <w:pgSz w:w="11906" w:h="16838"/>
          <w:pgMar w:top="1440" w:right="1701" w:bottom="1440" w:left="1701" w:header="850" w:footer="992" w:gutter="0"/>
          <w:pgNumType w:start="16"/>
          <w:cols w:num="1" w:space="425"/>
          <w:titlePg w:val="0"/>
          <w:docGrid w:type="lines" w:linePitch="312" w:charSpace="0"/>
        </w:sectPr>
      </w:pPr>
      <w:r>
        <w:rPr>
          <w:rFonts w:ascii="宋体" w:eastAsia="宋体" w:hAnsi="宋体" w:cs="宋体" w:hint="eastAsia"/>
          <w:color w:val="000000"/>
          <w:kern w:val="0"/>
          <w:sz w:val="24"/>
          <w:szCs w:val="21"/>
        </w:rPr>
        <w:t>开关箱：每台用电设备应有开关箱就近设置。做到一机一闸一保，并设有过载保护装置，禁止用同一个开关直接控制二台或二台以上设备。开关箱中必须装设漏电保护器，其开关的额定值与用电设备相适应。照明用开关箱单独设置，也实行一闸一保。</w:t>
      </w:r>
    </w:p>
    <w:p>
      <w:pPr>
        <w:pStyle w:val="ListParagraph"/>
        <w:widowControl/>
        <w:numPr>
          <w:ilvl w:val="2"/>
          <w:numId w:val="12"/>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用电机械设备和手电动工具：施工现场所使用用电机械设备和手动电动工具，均应符合国家标准、专业标准和安全技术规程，且要有产品合格证和使用说明。用电机械设备安装由专业电工负责安装。非专业人员不得安装和拆除</w:t>
      </w:r>
    </w:p>
    <w:p>
      <w:pPr>
        <w:pStyle w:val="ListParagraph"/>
        <w:widowControl/>
        <w:numPr>
          <w:ilvl w:val="2"/>
          <w:numId w:val="12"/>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照明：现场施工用照明装设单独的照明开关箱。在主体结构施工阶段，大面积照明采用镝灯，局部照明采用1Kw 碘钨灯照明，主体结构完成后，砖墙和粉刷阶段采用碘钨灯照明。办公、生活区采用220V 电压照明。</w:t>
      </w:r>
    </w:p>
    <w:p>
      <w:pPr>
        <w:pStyle w:val="BZ2"/>
        <w:rPr>
          <w:rFonts w:ascii="宋体" w:eastAsia="宋体" w:hAnsi="宋体"/>
        </w:rPr>
      </w:pPr>
      <w:bookmarkStart w:id="160" w:name="_Toc491077890"/>
      <w:r>
        <w:rPr>
          <w:rFonts w:ascii="宋体" w:eastAsia="宋体" w:hAnsi="宋体" w:hint="eastAsia"/>
        </w:rPr>
        <w:t>施工用水</w:t>
      </w:r>
      <w:bookmarkEnd w:id="160"/>
    </w:p>
    <w:p>
      <w:pPr>
        <w:pStyle w:val="ListParagraph"/>
        <w:widowControl/>
        <w:numPr>
          <w:ilvl w:val="1"/>
          <w:numId w:val="13"/>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生活用水：利用建设方提供的水源接分表送到现场各生活区。</w:t>
      </w:r>
    </w:p>
    <w:p>
      <w:pPr>
        <w:pStyle w:val="ListParagraph"/>
        <w:widowControl/>
        <w:numPr>
          <w:ilvl w:val="1"/>
          <w:numId w:val="13"/>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施工用水：施工现场利用建设方提供的水源以分管接至各施工点。</w:t>
      </w:r>
    </w:p>
    <w:p>
      <w:pPr>
        <w:pStyle w:val="ListParagraph"/>
        <w:widowControl/>
        <w:numPr>
          <w:ilvl w:val="1"/>
          <w:numId w:val="13"/>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消防用水：消防用水接自现场消防备用蓄水池，由临时输水管道经加压后送至各施工单体，同时在施工单体中配备消防器材，由现场后勤负责人</w:t>
      </w:r>
      <w:r>
        <w:rPr>
          <w:rFonts w:ascii="宋体" w:hAnsi="宋体" w:cs="宋体" w:hint="eastAsia"/>
          <w:color w:val="000000"/>
          <w:kern w:val="0"/>
          <w:sz w:val="24"/>
          <w:szCs w:val="21"/>
          <w:lang w:eastAsia="zh-CN"/>
        </w:rPr>
        <w:t>管理管控</w:t>
      </w:r>
      <w:r>
        <w:rPr>
          <w:rFonts w:ascii="宋体" w:eastAsia="宋体" w:hAnsi="宋体" w:cs="宋体" w:hint="eastAsia"/>
          <w:color w:val="000000"/>
          <w:kern w:val="0"/>
          <w:sz w:val="24"/>
          <w:szCs w:val="21"/>
        </w:rPr>
        <w:t>及使用。</w:t>
      </w:r>
    </w:p>
    <w:p>
      <w:pPr>
        <w:pStyle w:val="ListParagraph"/>
        <w:widowControl/>
        <w:numPr>
          <w:ilvl w:val="1"/>
          <w:numId w:val="13"/>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为保持施工现场的文明整洁，在施工现场周围需设置排水沟和沉淀池，确保雨季及施工场地的积水能通过排水沟经沉淀后迅速排入下水道和附近自然水系内。</w:t>
      </w:r>
    </w:p>
    <w:p>
      <w:pPr>
        <w:pStyle w:val="BZ2"/>
        <w:rPr>
          <w:rFonts w:ascii="宋体" w:eastAsia="宋体" w:hAnsi="宋体"/>
        </w:rPr>
      </w:pPr>
      <w:bookmarkStart w:id="161" w:name="_Toc491077891"/>
      <w:r>
        <w:rPr>
          <w:rFonts w:ascii="宋体" w:eastAsia="宋体" w:hAnsi="宋体" w:hint="eastAsia"/>
        </w:rPr>
        <w:t>半成品材料加工机械</w:t>
      </w:r>
      <w:bookmarkEnd w:id="161"/>
    </w:p>
    <w:p>
      <w:pPr>
        <w:pStyle w:val="ListParagraph"/>
        <w:widowControl/>
        <w:numPr>
          <w:ilvl w:val="1"/>
          <w:numId w:val="14"/>
        </w:numPr>
        <w:suppressAutoHyphens/>
        <w:spacing w:before="120" w:line="360" w:lineRule="auto"/>
        <w:ind w:left="0" w:firstLine="240" w:firstLineChars="100"/>
        <w:jc w:val="left"/>
        <w:rPr>
          <w:rFonts w:ascii="宋体" w:eastAsia="宋体" w:hAnsi="宋体" w:cs="宋体"/>
          <w:color w:val="000000"/>
          <w:kern w:val="0"/>
          <w:sz w:val="24"/>
          <w:szCs w:val="21"/>
        </w:rPr>
      </w:pPr>
      <w:r>
        <w:rPr>
          <w:rFonts w:ascii="宋体" w:eastAsia="宋体" w:hAnsi="宋体" w:cs="宋体" w:hint="eastAsia"/>
          <w:color w:val="000000"/>
          <w:kern w:val="0"/>
          <w:sz w:val="24"/>
          <w:szCs w:val="21"/>
        </w:rPr>
        <w:t>混凝土搅拌机、砂浆搅拌机：由于本工程施工区域较大，地形变化多，现场可供施工机械布置用地紧张；本工程采用商品混凝土及商品砂浆，现场的搅拌场和材料堆场的具体位置根据施工安排和施工实际情况灵活安排。</w:t>
      </w:r>
    </w:p>
    <w:p>
      <w:pPr>
        <w:pStyle w:val="ListParagraph"/>
        <w:widowControl/>
        <w:numPr>
          <w:ilvl w:val="1"/>
          <w:numId w:val="14"/>
        </w:numPr>
        <w:suppressAutoHyphens/>
        <w:spacing w:before="120" w:line="360" w:lineRule="auto"/>
        <w:ind w:left="0" w:firstLine="240" w:firstLineChars="100"/>
        <w:jc w:val="left"/>
        <w:rPr>
          <w:rFonts w:ascii="宋体" w:eastAsia="宋体" w:hAnsi="宋体" w:cs="宋体"/>
          <w:color w:val="000000"/>
          <w:kern w:val="0"/>
          <w:sz w:val="24"/>
          <w:szCs w:val="21"/>
        </w:rPr>
        <w:sectPr>
          <w:headerReference w:type="default" r:id="rId43"/>
          <w:footerReference w:type="default" r:id="rId44"/>
          <w:type w:val="nextPage"/>
          <w:pgSz w:w="11906" w:h="16838"/>
          <w:pgMar w:top="1440" w:right="1701" w:bottom="1440" w:left="1701" w:header="850" w:footer="992" w:gutter="0"/>
          <w:pgNumType w:start="17"/>
          <w:cols w:num="1" w:space="425"/>
          <w:titlePg w:val="0"/>
          <w:docGrid w:type="lines" w:linePitch="312" w:charSpace="0"/>
        </w:sectPr>
      </w:pPr>
      <w:r>
        <w:rPr>
          <w:rFonts w:ascii="宋体" w:eastAsia="宋体" w:hAnsi="宋体" w:cs="宋体" w:hint="eastAsia"/>
          <w:color w:val="000000"/>
          <w:kern w:val="0"/>
          <w:sz w:val="24"/>
          <w:szCs w:val="21"/>
        </w:rPr>
        <w:t>木作、钢筋加工机械：合理</w:t>
      </w:r>
      <w:r>
        <w:rPr>
          <w:rFonts w:ascii="宋体" w:eastAsia="宋体" w:hAnsi="宋体" w:cs="宋体"/>
          <w:color w:val="000000"/>
          <w:kern w:val="0"/>
          <w:sz w:val="24"/>
          <w:szCs w:val="21"/>
        </w:rPr>
        <w:t>利用</w:t>
      </w:r>
      <w:r>
        <w:rPr>
          <w:rFonts w:ascii="宋体" w:eastAsia="宋体" w:hAnsi="宋体" w:cs="宋体" w:hint="eastAsia"/>
          <w:color w:val="000000"/>
          <w:kern w:val="0"/>
          <w:sz w:val="24"/>
          <w:szCs w:val="21"/>
        </w:rPr>
        <w:t>空间</w:t>
      </w:r>
      <w:r>
        <w:rPr>
          <w:rFonts w:ascii="宋体" w:eastAsia="宋体" w:hAnsi="宋体" w:cs="宋体"/>
          <w:color w:val="000000"/>
          <w:kern w:val="0"/>
          <w:sz w:val="24"/>
          <w:szCs w:val="21"/>
        </w:rPr>
        <w:t>，统筹安排，严格按照施工平面布置图灵活</w:t>
      </w:r>
      <w:r>
        <w:rPr>
          <w:rFonts w:ascii="宋体" w:eastAsia="宋体" w:hAnsi="宋体" w:cs="宋体" w:hint="eastAsia"/>
          <w:color w:val="000000"/>
          <w:kern w:val="0"/>
          <w:sz w:val="24"/>
          <w:szCs w:val="21"/>
        </w:rPr>
        <w:t>设置</w:t>
      </w:r>
      <w:r>
        <w:rPr>
          <w:rFonts w:ascii="宋体" w:eastAsia="宋体" w:hAnsi="宋体" w:cs="宋体"/>
          <w:color w:val="000000"/>
          <w:kern w:val="0"/>
          <w:sz w:val="24"/>
          <w:szCs w:val="21"/>
        </w:rPr>
        <w:t>，满足施工要求。</w:t>
      </w:r>
    </w:p>
    <w:p>
      <w:pPr>
        <w:pStyle w:val="BZ2"/>
        <w:rPr>
          <w:rFonts w:ascii="宋体" w:eastAsia="宋体" w:hAnsi="宋体"/>
        </w:rPr>
      </w:pPr>
      <w:bookmarkStart w:id="162" w:name="_Toc491077892"/>
      <w:r>
        <w:rPr>
          <w:rFonts w:ascii="宋体" w:eastAsia="宋体" w:hAnsi="宋体" w:hint="eastAsia"/>
        </w:rPr>
        <w:t>施工场地布置</w:t>
      </w:r>
      <w:bookmarkEnd w:id="162"/>
    </w:p>
    <w:p>
      <w:pPr>
        <w:pStyle w:val="Normal0"/>
        <w:widowControl/>
        <w:suppressAutoHyphens/>
        <w:spacing w:before="240" w:line="300" w:lineRule="auto"/>
        <w:ind w:firstLine="480" w:firstLineChars="200"/>
        <w:rPr>
          <w:rFonts w:ascii="宋体" w:hAnsi="宋体" w:cs="宋体"/>
          <w:color w:val="000000"/>
          <w:kern w:val="0"/>
          <w:sz w:val="24"/>
          <w:szCs w:val="21"/>
        </w:rPr>
      </w:pPr>
      <w:r>
        <w:rPr>
          <w:rFonts w:ascii="宋体" w:eastAsia="宋体" w:hAnsi="宋体" w:cs="宋体" w:hint="eastAsia"/>
          <w:color w:val="000000"/>
          <w:kern w:val="0"/>
          <w:sz w:val="24"/>
          <w:szCs w:val="21"/>
        </w:rPr>
        <w:t>场地内划定施工场地，在划定的施工场地中实施硬地法施工，施工场地内设置材料堆场、集中材料堆场等组成。施工场地与材料堆场之间用围栏分隔开来，施工活动限于在施工场地内进行。</w:t>
      </w:r>
    </w:p>
    <w:p>
      <w:pPr>
        <w:pStyle w:val="Normal0"/>
        <w:widowControl/>
        <w:suppressAutoHyphens/>
        <w:spacing w:before="240" w:line="300" w:lineRule="auto"/>
        <w:ind w:firstLine="480" w:firstLineChars="200"/>
        <w:rPr>
          <w:rFonts w:ascii="宋体" w:hAnsi="宋体" w:cs="宋体"/>
          <w:color w:val="000000"/>
          <w:kern w:val="0"/>
          <w:sz w:val="24"/>
          <w:szCs w:val="21"/>
        </w:rPr>
      </w:pPr>
      <w:r>
        <w:rPr>
          <w:rFonts w:ascii="宋体" w:eastAsia="宋体" w:hAnsi="宋体" w:cs="宋体" w:hint="eastAsia"/>
          <w:color w:val="000000"/>
          <w:kern w:val="0"/>
          <w:sz w:val="24"/>
          <w:szCs w:val="21"/>
        </w:rPr>
        <w:t>不同材料、土建和绿化的材料都按指定场地堆放，堆放必须整齐，按《原材料、半成品的搬连。贮存程序》要求进行标识，并且做好贮存记录，要求准确、完整，账、卡、物相符。</w:t>
      </w:r>
    </w:p>
    <w:p>
      <w:pPr>
        <w:pStyle w:val="Normal0"/>
        <w:widowControl/>
        <w:suppressAutoHyphens/>
        <w:spacing w:before="240" w:line="300" w:lineRule="auto"/>
        <w:ind w:firstLine="480" w:firstLineChars="200"/>
        <w:rPr>
          <w:rFonts w:ascii="宋体" w:hAnsi="宋体" w:cs="宋体"/>
          <w:color w:val="000000"/>
          <w:kern w:val="0"/>
          <w:sz w:val="24"/>
          <w:szCs w:val="21"/>
        </w:rPr>
      </w:pPr>
      <w:r>
        <w:rPr>
          <w:rFonts w:ascii="宋体" w:eastAsia="宋体" w:hAnsi="宋体" w:cs="宋体" w:hint="eastAsia"/>
          <w:color w:val="000000"/>
          <w:kern w:val="0"/>
          <w:sz w:val="24"/>
          <w:szCs w:val="21"/>
        </w:rPr>
        <w:t>现场的材料堆场场地虽然不大，但要规划好场地，根据不同的施工阶段周转使用。材料整齐归类放置，不用的材料及时退场。</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s="宋体" w:hint="eastAsia"/>
          <w:color w:val="000000"/>
          <w:kern w:val="0"/>
          <w:sz w:val="24"/>
          <w:szCs w:val="21"/>
        </w:rPr>
        <w:t>具体详见详见施工平面布置图。</w:t>
      </w:r>
    </w:p>
    <w:p>
      <w:pPr>
        <w:pStyle w:val="BZ1"/>
        <w:rPr>
          <w:rFonts w:eastAsia="宋体"/>
        </w:rPr>
        <w:sectPr>
          <w:headerReference w:type="default" r:id="rId45"/>
          <w:footerReference w:type="default" r:id="rId46"/>
          <w:type w:val="nextPage"/>
          <w:pgSz w:w="11906" w:h="16838"/>
          <w:pgMar w:top="1440" w:right="1701" w:bottom="1440" w:left="1701" w:header="850" w:footer="992" w:gutter="0"/>
          <w:pgNumType w:start="18"/>
          <w:cols w:num="1" w:space="425"/>
          <w:titlePg w:val="0"/>
          <w:docGrid w:type="lines" w:linePitch="312" w:charSpace="0"/>
        </w:sectPr>
      </w:pPr>
    </w:p>
    <w:p>
      <w:pPr>
        <w:pStyle w:val="BZ1"/>
        <w:jc w:val="center"/>
        <w:rPr>
          <w:rFonts w:eastAsia="宋体"/>
        </w:rPr>
      </w:pPr>
      <w:bookmarkStart w:id="163" w:name="_Toc491077893"/>
      <w:r>
        <w:rPr>
          <w:rFonts w:ascii="宋体" w:eastAsia="宋体" w:hAnsi="宋体" w:hint="eastAsia"/>
        </w:rPr>
        <w:t>施工进度</w:t>
      </w:r>
      <w:r>
        <w:rPr>
          <w:rFonts w:hint="eastAsia"/>
          <w:lang w:eastAsia="zh-CN"/>
        </w:rPr>
        <w:t>相关计划</w:t>
      </w:r>
      <w:r>
        <w:rPr>
          <w:rFonts w:ascii="宋体" w:eastAsia="宋体" w:hAnsi="宋体" w:hint="eastAsia"/>
        </w:rPr>
        <w:t>及保证措施</w:t>
      </w:r>
      <w:bookmarkEnd w:id="163"/>
    </w:p>
    <w:p>
      <w:pPr>
        <w:pStyle w:val="BZ2"/>
        <w:rPr>
          <w:rFonts w:ascii="宋体" w:eastAsia="宋体" w:hAnsi="宋体"/>
        </w:rPr>
      </w:pPr>
      <w:bookmarkStart w:id="164" w:name="_Toc491077894"/>
      <w:bookmarkStart w:id="165" w:name="_Toc340258835"/>
      <w:r>
        <w:rPr>
          <w:rFonts w:ascii="宋体" w:eastAsia="宋体" w:hAnsi="宋体" w:hint="eastAsia"/>
        </w:rPr>
        <w:t>施工进度</w:t>
      </w:r>
      <w:bookmarkEnd w:id="164"/>
      <w:bookmarkEnd w:id="165"/>
      <w:r>
        <w:rPr>
          <w:rFonts w:ascii="宋体" w:eastAsia="宋体" w:hAnsi="宋体" w:hint="eastAsia"/>
          <w:lang w:eastAsia="zh-CN"/>
        </w:rPr>
        <w:t>相关计划</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根据招标文件及</w:t>
      </w:r>
      <w:r>
        <w:rPr>
          <w:rFonts w:ascii="宋体" w:hAnsi="宋体" w:hint="eastAsia"/>
          <w:color w:val="000000"/>
          <w:sz w:val="24"/>
          <w:lang w:eastAsia="zh-CN"/>
        </w:rPr>
        <w:t>合同合约</w:t>
      </w:r>
      <w:r>
        <w:rPr>
          <w:rFonts w:ascii="宋体" w:eastAsia="宋体" w:hAnsi="宋体" w:hint="eastAsia"/>
          <w:color w:val="000000"/>
          <w:sz w:val="24"/>
        </w:rPr>
        <w:t>要求开工日期：</w:t>
      </w:r>
      <w:r>
        <w:rPr>
          <w:rFonts w:ascii="宋体" w:eastAsia="宋体" w:hAnsi="宋体"/>
          <w:b/>
          <w:color w:val="000000"/>
          <w:sz w:val="24"/>
          <w:u w:val="single"/>
        </w:rPr>
        <w:t>XX</w:t>
      </w:r>
      <w:r>
        <w:rPr>
          <w:rFonts w:ascii="宋体" w:eastAsia="宋体" w:hAnsi="宋体" w:hint="eastAsia"/>
          <w:b/>
          <w:color w:val="000000"/>
          <w:sz w:val="24"/>
          <w:u w:val="single"/>
        </w:rPr>
        <w:t>年</w:t>
      </w:r>
      <w:r>
        <w:rPr>
          <w:rFonts w:ascii="宋体" w:eastAsia="宋体" w:hAnsi="宋体"/>
          <w:b/>
          <w:color w:val="000000"/>
          <w:sz w:val="24"/>
          <w:u w:val="single"/>
        </w:rPr>
        <w:t>XX</w:t>
      </w:r>
      <w:r>
        <w:rPr>
          <w:rFonts w:ascii="宋体" w:eastAsia="宋体" w:hAnsi="宋体" w:hint="eastAsia"/>
          <w:b/>
          <w:color w:val="000000"/>
          <w:sz w:val="24"/>
          <w:u w:val="single"/>
        </w:rPr>
        <w:t>月</w:t>
      </w:r>
      <w:r>
        <w:rPr>
          <w:rFonts w:ascii="宋体" w:eastAsia="宋体" w:hAnsi="宋体"/>
          <w:b/>
          <w:color w:val="000000"/>
          <w:sz w:val="24"/>
          <w:u w:val="single"/>
        </w:rPr>
        <w:t>XX</w:t>
      </w:r>
      <w:r>
        <w:rPr>
          <w:rFonts w:ascii="宋体" w:eastAsia="宋体" w:hAnsi="宋体" w:hint="eastAsia"/>
          <w:b/>
          <w:color w:val="000000"/>
          <w:sz w:val="24"/>
          <w:u w:val="single"/>
        </w:rPr>
        <w:t>日</w:t>
      </w:r>
      <w:r>
        <w:rPr>
          <w:rFonts w:ascii="宋体" w:eastAsia="宋体" w:hAnsi="宋体" w:hint="eastAsia"/>
          <w:color w:val="000000"/>
          <w:sz w:val="24"/>
        </w:rPr>
        <w:t>，竣工日期：</w:t>
      </w:r>
      <w:r>
        <w:rPr>
          <w:rFonts w:ascii="宋体" w:eastAsia="宋体" w:hAnsi="宋体"/>
          <w:b/>
          <w:color w:val="000000"/>
          <w:sz w:val="24"/>
          <w:u w:val="single"/>
        </w:rPr>
        <w:t>XX</w:t>
      </w:r>
      <w:r>
        <w:rPr>
          <w:rFonts w:ascii="宋体" w:eastAsia="宋体" w:hAnsi="宋体" w:hint="eastAsia"/>
          <w:b/>
          <w:color w:val="000000"/>
          <w:sz w:val="24"/>
          <w:u w:val="single"/>
        </w:rPr>
        <w:t>年</w:t>
      </w:r>
      <w:r>
        <w:rPr>
          <w:rFonts w:ascii="宋体" w:eastAsia="宋体" w:hAnsi="宋体"/>
          <w:b/>
          <w:color w:val="000000"/>
          <w:sz w:val="24"/>
          <w:u w:val="single"/>
        </w:rPr>
        <w:t>XX</w:t>
      </w:r>
      <w:r>
        <w:rPr>
          <w:rFonts w:ascii="宋体" w:eastAsia="宋体" w:hAnsi="宋体" w:hint="eastAsia"/>
          <w:b/>
          <w:color w:val="000000"/>
          <w:sz w:val="24"/>
          <w:u w:val="single"/>
        </w:rPr>
        <w:t>月</w:t>
      </w:r>
      <w:r>
        <w:rPr>
          <w:rFonts w:ascii="宋体" w:eastAsia="宋体" w:hAnsi="宋体"/>
          <w:b/>
          <w:color w:val="000000"/>
          <w:sz w:val="24"/>
          <w:u w:val="single"/>
        </w:rPr>
        <w:t>XX</w:t>
      </w:r>
      <w:r>
        <w:rPr>
          <w:rFonts w:ascii="宋体" w:eastAsia="宋体" w:hAnsi="宋体" w:hint="eastAsia"/>
          <w:b/>
          <w:color w:val="000000"/>
          <w:sz w:val="24"/>
          <w:u w:val="single"/>
        </w:rPr>
        <w:t>日</w:t>
      </w:r>
      <w:r>
        <w:rPr>
          <w:rFonts w:ascii="宋体" w:eastAsia="宋体" w:hAnsi="宋体" w:hint="eastAsia"/>
          <w:color w:val="000000"/>
          <w:sz w:val="24"/>
        </w:rPr>
        <w:t>，共计</w:t>
      </w:r>
      <w:r>
        <w:rPr>
          <w:rFonts w:ascii="宋体" w:eastAsia="宋体" w:hAnsi="宋体"/>
          <w:b/>
          <w:color w:val="000000"/>
          <w:sz w:val="24"/>
          <w:u w:val="single"/>
        </w:rPr>
        <w:t>XX</w:t>
      </w:r>
      <w:r>
        <w:rPr>
          <w:rFonts w:ascii="宋体" w:eastAsia="宋体" w:hAnsi="宋体" w:hint="eastAsia"/>
          <w:b/>
          <w:color w:val="000000"/>
          <w:sz w:val="24"/>
          <w:u w:val="single"/>
        </w:rPr>
        <w:t>个日历天</w:t>
      </w:r>
      <w:r>
        <w:rPr>
          <w:rFonts w:ascii="宋体" w:eastAsia="宋体" w:hAnsi="宋体" w:hint="eastAsia"/>
          <w:color w:val="000000"/>
          <w:sz w:val="24"/>
        </w:rPr>
        <w:t>。在详细了解了招标文件和施工图纸的</w:t>
      </w:r>
      <w:r>
        <w:rPr>
          <w:rFonts w:ascii="宋体" w:hAnsi="宋体" w:hint="eastAsia"/>
          <w:color w:val="000000"/>
          <w:sz w:val="24"/>
          <w:lang w:eastAsia="zh-CN"/>
        </w:rPr>
        <w:t>合适的内容</w:t>
      </w:r>
      <w:r>
        <w:rPr>
          <w:rFonts w:ascii="宋体" w:eastAsia="宋体" w:hAnsi="宋体" w:hint="eastAsia"/>
          <w:color w:val="000000"/>
          <w:sz w:val="24"/>
        </w:rPr>
        <w:t>，通过勘察现场并结合我公司多年来施工</w:t>
      </w:r>
      <w:r>
        <w:rPr>
          <w:rFonts w:ascii="宋体" w:hAnsi="宋体" w:hint="eastAsia"/>
          <w:color w:val="000000"/>
          <w:sz w:val="24"/>
          <w:lang w:eastAsia="zh-CN"/>
        </w:rPr>
        <w:t>管理管控</w:t>
      </w:r>
      <w:r>
        <w:rPr>
          <w:rFonts w:ascii="宋体" w:eastAsia="宋体" w:hAnsi="宋体" w:hint="eastAsia"/>
          <w:color w:val="000000"/>
          <w:sz w:val="24"/>
        </w:rPr>
        <w:t>经验，对总体施工进度进行详细</w:t>
      </w:r>
      <w:r>
        <w:rPr>
          <w:rFonts w:ascii="宋体" w:hAnsi="宋体" w:hint="eastAsia"/>
          <w:color w:val="000000"/>
          <w:sz w:val="24"/>
          <w:lang w:eastAsia="zh-CN"/>
        </w:rPr>
        <w:t>相关计划</w:t>
      </w:r>
      <w:r>
        <w:rPr>
          <w:rFonts w:ascii="宋体" w:eastAsia="宋体" w:hAnsi="宋体" w:hint="eastAsia"/>
          <w:color w:val="000000"/>
          <w:sz w:val="24"/>
        </w:rPr>
        <w:t>，从而确保整个工程按期竣工。为了保证各分部、分项工程均有相对充裕的时间保证工程施工和施工质量，编制工程施工进度总控</w:t>
      </w:r>
      <w:r>
        <w:rPr>
          <w:rFonts w:ascii="宋体" w:hAnsi="宋体" w:hint="eastAsia"/>
          <w:color w:val="000000"/>
          <w:sz w:val="24"/>
          <w:lang w:eastAsia="zh-CN"/>
        </w:rPr>
        <w:t>相关计划</w:t>
      </w:r>
      <w:r>
        <w:rPr>
          <w:rFonts w:ascii="宋体" w:eastAsia="宋体" w:hAnsi="宋体" w:hint="eastAsia"/>
          <w:color w:val="000000"/>
          <w:sz w:val="24"/>
        </w:rPr>
        <w:t>时，要确立各阶段的目标时间，阶段目标时间不能更改。施工设备、资金、劳动力在满足阶段目标的前提下进行配备。</w:t>
      </w:r>
      <w:bookmarkStart w:id="166" w:name="_Toc83015419"/>
      <w:bookmarkStart w:id="167" w:name="_Toc109717304"/>
      <w:bookmarkStart w:id="168" w:name="_Toc95192422"/>
      <w:bookmarkStart w:id="169" w:name="_Toc202368918"/>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施工进度</w:t>
      </w:r>
      <w:r>
        <w:rPr>
          <w:rFonts w:ascii="宋体" w:hAnsi="宋体" w:hint="eastAsia"/>
          <w:color w:val="000000"/>
          <w:sz w:val="24"/>
          <w:lang w:eastAsia="zh-CN"/>
        </w:rPr>
        <w:t>相关计划</w:t>
      </w:r>
      <w:r>
        <w:rPr>
          <w:rFonts w:ascii="宋体" w:eastAsia="宋体" w:hAnsi="宋体" w:hint="eastAsia"/>
          <w:color w:val="000000"/>
          <w:sz w:val="24"/>
        </w:rPr>
        <w:t>详见施工进度表（附后）</w:t>
      </w:r>
    </w:p>
    <w:bookmarkEnd w:id="166"/>
    <w:bookmarkEnd w:id="167"/>
    <w:bookmarkEnd w:id="168"/>
    <w:bookmarkEnd w:id="169"/>
    <w:p>
      <w:pPr>
        <w:pStyle w:val="BZ2"/>
        <w:rPr>
          <w:rFonts w:ascii="宋体" w:eastAsia="宋体" w:hAnsi="宋体"/>
        </w:rPr>
      </w:pPr>
      <w:bookmarkStart w:id="170" w:name="_Toc491077895"/>
      <w:r>
        <w:rPr>
          <w:rFonts w:ascii="宋体" w:eastAsia="宋体" w:hAnsi="宋体"/>
        </w:rPr>
        <w:pict>
          <v:line id="Line 8588" o:spid="_x0000_s1026" style="mso-height-relative:page;mso-width-relative:page;position:absolute;z-index:251658240" from="171.1pt,23.65pt" to="171.1pt,47.65pt" coordsize="21600,21600" stroked="f">
            <v:stroke endarrow="block"/>
          </v:line>
        </w:pict>
      </w:r>
      <w:bookmarkStart w:id="171" w:name="_Toc340258837"/>
      <w:r>
        <w:rPr>
          <w:rFonts w:ascii="宋体" w:eastAsia="宋体" w:hAnsi="宋体" w:hint="eastAsia"/>
        </w:rPr>
        <w:t>施工进度保证措施</w:t>
      </w:r>
      <w:bookmarkEnd w:id="170"/>
      <w:bookmarkEnd w:id="171"/>
    </w:p>
    <w:p>
      <w:pPr>
        <w:pStyle w:val="ListParagraph"/>
        <w:widowControl/>
        <w:numPr>
          <w:ilvl w:val="1"/>
          <w:numId w:val="25"/>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制定分级控制保证</w:t>
      </w:r>
      <w:r>
        <w:rPr>
          <w:rFonts w:ascii="宋体" w:hAnsi="宋体" w:hint="eastAsia"/>
          <w:color w:val="000000"/>
          <w:sz w:val="24"/>
          <w:lang w:eastAsia="zh-CN"/>
        </w:rPr>
        <w:t>相关计划</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根据总控</w:t>
      </w:r>
      <w:r>
        <w:rPr>
          <w:rFonts w:ascii="宋体" w:hAnsi="宋体" w:hint="eastAsia"/>
          <w:color w:val="000000"/>
          <w:sz w:val="24"/>
          <w:lang w:eastAsia="zh-CN"/>
        </w:rPr>
        <w:t>相关计划</w:t>
      </w:r>
      <w:r>
        <w:rPr>
          <w:rFonts w:ascii="宋体" w:eastAsia="宋体" w:hAnsi="宋体" w:hint="eastAsia"/>
          <w:color w:val="000000"/>
          <w:sz w:val="24"/>
        </w:rPr>
        <w:t>编制月控制</w:t>
      </w:r>
      <w:r>
        <w:rPr>
          <w:rFonts w:ascii="宋体" w:hAnsi="宋体" w:hint="eastAsia"/>
          <w:color w:val="000000"/>
          <w:sz w:val="24"/>
          <w:lang w:eastAsia="zh-CN"/>
        </w:rPr>
        <w:t>相关计划</w:t>
      </w:r>
      <w:r>
        <w:rPr>
          <w:rFonts w:ascii="宋体" w:eastAsia="宋体" w:hAnsi="宋体" w:hint="eastAsia"/>
          <w:color w:val="000000"/>
          <w:sz w:val="24"/>
        </w:rPr>
        <w:t>，根据月控制</w:t>
      </w:r>
      <w:r>
        <w:rPr>
          <w:rFonts w:ascii="宋体" w:hAnsi="宋体" w:hint="eastAsia"/>
          <w:color w:val="000000"/>
          <w:sz w:val="24"/>
          <w:lang w:eastAsia="zh-CN"/>
        </w:rPr>
        <w:t>相关计划</w:t>
      </w:r>
      <w:r>
        <w:rPr>
          <w:rFonts w:ascii="宋体" w:eastAsia="宋体" w:hAnsi="宋体" w:hint="eastAsia"/>
          <w:color w:val="000000"/>
          <w:sz w:val="24"/>
        </w:rPr>
        <w:t>编制周</w:t>
      </w:r>
      <w:r>
        <w:rPr>
          <w:rFonts w:ascii="宋体" w:hAnsi="宋体" w:hint="eastAsia"/>
          <w:color w:val="000000"/>
          <w:sz w:val="24"/>
          <w:lang w:eastAsia="zh-CN"/>
        </w:rPr>
        <w:t>相关计划</w:t>
      </w:r>
      <w:r>
        <w:rPr>
          <w:rFonts w:ascii="宋体" w:eastAsia="宋体" w:hAnsi="宋体" w:hint="eastAsia"/>
          <w:color w:val="000000"/>
          <w:sz w:val="24"/>
        </w:rPr>
        <w:t>，周</w:t>
      </w:r>
      <w:r>
        <w:rPr>
          <w:rFonts w:ascii="宋体" w:hAnsi="宋体" w:hint="eastAsia"/>
          <w:color w:val="000000"/>
          <w:sz w:val="24"/>
          <w:lang w:eastAsia="zh-CN"/>
        </w:rPr>
        <w:t>相关计划</w:t>
      </w:r>
      <w:r>
        <w:rPr>
          <w:rFonts w:ascii="宋体" w:eastAsia="宋体" w:hAnsi="宋体" w:hint="eastAsia"/>
          <w:color w:val="000000"/>
          <w:sz w:val="24"/>
        </w:rPr>
        <w:t>根据前三天的实际情况，调整后三天</w:t>
      </w:r>
      <w:r>
        <w:rPr>
          <w:rFonts w:ascii="宋体" w:hAnsi="宋体" w:hint="eastAsia"/>
          <w:color w:val="000000"/>
          <w:sz w:val="24"/>
          <w:lang w:eastAsia="zh-CN"/>
        </w:rPr>
        <w:t>相关计划</w:t>
      </w:r>
      <w:r>
        <w:rPr>
          <w:rFonts w:ascii="宋体" w:eastAsia="宋体" w:hAnsi="宋体" w:hint="eastAsia"/>
          <w:color w:val="000000"/>
          <w:sz w:val="24"/>
        </w:rPr>
        <w:t>并且制定下周</w:t>
      </w:r>
      <w:r>
        <w:rPr>
          <w:rFonts w:ascii="宋体" w:hAnsi="宋体" w:hint="eastAsia"/>
          <w:color w:val="000000"/>
          <w:sz w:val="24"/>
          <w:lang w:eastAsia="zh-CN"/>
        </w:rPr>
        <w:t>相关计划</w:t>
      </w:r>
      <w:r>
        <w:rPr>
          <w:rFonts w:ascii="宋体" w:eastAsia="宋体" w:hAnsi="宋体" w:hint="eastAsia"/>
          <w:color w:val="000000"/>
          <w:sz w:val="24"/>
        </w:rPr>
        <w:t>，实行日保周、周保月、月保总控</w:t>
      </w:r>
      <w:r>
        <w:rPr>
          <w:rFonts w:ascii="宋体" w:hAnsi="宋体" w:hint="eastAsia"/>
          <w:color w:val="000000"/>
          <w:sz w:val="24"/>
          <w:lang w:eastAsia="zh-CN"/>
        </w:rPr>
        <w:t>相关计划</w:t>
      </w:r>
      <w:r>
        <w:rPr>
          <w:rFonts w:ascii="宋体" w:eastAsia="宋体" w:hAnsi="宋体" w:hint="eastAsia"/>
          <w:color w:val="000000"/>
          <w:sz w:val="24"/>
        </w:rPr>
        <w:t>的</w:t>
      </w:r>
      <w:r>
        <w:rPr>
          <w:rFonts w:ascii="宋体" w:hAnsi="宋体" w:hint="eastAsia"/>
          <w:color w:val="000000"/>
          <w:sz w:val="24"/>
          <w:lang w:eastAsia="zh-CN"/>
        </w:rPr>
        <w:t>管理管控</w:t>
      </w:r>
      <w:r>
        <w:rPr>
          <w:rFonts w:ascii="宋体" w:eastAsia="宋体" w:hAnsi="宋体" w:hint="eastAsia"/>
          <w:color w:val="000000"/>
          <w:sz w:val="24"/>
        </w:rPr>
        <w:t>方式。</w:t>
      </w:r>
    </w:p>
    <w:p>
      <w:pPr>
        <w:pStyle w:val="ListParagraph"/>
        <w:widowControl/>
        <w:numPr>
          <w:ilvl w:val="2"/>
          <w:numId w:val="25"/>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根据进度</w:t>
      </w:r>
      <w:r>
        <w:rPr>
          <w:rFonts w:ascii="宋体" w:hAnsi="宋体" w:hint="eastAsia"/>
          <w:color w:val="000000"/>
          <w:sz w:val="24"/>
          <w:lang w:eastAsia="zh-CN"/>
        </w:rPr>
        <w:t>相关计划</w:t>
      </w:r>
      <w:r>
        <w:rPr>
          <w:rFonts w:ascii="宋体" w:eastAsia="宋体" w:hAnsi="宋体" w:hint="eastAsia"/>
          <w:color w:val="000000"/>
          <w:sz w:val="24"/>
        </w:rPr>
        <w:t>、工程量和流水段划分合理安排劳动力和投入生产设备，保证按照进度</w:t>
      </w:r>
      <w:r>
        <w:rPr>
          <w:rFonts w:ascii="宋体" w:hAnsi="宋体" w:hint="eastAsia"/>
          <w:color w:val="000000"/>
          <w:sz w:val="24"/>
          <w:lang w:eastAsia="zh-CN"/>
        </w:rPr>
        <w:t>相关计划</w:t>
      </w:r>
      <w:r>
        <w:rPr>
          <w:rFonts w:ascii="宋体" w:eastAsia="宋体" w:hAnsi="宋体" w:hint="eastAsia"/>
          <w:color w:val="000000"/>
          <w:sz w:val="24"/>
        </w:rPr>
        <w:t>的要求完成任务。</w:t>
      </w:r>
    </w:p>
    <w:p>
      <w:pPr>
        <w:pStyle w:val="ListParagraph"/>
        <w:widowControl/>
        <w:numPr>
          <w:ilvl w:val="2"/>
          <w:numId w:val="25"/>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加强操作人员对质量意识的培训，提高施工质量和一次成活率。达到质量标准的一次成活率提高了，也就加快了施工速度，从而可以保证施工进度。</w:t>
      </w:r>
    </w:p>
    <w:p>
      <w:pPr>
        <w:pStyle w:val="ListParagraph"/>
        <w:widowControl/>
        <w:numPr>
          <w:ilvl w:val="2"/>
          <w:numId w:val="25"/>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加强例会制度，解决矛盾、协调关系，保证按照施工进度</w:t>
      </w:r>
      <w:r>
        <w:rPr>
          <w:rFonts w:ascii="宋体" w:hAnsi="宋体" w:hint="eastAsia"/>
          <w:color w:val="000000"/>
          <w:sz w:val="24"/>
          <w:lang w:eastAsia="zh-CN"/>
        </w:rPr>
        <w:t>相关计划</w:t>
      </w:r>
      <w:r>
        <w:rPr>
          <w:rFonts w:ascii="宋体" w:eastAsia="宋体" w:hAnsi="宋体" w:hint="eastAsia"/>
          <w:color w:val="000000"/>
          <w:sz w:val="24"/>
        </w:rPr>
        <w:t>进行。充分发挥我公司的优势，组织一支有施工经验丰富、技术过硬的机构来统一决策、统一指挥、统一部署、统一</w:t>
      </w:r>
      <w:r>
        <w:rPr>
          <w:rFonts w:ascii="宋体" w:hAnsi="宋体" w:hint="eastAsia"/>
          <w:color w:val="000000"/>
          <w:sz w:val="24"/>
          <w:lang w:eastAsia="zh-CN"/>
        </w:rPr>
        <w:t>相关计划</w:t>
      </w:r>
      <w:r>
        <w:rPr>
          <w:rFonts w:ascii="宋体" w:eastAsia="宋体" w:hAnsi="宋体" w:hint="eastAsia"/>
          <w:color w:val="000000"/>
          <w:sz w:val="24"/>
        </w:rPr>
        <w:t>和统一</w:t>
      </w:r>
      <w:r>
        <w:rPr>
          <w:rFonts w:ascii="宋体" w:hAnsi="宋体" w:hint="eastAsia"/>
          <w:color w:val="000000"/>
          <w:sz w:val="24"/>
          <w:lang w:eastAsia="zh-CN"/>
        </w:rPr>
        <w:t>管理管控</w:t>
      </w:r>
      <w:r>
        <w:rPr>
          <w:rFonts w:ascii="宋体" w:eastAsia="宋体" w:hAnsi="宋体" w:hint="eastAsia"/>
          <w:color w:val="000000"/>
          <w:sz w:val="24"/>
        </w:rPr>
        <w:t>。为实现承包</w:t>
      </w:r>
      <w:r>
        <w:rPr>
          <w:rFonts w:ascii="宋体" w:hAnsi="宋体" w:hint="eastAsia"/>
          <w:color w:val="000000"/>
          <w:sz w:val="24"/>
          <w:lang w:eastAsia="zh-CN"/>
        </w:rPr>
        <w:t>合同合约</w:t>
      </w:r>
      <w:r>
        <w:rPr>
          <w:rFonts w:ascii="宋体" w:eastAsia="宋体" w:hAnsi="宋体" w:hint="eastAsia"/>
          <w:color w:val="000000"/>
          <w:sz w:val="24"/>
        </w:rPr>
        <w:t>工期与工程质量目标，必须实施动态控制与</w:t>
      </w:r>
      <w:r>
        <w:rPr>
          <w:rFonts w:ascii="宋体" w:hAnsi="宋体" w:hint="eastAsia"/>
          <w:color w:val="000000"/>
          <w:sz w:val="24"/>
          <w:lang w:eastAsia="zh-CN"/>
        </w:rPr>
        <w:t>管理管控</w:t>
      </w:r>
      <w:r>
        <w:rPr>
          <w:rFonts w:ascii="宋体" w:eastAsia="宋体" w:hAnsi="宋体" w:hint="eastAsia"/>
          <w:color w:val="000000"/>
          <w:sz w:val="24"/>
        </w:rPr>
        <w:t>，减少</w:t>
      </w:r>
      <w:r>
        <w:rPr>
          <w:rFonts w:ascii="宋体" w:hAnsi="宋体" w:hint="eastAsia"/>
          <w:color w:val="000000"/>
          <w:sz w:val="24"/>
          <w:lang w:eastAsia="zh-CN"/>
        </w:rPr>
        <w:t>管理管控</w:t>
      </w:r>
      <w:r>
        <w:rPr>
          <w:rFonts w:ascii="宋体" w:eastAsia="宋体" w:hAnsi="宋体" w:hint="eastAsia"/>
          <w:color w:val="000000"/>
          <w:sz w:val="24"/>
        </w:rPr>
        <w:t>层次，建立作用于工程的高效和精干的</w:t>
      </w:r>
      <w:r>
        <w:rPr>
          <w:rFonts w:ascii="宋体" w:hAnsi="宋体" w:hint="eastAsia"/>
          <w:color w:val="000000"/>
          <w:sz w:val="24"/>
          <w:lang w:eastAsia="zh-CN"/>
        </w:rPr>
        <w:t>管理管控</w:t>
      </w:r>
      <w:r>
        <w:rPr>
          <w:rFonts w:ascii="宋体" w:eastAsia="宋体" w:hAnsi="宋体" w:hint="eastAsia"/>
          <w:color w:val="000000"/>
          <w:sz w:val="24"/>
        </w:rPr>
        <w:t>组织。</w:t>
      </w:r>
    </w:p>
    <w:p>
      <w:pPr>
        <w:pStyle w:val="ListParagraph"/>
        <w:widowControl/>
        <w:numPr>
          <w:ilvl w:val="2"/>
          <w:numId w:val="25"/>
        </w:numPr>
        <w:suppressAutoHyphens/>
        <w:spacing w:before="120" w:line="360" w:lineRule="auto"/>
        <w:ind w:left="0" w:firstLine="240" w:firstLineChars="100"/>
        <w:rPr>
          <w:rFonts w:ascii="宋体" w:eastAsia="宋体" w:hAnsi="宋体"/>
          <w:color w:val="000000"/>
          <w:sz w:val="24"/>
        </w:rPr>
        <w:sectPr>
          <w:headerReference w:type="default" r:id="rId47"/>
          <w:footerReference w:type="default" r:id="rId48"/>
          <w:pgSz w:w="11906" w:h="16838"/>
          <w:pgMar w:top="1440" w:right="1701" w:bottom="1440" w:left="1701" w:header="850" w:footer="992" w:gutter="0"/>
          <w:pgNumType w:start="19"/>
          <w:cols w:num="1" w:space="425"/>
          <w:docGrid w:type="lines" w:linePitch="312" w:charSpace="0"/>
        </w:sectPr>
      </w:pPr>
      <w:bookmarkStart w:id="172" w:name="_Toc200363741"/>
      <w:bookmarkStart w:id="173" w:name="_Toc202368933"/>
      <w:r>
        <w:rPr>
          <w:rFonts w:ascii="宋体" w:eastAsia="宋体" w:hAnsi="宋体" w:hint="eastAsia"/>
          <w:color w:val="000000"/>
          <w:sz w:val="24"/>
        </w:rPr>
        <w:t>加强施工组织与协调</w:t>
      </w:r>
      <w:bookmarkEnd w:id="172"/>
      <w:bookmarkEnd w:id="173"/>
      <w:r>
        <w:rPr>
          <w:rFonts w:ascii="宋体" w:hAnsi="宋体" w:hint="eastAsia"/>
          <w:color w:val="000000"/>
          <w:sz w:val="24"/>
          <w:lang w:eastAsia="zh-CN"/>
        </w:rPr>
        <w:t>管理管控</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强化</w:t>
      </w:r>
      <w:r>
        <w:rPr>
          <w:rFonts w:ascii="宋体" w:hAnsi="宋体" w:hint="eastAsia"/>
          <w:color w:val="000000"/>
          <w:sz w:val="24"/>
          <w:lang w:eastAsia="zh-CN"/>
        </w:rPr>
        <w:t>相关项目</w:t>
      </w:r>
      <w:r>
        <w:rPr>
          <w:rFonts w:ascii="宋体" w:eastAsia="宋体" w:hAnsi="宋体" w:hint="eastAsia"/>
          <w:color w:val="000000"/>
          <w:sz w:val="24"/>
        </w:rPr>
        <w:t>部内部</w:t>
      </w:r>
      <w:r>
        <w:rPr>
          <w:rFonts w:ascii="宋体" w:hAnsi="宋体" w:hint="eastAsia"/>
          <w:color w:val="000000"/>
          <w:sz w:val="24"/>
          <w:lang w:eastAsia="zh-CN"/>
        </w:rPr>
        <w:t>管理管控</w:t>
      </w:r>
      <w:r>
        <w:rPr>
          <w:rFonts w:ascii="宋体" w:eastAsia="宋体" w:hAnsi="宋体" w:hint="eastAsia"/>
          <w:color w:val="000000"/>
          <w:sz w:val="24"/>
        </w:rPr>
        <w:t>人员效率与协调，增强与业主的联系，加强对施工队、分包单位的控制和与各个供货商的协作，并明确各方各个个人的职责分工，减少扯皮现象，争取将围绕本工程建设的各方各个人员充分调动统一，共同完成工期总目标。</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加强例会制度，解决矛盾、协调关系，保证按照施工进度</w:t>
      </w:r>
      <w:r>
        <w:rPr>
          <w:rFonts w:ascii="宋体" w:hAnsi="宋体" w:hint="eastAsia"/>
          <w:color w:val="000000"/>
          <w:sz w:val="24"/>
          <w:lang w:eastAsia="zh-CN"/>
        </w:rPr>
        <w:t>相关计划</w:t>
      </w:r>
      <w:r>
        <w:rPr>
          <w:rFonts w:ascii="宋体" w:eastAsia="宋体" w:hAnsi="宋体" w:hint="eastAsia"/>
          <w:color w:val="000000"/>
          <w:sz w:val="24"/>
        </w:rPr>
        <w:t>进行。</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完善的</w:t>
      </w:r>
      <w:r>
        <w:rPr>
          <w:rFonts w:ascii="宋体" w:hAnsi="宋体" w:hint="eastAsia"/>
          <w:color w:val="000000"/>
          <w:sz w:val="24"/>
          <w:lang w:eastAsia="zh-CN"/>
        </w:rPr>
        <w:t>管理管控</w:t>
      </w:r>
      <w:r>
        <w:rPr>
          <w:rFonts w:ascii="宋体" w:eastAsia="宋体" w:hAnsi="宋体" w:hint="eastAsia"/>
          <w:color w:val="000000"/>
          <w:sz w:val="24"/>
        </w:rPr>
        <w:t>组织包括工期控制组织机构和</w:t>
      </w:r>
      <w:r>
        <w:rPr>
          <w:rFonts w:ascii="宋体" w:hAnsi="宋体" w:hint="eastAsia"/>
          <w:color w:val="000000"/>
          <w:sz w:val="24"/>
          <w:lang w:eastAsia="zh-CN"/>
        </w:rPr>
        <w:t>相关计划</w:t>
      </w:r>
      <w:r>
        <w:rPr>
          <w:rFonts w:ascii="宋体" w:eastAsia="宋体" w:hAnsi="宋体" w:hint="eastAsia"/>
          <w:color w:val="000000"/>
          <w:sz w:val="24"/>
        </w:rPr>
        <w:t>控制体系。工期控制组织机构以</w:t>
      </w:r>
      <w:r>
        <w:rPr>
          <w:rFonts w:ascii="宋体" w:hAnsi="宋体" w:hint="eastAsia"/>
          <w:color w:val="000000"/>
          <w:sz w:val="24"/>
          <w:lang w:eastAsia="zh-CN"/>
        </w:rPr>
        <w:t>相关项目</w:t>
      </w:r>
      <w:r>
        <w:rPr>
          <w:rFonts w:ascii="宋体" w:eastAsia="宋体" w:hAnsi="宋体" w:hint="eastAsia"/>
          <w:color w:val="000000"/>
          <w:sz w:val="24"/>
        </w:rPr>
        <w:t>经理为主要责任人，</w:t>
      </w:r>
      <w:r>
        <w:rPr>
          <w:rFonts w:ascii="宋体" w:hAnsi="宋体" w:hint="eastAsia"/>
          <w:color w:val="000000"/>
          <w:sz w:val="24"/>
          <w:lang w:eastAsia="zh-CN"/>
        </w:rPr>
        <w:t>相关项目</w:t>
      </w:r>
      <w:r>
        <w:rPr>
          <w:rFonts w:ascii="宋体" w:eastAsia="宋体" w:hAnsi="宋体" w:hint="eastAsia"/>
          <w:color w:val="000000"/>
          <w:sz w:val="24"/>
        </w:rPr>
        <w:t>有关部室负责人组成。本</w:t>
      </w:r>
      <w:r>
        <w:rPr>
          <w:rFonts w:ascii="宋体" w:hAnsi="宋体" w:hint="eastAsia"/>
          <w:color w:val="000000"/>
          <w:sz w:val="24"/>
          <w:lang w:eastAsia="zh-CN"/>
        </w:rPr>
        <w:t>相关项目</w:t>
      </w:r>
      <w:r>
        <w:rPr>
          <w:rFonts w:ascii="宋体" w:eastAsia="宋体" w:hAnsi="宋体" w:hint="eastAsia"/>
          <w:color w:val="000000"/>
          <w:sz w:val="24"/>
        </w:rPr>
        <w:t>的</w:t>
      </w:r>
      <w:r>
        <w:rPr>
          <w:rFonts w:ascii="宋体" w:hAnsi="宋体" w:hint="eastAsia"/>
          <w:color w:val="000000"/>
          <w:sz w:val="24"/>
          <w:lang w:eastAsia="zh-CN"/>
        </w:rPr>
        <w:t>相关计划</w:t>
      </w:r>
      <w:r>
        <w:rPr>
          <w:rFonts w:ascii="宋体" w:eastAsia="宋体" w:hAnsi="宋体" w:hint="eastAsia"/>
          <w:color w:val="000000"/>
          <w:sz w:val="24"/>
        </w:rPr>
        <w:t>体系将以日、周、月、总控</w:t>
      </w:r>
      <w:r>
        <w:rPr>
          <w:rFonts w:ascii="宋体" w:hAnsi="宋体" w:hint="eastAsia"/>
          <w:color w:val="000000"/>
          <w:sz w:val="24"/>
          <w:lang w:eastAsia="zh-CN"/>
        </w:rPr>
        <w:t>相关计划</w:t>
      </w:r>
      <w:r>
        <w:rPr>
          <w:rFonts w:ascii="宋体" w:eastAsia="宋体" w:hAnsi="宋体" w:hint="eastAsia"/>
          <w:color w:val="000000"/>
          <w:sz w:val="24"/>
        </w:rPr>
        <w:t>构成工期</w:t>
      </w:r>
      <w:r>
        <w:rPr>
          <w:rFonts w:ascii="宋体" w:hAnsi="宋体" w:hint="eastAsia"/>
          <w:color w:val="000000"/>
          <w:sz w:val="24"/>
          <w:lang w:eastAsia="zh-CN"/>
        </w:rPr>
        <w:t>相关计划</w:t>
      </w:r>
      <w:r>
        <w:rPr>
          <w:rFonts w:ascii="宋体" w:eastAsia="宋体" w:hAnsi="宋体" w:hint="eastAsia"/>
          <w:color w:val="000000"/>
          <w:sz w:val="24"/>
        </w:rPr>
        <w:t>为主线，并由此派生出设计进度</w:t>
      </w:r>
      <w:r>
        <w:rPr>
          <w:rFonts w:ascii="宋体" w:hAnsi="宋体" w:hint="eastAsia"/>
          <w:color w:val="000000"/>
          <w:sz w:val="24"/>
          <w:lang w:eastAsia="zh-CN"/>
        </w:rPr>
        <w:t>相关计划</w:t>
      </w:r>
      <w:r>
        <w:rPr>
          <w:rFonts w:ascii="宋体" w:eastAsia="宋体" w:hAnsi="宋体" w:hint="eastAsia"/>
          <w:color w:val="000000"/>
          <w:sz w:val="24"/>
        </w:rPr>
        <w:t>、承包商、供货商招标</w:t>
      </w:r>
      <w:r>
        <w:rPr>
          <w:rFonts w:ascii="宋体" w:hAnsi="宋体" w:hint="eastAsia"/>
          <w:color w:val="000000"/>
          <w:sz w:val="24"/>
          <w:lang w:eastAsia="zh-CN"/>
        </w:rPr>
        <w:t>相关计划</w:t>
      </w:r>
      <w:r>
        <w:rPr>
          <w:rFonts w:ascii="宋体" w:eastAsia="宋体" w:hAnsi="宋体" w:hint="eastAsia"/>
          <w:color w:val="000000"/>
          <w:sz w:val="24"/>
        </w:rPr>
        <w:t>和进场</w:t>
      </w:r>
      <w:r>
        <w:rPr>
          <w:rFonts w:ascii="宋体" w:hAnsi="宋体" w:hint="eastAsia"/>
          <w:color w:val="000000"/>
          <w:sz w:val="24"/>
          <w:lang w:eastAsia="zh-CN"/>
        </w:rPr>
        <w:t>相关计划</w:t>
      </w:r>
      <w:r>
        <w:rPr>
          <w:rFonts w:ascii="宋体" w:eastAsia="宋体" w:hAnsi="宋体" w:hint="eastAsia"/>
          <w:color w:val="000000"/>
          <w:sz w:val="24"/>
        </w:rPr>
        <w:t>、技术保障</w:t>
      </w:r>
      <w:r>
        <w:rPr>
          <w:rFonts w:ascii="宋体" w:hAnsi="宋体" w:hint="eastAsia"/>
          <w:color w:val="000000"/>
          <w:sz w:val="24"/>
          <w:lang w:eastAsia="zh-CN"/>
        </w:rPr>
        <w:t>相关计划</w:t>
      </w:r>
      <w:r>
        <w:rPr>
          <w:rFonts w:ascii="宋体" w:eastAsia="宋体" w:hAnsi="宋体" w:hint="eastAsia"/>
          <w:color w:val="000000"/>
          <w:sz w:val="24"/>
        </w:rPr>
        <w:t>、物资供应</w:t>
      </w:r>
      <w:r>
        <w:rPr>
          <w:rFonts w:ascii="宋体" w:hAnsi="宋体" w:hint="eastAsia"/>
          <w:color w:val="000000"/>
          <w:sz w:val="24"/>
          <w:lang w:eastAsia="zh-CN"/>
        </w:rPr>
        <w:t>相关计划</w:t>
      </w:r>
      <w:r>
        <w:rPr>
          <w:rFonts w:ascii="宋体" w:eastAsia="宋体" w:hAnsi="宋体" w:hint="eastAsia"/>
          <w:color w:val="000000"/>
          <w:sz w:val="24"/>
        </w:rPr>
        <w:t>、质量检验与控制</w:t>
      </w:r>
      <w:r>
        <w:rPr>
          <w:rFonts w:ascii="宋体" w:hAnsi="宋体" w:hint="eastAsia"/>
          <w:color w:val="000000"/>
          <w:sz w:val="24"/>
          <w:lang w:eastAsia="zh-CN"/>
        </w:rPr>
        <w:t>相关计划</w:t>
      </w:r>
      <w:r>
        <w:rPr>
          <w:rFonts w:ascii="宋体" w:eastAsia="宋体" w:hAnsi="宋体" w:hint="eastAsia"/>
          <w:color w:val="000000"/>
          <w:sz w:val="24"/>
        </w:rPr>
        <w:t>、安全防护</w:t>
      </w:r>
      <w:r>
        <w:rPr>
          <w:rFonts w:ascii="宋体" w:hAnsi="宋体" w:hint="eastAsia"/>
          <w:color w:val="000000"/>
          <w:sz w:val="24"/>
          <w:lang w:eastAsia="zh-CN"/>
        </w:rPr>
        <w:t>相关计划</w:t>
      </w:r>
      <w:r>
        <w:rPr>
          <w:rFonts w:ascii="宋体" w:eastAsia="宋体" w:hAnsi="宋体" w:hint="eastAsia"/>
          <w:color w:val="000000"/>
          <w:sz w:val="24"/>
        </w:rPr>
        <w:t>及后勤保障等一系列</w:t>
      </w:r>
      <w:r>
        <w:rPr>
          <w:rFonts w:ascii="宋体" w:hAnsi="宋体" w:hint="eastAsia"/>
          <w:color w:val="000000"/>
          <w:sz w:val="24"/>
          <w:lang w:eastAsia="zh-CN"/>
        </w:rPr>
        <w:t>相关计划</w:t>
      </w:r>
      <w:r>
        <w:rPr>
          <w:rFonts w:ascii="宋体" w:eastAsia="宋体" w:hAnsi="宋体" w:hint="eastAsia"/>
          <w:color w:val="000000"/>
          <w:sz w:val="24"/>
        </w:rPr>
        <w:t>，并根据实际情况，适时进行调整、纠偏，使进度</w:t>
      </w:r>
      <w:r>
        <w:rPr>
          <w:rFonts w:ascii="宋体" w:hAnsi="宋体" w:hint="eastAsia"/>
          <w:color w:val="000000"/>
          <w:sz w:val="24"/>
          <w:lang w:eastAsia="zh-CN"/>
        </w:rPr>
        <w:t>相关计划管理管控</w:t>
      </w:r>
      <w:r>
        <w:rPr>
          <w:rFonts w:ascii="宋体" w:eastAsia="宋体" w:hAnsi="宋体" w:hint="eastAsia"/>
          <w:color w:val="000000"/>
          <w:sz w:val="24"/>
        </w:rPr>
        <w:t>形成层次分明、深入全面、动态跟踪、行之有效、贯彻始终制度。</w:t>
      </w:r>
    </w:p>
    <w:p>
      <w:pPr>
        <w:pStyle w:val="ListParagraph"/>
        <w:widowControl/>
        <w:numPr>
          <w:ilvl w:val="2"/>
          <w:numId w:val="15"/>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本工程工期控制组织机构如下：</w:t>
      </w:r>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color w:val="000000"/>
          <w:sz w:val="24"/>
        </w:rPr>
        <w:pict>
          <v:group id="Group 5010" o:spid="_x0000_s1027" style="width:307pt;height:218pt;margin-top:14.35pt;margin-left:53.95pt;mso-height-relative:page;mso-position-horizontal-relative:margin;mso-width-relative:page;position:absolute;z-index:251659264" coordorigin="2738,1255" coordsize="6140,4360">
            <v:shapetype id="_x0000_t202" coordsize="21600,21600" o:spt="202" path="m,l,21600r21600,l21600,xe">
              <v:stroke joinstyle="miter"/>
              <v:path gradientshapeok="t" o:connecttype="rect"/>
            </v:shapetype>
            <v:shape id="Text Box 5011" o:spid="_x0000_s1028" type="#_x0000_t202" style="width:2266;height:490;left:4708;position:absolute;top:3373" coordsize="21600,21600" filled="f" fillcolor="fuchsia" stroked="f">
              <v:stroke joinstyle="miter"/>
              <v:textbox>
                <w:txbxContent>
                  <w:p>
                    <w:pPr>
                      <w:pStyle w:val="Normal0"/>
                      <w:jc w:val="center"/>
                      <w:rPr>
                        <w:bCs/>
                        <w:shd w:val="clear" w:color="auto" w:fill="FFFFFF"/>
                      </w:rPr>
                    </w:pPr>
                    <w:r>
                      <w:rPr>
                        <w:rFonts w:hint="eastAsia"/>
                        <w:bCs/>
                        <w:shd w:val="clear" w:color="auto" w:fill="FFFFFF"/>
                      </w:rPr>
                      <w:t>施工</w:t>
                    </w:r>
                    <w:r>
                      <w:rPr>
                        <w:rFonts w:hint="eastAsia"/>
                        <w:bCs/>
                        <w:shd w:val="clear" w:color="auto" w:fill="FFFFFF"/>
                        <w:lang w:eastAsia="zh-CN"/>
                      </w:rPr>
                      <w:t>合适的方案</w:t>
                    </w:r>
                    <w:r>
                      <w:rPr>
                        <w:rFonts w:hint="eastAsia"/>
                        <w:bCs/>
                        <w:shd w:val="clear" w:color="auto" w:fill="FFFFFF"/>
                      </w:rPr>
                      <w:t>会审</w:t>
                    </w:r>
                  </w:p>
                </w:txbxContent>
              </v:textbox>
            </v:shape>
            <v:shape id="Text Box 5012" o:spid="_x0000_s1029" type="#_x0000_t202" style="width:2472;height:624;left:4605;position:absolute;top:2446" coordsize="21600,21600" filled="f" fillcolor="fuchsia" stroked="f">
              <v:stroke joinstyle="miter"/>
              <v:textbox>
                <w:txbxContent>
                  <w:p>
                    <w:pPr>
                      <w:pStyle w:val="Normal0"/>
                      <w:jc w:val="center"/>
                      <w:rPr>
                        <w:bCs/>
                      </w:rPr>
                    </w:pPr>
                    <w:r>
                      <w:rPr>
                        <w:rFonts w:hint="eastAsia"/>
                        <w:bCs/>
                      </w:rPr>
                      <w:t>协调总</w:t>
                    </w:r>
                    <w:r>
                      <w:rPr>
                        <w:rFonts w:hint="eastAsia"/>
                        <w:bCs/>
                        <w:lang w:eastAsia="zh-CN"/>
                      </w:rPr>
                      <w:t>相关计划</w:t>
                    </w:r>
                    <w:r>
                      <w:rPr>
                        <w:rFonts w:hint="eastAsia"/>
                        <w:bCs/>
                      </w:rPr>
                      <w:t>落实</w:t>
                    </w:r>
                  </w:p>
                </w:txbxContent>
              </v:textbox>
            </v:shape>
            <v:shape id="Text Box 5013" o:spid="_x0000_s1030" type="#_x0000_t202" style="width:1188;height:456;left:6848;position:absolute;top:4266" coordsize="21600,21600" filled="f" fillcolor="fuchsia" stroked="f">
              <v:stroke joinstyle="miter"/>
              <v:textbox inset="2.83pt,2.83pt,2.83pt,2.83pt">
                <w:txbxContent>
                  <w:p>
                    <w:pPr>
                      <w:pStyle w:val="Normal0"/>
                      <w:jc w:val="center"/>
                      <w:rPr>
                        <w:bCs/>
                      </w:rPr>
                    </w:pPr>
                    <w:r>
                      <w:rPr>
                        <w:rFonts w:hint="eastAsia"/>
                        <w:bCs/>
                      </w:rPr>
                      <w:t>技术保证</w:t>
                    </w:r>
                  </w:p>
                </w:txbxContent>
              </v:textbox>
            </v:shape>
            <v:shape id="Text Box 5014" o:spid="_x0000_s1031" type="#_x0000_t202" style="width:1425;height:489;left:3713;position:absolute;top:4262" coordsize="21600,21600" filled="f" fillcolor="fuchsia" stroked="f">
              <v:stroke joinstyle="miter"/>
              <v:textbox inset="2.83pt,2.83pt,2.83pt,2.83pt">
                <w:txbxContent>
                  <w:p>
                    <w:pPr>
                      <w:pStyle w:val="Normal0"/>
                      <w:jc w:val="center"/>
                      <w:rPr>
                        <w:rFonts w:hint="eastAsia"/>
                        <w:bCs/>
                      </w:rPr>
                    </w:pPr>
                    <w:r>
                      <w:rPr>
                        <w:rFonts w:hint="eastAsia"/>
                        <w:bCs/>
                      </w:rPr>
                      <w:t>落实周</w:t>
                    </w:r>
                    <w:r>
                      <w:rPr>
                        <w:rFonts w:hint="eastAsia"/>
                        <w:bCs/>
                        <w:lang w:eastAsia="zh-CN"/>
                      </w:rPr>
                      <w:t>相关计划</w:t>
                    </w:r>
                  </w:p>
                </w:txbxContent>
              </v:textbox>
            </v:shape>
            <v:shape id="Text Box 5015" o:spid="_x0000_s1032" type="#_x0000_t202" style="width:1800;height:429;left:4958;position:absolute;top:3805" coordsize="21600,21600" filled="f" fillcolor="fuchsia" stroked="f">
              <v:stroke joinstyle="miter"/>
              <v:textbox>
                <w:txbxContent>
                  <w:p>
                    <w:pPr>
                      <w:pStyle w:val="Normal0"/>
                      <w:rPr>
                        <w:bCs/>
                      </w:rPr>
                    </w:pPr>
                    <w:r>
                      <w:rPr>
                        <w:rFonts w:hint="eastAsia"/>
                        <w:bCs/>
                      </w:rPr>
                      <w:t>技术交底讨论</w:t>
                    </w:r>
                  </w:p>
                </w:txbxContent>
              </v:textbox>
            </v:shape>
            <v:shape id="Text Box 5016" o:spid="_x0000_s1033" type="#_x0000_t202" style="width:1648;height:468;left:5017;position:absolute;top:1255" coordsize="21600,21600" filled="f" fillcolor="fuchsia">
              <v:stroke joinstyle="miter"/>
              <v:textbox inset="2.83pt,2.83pt,2.83pt,2.83pt">
                <w:txbxContent>
                  <w:p>
                    <w:pPr>
                      <w:pStyle w:val="Normal0"/>
                      <w:jc w:val="center"/>
                      <w:rPr>
                        <w:bCs/>
                        <w:shd w:val="clear" w:color="auto" w:fill="FFFFFF"/>
                      </w:rPr>
                    </w:pPr>
                    <w:r>
                      <w:rPr>
                        <w:rFonts w:hint="eastAsia"/>
                        <w:bCs/>
                        <w:shd w:val="clear" w:color="auto" w:fill="FFFFFF"/>
                        <w:lang w:eastAsia="zh-CN"/>
                      </w:rPr>
                      <w:t>相关项目</w:t>
                    </w:r>
                    <w:r>
                      <w:rPr>
                        <w:rFonts w:hint="eastAsia"/>
                        <w:bCs/>
                        <w:shd w:val="clear" w:color="auto" w:fill="FFFFFF"/>
                      </w:rPr>
                      <w:t>经理</w:t>
                    </w:r>
                  </w:p>
                </w:txbxContent>
              </v:textbox>
            </v:shape>
            <v:line id="Line 5017" o:spid="_x0000_s1034" style="position:absolute" from="5841,1720" to="5841,2188" coordsize="21600,21600" o:connectortype="straight">
              <v:stroke endarrow="block"/>
            </v:line>
            <v:line id="Line 5018" o:spid="_x0000_s1035" style="position:absolute" from="3678,2188" to="8004,2188" coordsize="21600,21600" o:connectortype="straight"/>
            <v:line id="Line 5019" o:spid="_x0000_s1036" style="position:absolute" from="3678,2188" to="3678,2656" coordsize="21600,21600" o:connectortype="straight">
              <v:stroke endarrow="block"/>
            </v:line>
            <v:line id="Line 5020" o:spid="_x0000_s1037" style="position:absolute" from="8004,2188" to="8004,2656" coordsize="21600,21600" o:connectortype="straight">
              <v:stroke endarrow="block"/>
            </v:line>
            <v:shape id="Text Box 5021" o:spid="_x0000_s1038" type="#_x0000_t202" style="width:1648;height:468;left:2854;position:absolute;top:2656" coordsize="21600,21600" filled="f" fillcolor="fuchsia">
              <v:stroke joinstyle="miter"/>
              <v:textbox>
                <w:txbxContent>
                  <w:p>
                    <w:pPr>
                      <w:pStyle w:val="Normal0"/>
                      <w:adjustRightInd w:val="0"/>
                      <w:jc w:val="center"/>
                      <w:rPr>
                        <w:bCs/>
                        <w:shd w:val="clear" w:color="auto" w:fill="FFFFFF"/>
                      </w:rPr>
                    </w:pPr>
                    <w:r>
                      <w:rPr>
                        <w:rFonts w:hint="eastAsia"/>
                        <w:bCs/>
                        <w:shd w:val="clear" w:color="auto" w:fill="FFFFFF"/>
                      </w:rPr>
                      <w:t>生产经理</w:t>
                    </w:r>
                  </w:p>
                </w:txbxContent>
              </v:textbox>
            </v:shape>
            <v:shape id="Text Box 5022" o:spid="_x0000_s1039" type="#_x0000_t202" style="width:1442;height:468;left:7180;position:absolute;top:2656" coordsize="21600,21600" filled="f" fillcolor="fuchsia">
              <v:stroke joinstyle="miter"/>
              <v:textbox>
                <w:txbxContent>
                  <w:p>
                    <w:pPr>
                      <w:pStyle w:val="Normal0"/>
                      <w:jc w:val="center"/>
                      <w:rPr>
                        <w:bCs/>
                      </w:rPr>
                    </w:pPr>
                    <w:r>
                      <w:rPr>
                        <w:rFonts w:hint="eastAsia"/>
                        <w:bCs/>
                        <w:szCs w:val="21"/>
                      </w:rPr>
                      <w:t>技术负责人</w:t>
                    </w:r>
                    <w:r>
                      <w:rPr>
                        <w:rFonts w:hint="eastAsia"/>
                        <w:bCs/>
                      </w:rPr>
                      <w:t>人程师</w:t>
                    </w:r>
                  </w:p>
                </w:txbxContent>
              </v:textbox>
            </v:shape>
            <v:line id="Line 5023" o:spid="_x0000_s1040" style="position:absolute" from="4538,2908" to="7180,2908" coordsize="21600,21600" o:connectortype="straight">
              <v:stroke startarrow="block" endarrow="block"/>
            </v:line>
            <v:line id="Line 5024" o:spid="_x0000_s1041" style="position:absolute" from="3678,3124" to="3678,3592" coordsize="21600,21600" o:connectortype="straight">
              <v:stroke endarrow="block"/>
            </v:line>
            <v:line id="Line 5025" o:spid="_x0000_s1042" style="position:absolute" from="8004,3124" to="8004,3592" coordsize="21600,21600" o:connectortype="straight">
              <v:stroke endarrow="block"/>
            </v:line>
            <v:shape id="Text Box 5026" o:spid="_x0000_s1043" type="#_x0000_t202" style="width:1751;height:468;left:2738;position:absolute;top:3592" coordsize="21600,21600" filled="f" fillcolor="fuchsia">
              <v:stroke joinstyle="miter"/>
              <v:textbox>
                <w:txbxContent>
                  <w:p>
                    <w:pPr>
                      <w:pStyle w:val="Normal0"/>
                      <w:jc w:val="center"/>
                      <w:rPr>
                        <w:bCs/>
                      </w:rPr>
                    </w:pPr>
                    <w:r>
                      <w:rPr>
                        <w:rFonts w:hint="eastAsia"/>
                        <w:bCs/>
                      </w:rPr>
                      <w:t>各专业工长</w:t>
                    </w:r>
                  </w:p>
                </w:txbxContent>
              </v:textbox>
            </v:shape>
            <v:shape id="Text Box 5027" o:spid="_x0000_s1044" type="#_x0000_t202" style="width:1751;height:468;left:7127;position:absolute;top:3589" coordsize="21600,21600" filled="f" fillcolor="fuchsia">
              <v:stroke joinstyle="miter"/>
              <v:textbox inset="2.83pt,2.83pt,2.83pt,2.83pt">
                <w:txbxContent>
                  <w:p>
                    <w:pPr>
                      <w:pStyle w:val="Normal0"/>
                      <w:jc w:val="center"/>
                      <w:rPr>
                        <w:bCs/>
                      </w:rPr>
                    </w:pPr>
                    <w:r>
                      <w:rPr>
                        <w:rFonts w:hint="eastAsia"/>
                        <w:bCs/>
                        <w:spacing w:val="-20"/>
                      </w:rPr>
                      <w:t>各专业技术人</w:t>
                    </w:r>
                    <w:r>
                      <w:rPr>
                        <w:rFonts w:hint="eastAsia"/>
                        <w:bCs/>
                      </w:rPr>
                      <w:t>员</w:t>
                    </w:r>
                  </w:p>
                </w:txbxContent>
              </v:textbox>
            </v:shape>
            <v:line id="Line 5028" o:spid="_x0000_s1045" style="position:absolute" from="3678,4060" to="3678,4684" coordsize="21600,21600" o:connectortype="straight"/>
            <v:line id="Line 5029" o:spid="_x0000_s1046" style="position:absolute" from="8004,4060" to="8004,4684" coordsize="21600,21600" o:connectortype="straight"/>
            <v:line id="Line 5030" o:spid="_x0000_s1047" style="position:absolute" from="3668,4698" to="7994,4698" coordsize="21600,21600" o:connectortype="straight"/>
            <v:line id="Line 5031" o:spid="_x0000_s1048" style="position:absolute" from="5841,4684" to="5841,5152" coordsize="21600,21600" o:connectortype="straight">
              <v:stroke endarrow="block"/>
            </v:line>
            <v:shape id="Text Box 5032" o:spid="_x0000_s1049" type="#_x0000_t202" style="width:2472;height:456;left:4605;position:absolute;top:5159" coordsize="21600,21600" filled="f" fillcolor="fuchsia">
              <v:stroke joinstyle="miter"/>
              <v:textbox>
                <w:txbxContent>
                  <w:p>
                    <w:pPr>
                      <w:pStyle w:val="Normal0"/>
                      <w:jc w:val="center"/>
                      <w:rPr>
                        <w:bCs/>
                      </w:rPr>
                    </w:pPr>
                    <w:r>
                      <w:rPr>
                        <w:rFonts w:hint="eastAsia"/>
                        <w:bCs/>
                      </w:rPr>
                      <w:t>各专业施工单位</w:t>
                    </w:r>
                  </w:p>
                </w:txbxContent>
              </v:textbox>
            </v:shape>
            <v:line id="Line 5033" o:spid="_x0000_s1050" style="position:absolute" from="4538,3820" to="7180,3820" coordsize="21600,21600" o:connectortype="straight">
              <v:stroke startarrow="block" endarrow="block"/>
            </v:line>
            <w10:wrap anchorx="margin"/>
          </v:group>
        </w:pict>
      </w:r>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bookmarkStart w:id="174" w:name="_Toc202368934"/>
      <w:bookmarkStart w:id="175" w:name="_Toc200363742"/>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p>
    <w:p>
      <w:pPr>
        <w:pStyle w:val="Normal0"/>
        <w:widowControl/>
        <w:suppressAutoHyphens/>
        <w:spacing w:line="360" w:lineRule="auto"/>
        <w:ind w:firstLine="240" w:firstLineChars="100"/>
        <w:jc w:val="left"/>
        <w:rPr>
          <w:rFonts w:ascii="宋体" w:hAnsi="宋体"/>
          <w:color w:val="000000"/>
          <w:sz w:val="24"/>
        </w:rPr>
      </w:pP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合理的施工部署与施工进度</w:t>
      </w:r>
      <w:r>
        <w:rPr>
          <w:rFonts w:ascii="宋体" w:hAnsi="宋体" w:hint="eastAsia"/>
          <w:color w:val="000000"/>
          <w:sz w:val="24"/>
          <w:lang w:eastAsia="zh-CN"/>
        </w:rPr>
        <w:t>相关计划</w:t>
      </w:r>
      <w:r>
        <w:rPr>
          <w:rFonts w:ascii="宋体" w:eastAsia="宋体" w:hAnsi="宋体" w:hint="eastAsia"/>
          <w:color w:val="000000"/>
          <w:sz w:val="24"/>
        </w:rPr>
        <w:t>编制</w:t>
      </w:r>
      <w:bookmarkEnd w:id="174"/>
      <w:bookmarkEnd w:id="175"/>
    </w:p>
    <w:p>
      <w:pPr>
        <w:pStyle w:val="Normal0"/>
        <w:widowControl/>
        <w:suppressAutoHyphens/>
        <w:spacing w:line="360" w:lineRule="auto"/>
        <w:ind w:firstLine="240" w:firstLineChars="100"/>
        <w:jc w:val="left"/>
        <w:rPr>
          <w:rFonts w:ascii="宋体" w:hAnsi="宋体"/>
          <w:color w:val="000000"/>
          <w:sz w:val="24"/>
        </w:rPr>
        <w:sectPr>
          <w:headerReference w:type="default" r:id="rId49"/>
          <w:footerReference w:type="default" r:id="rId50"/>
          <w:type w:val="nextPage"/>
          <w:pgSz w:w="11906" w:h="16838"/>
          <w:pgMar w:top="1440" w:right="1701" w:bottom="1440" w:left="1701" w:header="850" w:footer="992" w:gutter="0"/>
          <w:pgNumType w:start="20"/>
          <w:cols w:num="1" w:space="425"/>
          <w:titlePg w:val="0"/>
          <w:docGrid w:type="lines" w:linePitch="312" w:charSpace="0"/>
        </w:sectPr>
      </w:pP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各分项工程的施工方法及所需施工时间分别安排其进度，并分析其关键线路，从而达到控制总工期的目的，在保证关键线路的同时，合理安排施工顺序，精心组织施工，力求达到平行作业、流水作业、立体交叉作业相结合，尽量缩短工期，保证按</w:t>
      </w:r>
      <w:r>
        <w:rPr>
          <w:rFonts w:ascii="宋体" w:hAnsi="宋体" w:hint="eastAsia"/>
          <w:color w:val="000000"/>
          <w:sz w:val="24"/>
          <w:lang w:eastAsia="zh-CN"/>
        </w:rPr>
        <w:t>相关计划</w:t>
      </w:r>
      <w:r>
        <w:rPr>
          <w:rFonts w:ascii="宋体" w:eastAsia="宋体" w:hAnsi="宋体" w:hint="eastAsia"/>
          <w:color w:val="000000"/>
          <w:sz w:val="24"/>
        </w:rPr>
        <w:t>工期完成施工任务。</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工程施工的总体规划，首先是编制施工组织设计，从施工总体安排到各单体具体施工设计都明确了达到的目标、标准和措施。除满足自身专业的进度形象外，把其他专业的开始完成时间考虑进来，配合其他专业完成工程的总体进度形象。</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利用PROJECT</w:t>
      </w:r>
      <w:r>
        <w:rPr>
          <w:rFonts w:ascii="宋体" w:hAnsi="宋体" w:hint="eastAsia"/>
          <w:color w:val="000000"/>
          <w:sz w:val="24"/>
          <w:lang w:eastAsia="zh-CN"/>
        </w:rPr>
        <w:t>相关项目相关计划管理管控</w:t>
      </w:r>
      <w:r>
        <w:rPr>
          <w:rFonts w:ascii="宋体" w:eastAsia="宋体" w:hAnsi="宋体" w:hint="eastAsia"/>
          <w:color w:val="000000"/>
          <w:sz w:val="24"/>
        </w:rPr>
        <w:t>软件编制详细的</w:t>
      </w:r>
      <w:r>
        <w:rPr>
          <w:rFonts w:ascii="宋体" w:hAnsi="宋体" w:hint="eastAsia"/>
          <w:color w:val="000000"/>
          <w:sz w:val="24"/>
          <w:lang w:eastAsia="zh-CN"/>
        </w:rPr>
        <w:t>相关项目相关计划</w:t>
      </w:r>
      <w:r>
        <w:rPr>
          <w:rFonts w:ascii="宋体" w:eastAsia="宋体" w:hAnsi="宋体" w:hint="eastAsia"/>
          <w:color w:val="000000"/>
          <w:sz w:val="24"/>
        </w:rPr>
        <w:t>，并每周调整一次，对施工</w:t>
      </w:r>
      <w:r>
        <w:rPr>
          <w:rFonts w:ascii="宋体" w:hAnsi="宋体" w:hint="eastAsia"/>
          <w:color w:val="000000"/>
          <w:sz w:val="24"/>
          <w:lang w:eastAsia="zh-CN"/>
        </w:rPr>
        <w:t>相关计划</w:t>
      </w:r>
      <w:r>
        <w:rPr>
          <w:rFonts w:ascii="宋体" w:eastAsia="宋体" w:hAnsi="宋体" w:hint="eastAsia"/>
          <w:color w:val="000000"/>
          <w:sz w:val="24"/>
        </w:rPr>
        <w:t>实行动态</w:t>
      </w:r>
      <w:r>
        <w:rPr>
          <w:rFonts w:ascii="宋体" w:hAnsi="宋体" w:hint="eastAsia"/>
          <w:color w:val="000000"/>
          <w:sz w:val="24"/>
          <w:lang w:eastAsia="zh-CN"/>
        </w:rPr>
        <w:t>管理管控</w:t>
      </w:r>
      <w:r>
        <w:rPr>
          <w:rFonts w:ascii="宋体" w:eastAsia="宋体" w:hAnsi="宋体" w:hint="eastAsia"/>
          <w:color w:val="000000"/>
          <w:sz w:val="24"/>
        </w:rPr>
        <w:t>。制定分级控制保证</w:t>
      </w:r>
      <w:r>
        <w:rPr>
          <w:rFonts w:ascii="宋体" w:hAnsi="宋体" w:hint="eastAsia"/>
          <w:color w:val="000000"/>
          <w:sz w:val="24"/>
          <w:lang w:eastAsia="zh-CN"/>
        </w:rPr>
        <w:t>相关计划</w:t>
      </w:r>
      <w:r>
        <w:rPr>
          <w:rFonts w:ascii="宋体" w:eastAsia="宋体" w:hAnsi="宋体" w:hint="eastAsia"/>
          <w:color w:val="000000"/>
          <w:sz w:val="24"/>
        </w:rPr>
        <w:t>：根据总控</w:t>
      </w:r>
      <w:r>
        <w:rPr>
          <w:rFonts w:ascii="宋体" w:hAnsi="宋体" w:hint="eastAsia"/>
          <w:color w:val="000000"/>
          <w:sz w:val="24"/>
          <w:lang w:eastAsia="zh-CN"/>
        </w:rPr>
        <w:t>相关计划</w:t>
      </w:r>
      <w:r>
        <w:rPr>
          <w:rFonts w:ascii="宋体" w:eastAsia="宋体" w:hAnsi="宋体" w:hint="eastAsia"/>
          <w:color w:val="000000"/>
          <w:sz w:val="24"/>
        </w:rPr>
        <w:t>编制月控制</w:t>
      </w:r>
      <w:r>
        <w:rPr>
          <w:rFonts w:ascii="宋体" w:hAnsi="宋体" w:hint="eastAsia"/>
          <w:color w:val="000000"/>
          <w:sz w:val="24"/>
          <w:lang w:eastAsia="zh-CN"/>
        </w:rPr>
        <w:t>相关计划</w:t>
      </w:r>
      <w:r>
        <w:rPr>
          <w:rFonts w:ascii="宋体" w:eastAsia="宋体" w:hAnsi="宋体" w:hint="eastAsia"/>
          <w:color w:val="000000"/>
          <w:sz w:val="24"/>
        </w:rPr>
        <w:t>，根据月控制</w:t>
      </w:r>
      <w:r>
        <w:rPr>
          <w:rFonts w:ascii="宋体" w:hAnsi="宋体" w:hint="eastAsia"/>
          <w:color w:val="000000"/>
          <w:sz w:val="24"/>
          <w:lang w:eastAsia="zh-CN"/>
        </w:rPr>
        <w:t>相关计划</w:t>
      </w:r>
      <w:r>
        <w:rPr>
          <w:rFonts w:ascii="宋体" w:eastAsia="宋体" w:hAnsi="宋体" w:hint="eastAsia"/>
          <w:color w:val="000000"/>
          <w:sz w:val="24"/>
        </w:rPr>
        <w:t>编制周</w:t>
      </w:r>
      <w:r>
        <w:rPr>
          <w:rFonts w:ascii="宋体" w:hAnsi="宋体" w:hint="eastAsia"/>
          <w:color w:val="000000"/>
          <w:sz w:val="24"/>
          <w:lang w:eastAsia="zh-CN"/>
        </w:rPr>
        <w:t>相关计划</w:t>
      </w:r>
      <w:r>
        <w:rPr>
          <w:rFonts w:ascii="宋体" w:eastAsia="宋体" w:hAnsi="宋体" w:hint="eastAsia"/>
          <w:color w:val="000000"/>
          <w:sz w:val="24"/>
        </w:rPr>
        <w:t>，周</w:t>
      </w:r>
      <w:r>
        <w:rPr>
          <w:rFonts w:ascii="宋体" w:hAnsi="宋体" w:hint="eastAsia"/>
          <w:color w:val="000000"/>
          <w:sz w:val="24"/>
          <w:lang w:eastAsia="zh-CN"/>
        </w:rPr>
        <w:t>相关计划</w:t>
      </w:r>
      <w:r>
        <w:rPr>
          <w:rFonts w:ascii="宋体" w:eastAsia="宋体" w:hAnsi="宋体" w:hint="eastAsia"/>
          <w:color w:val="000000"/>
          <w:sz w:val="24"/>
        </w:rPr>
        <w:t>根据前三天的实际情况，调整后三天</w:t>
      </w:r>
      <w:r>
        <w:rPr>
          <w:rFonts w:ascii="宋体" w:hAnsi="宋体" w:hint="eastAsia"/>
          <w:color w:val="000000"/>
          <w:sz w:val="24"/>
          <w:lang w:eastAsia="zh-CN"/>
        </w:rPr>
        <w:t>相关计划</w:t>
      </w:r>
      <w:r>
        <w:rPr>
          <w:rFonts w:ascii="宋体" w:eastAsia="宋体" w:hAnsi="宋体" w:hint="eastAsia"/>
          <w:color w:val="000000"/>
          <w:sz w:val="24"/>
        </w:rPr>
        <w:t>并且制定下周</w:t>
      </w:r>
      <w:r>
        <w:rPr>
          <w:rFonts w:ascii="宋体" w:hAnsi="宋体" w:hint="eastAsia"/>
          <w:color w:val="000000"/>
          <w:sz w:val="24"/>
          <w:lang w:eastAsia="zh-CN"/>
        </w:rPr>
        <w:t>相关计划</w:t>
      </w:r>
      <w:r>
        <w:rPr>
          <w:rFonts w:ascii="宋体" w:eastAsia="宋体" w:hAnsi="宋体" w:hint="eastAsia"/>
          <w:color w:val="000000"/>
          <w:sz w:val="24"/>
        </w:rPr>
        <w:t>，实行3日保周、周保月、月保总控</w:t>
      </w:r>
      <w:r>
        <w:rPr>
          <w:rFonts w:ascii="宋体" w:hAnsi="宋体" w:hint="eastAsia"/>
          <w:color w:val="000000"/>
          <w:sz w:val="24"/>
          <w:lang w:eastAsia="zh-CN"/>
        </w:rPr>
        <w:t>相关计划</w:t>
      </w:r>
      <w:r>
        <w:rPr>
          <w:rFonts w:ascii="宋体" w:eastAsia="宋体" w:hAnsi="宋体" w:hint="eastAsia"/>
          <w:color w:val="000000"/>
          <w:sz w:val="24"/>
        </w:rPr>
        <w:t>的</w:t>
      </w:r>
      <w:r>
        <w:rPr>
          <w:rFonts w:ascii="宋体" w:hAnsi="宋体" w:hint="eastAsia"/>
          <w:color w:val="000000"/>
          <w:sz w:val="24"/>
          <w:lang w:eastAsia="zh-CN"/>
        </w:rPr>
        <w:t>管理管控</w:t>
      </w:r>
      <w:r>
        <w:rPr>
          <w:rFonts w:ascii="宋体" w:eastAsia="宋体" w:hAnsi="宋体" w:hint="eastAsia"/>
          <w:color w:val="000000"/>
          <w:sz w:val="24"/>
        </w:rPr>
        <w:t>方式。</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为实现各个目标。</w:t>
      </w:r>
      <w:r>
        <w:rPr>
          <w:rFonts w:ascii="宋体" w:hAnsi="宋体" w:hint="eastAsia"/>
          <w:color w:val="000000"/>
          <w:sz w:val="24"/>
          <w:lang w:eastAsia="zh-CN"/>
        </w:rPr>
        <w:t>相关计划</w:t>
      </w:r>
      <w:r>
        <w:rPr>
          <w:rFonts w:ascii="宋体" w:eastAsia="宋体" w:hAnsi="宋体" w:hint="eastAsia"/>
          <w:color w:val="000000"/>
          <w:sz w:val="24"/>
        </w:rPr>
        <w:t>控制采取四级进度</w:t>
      </w:r>
      <w:r>
        <w:rPr>
          <w:rFonts w:ascii="宋体" w:hAnsi="宋体" w:hint="eastAsia"/>
          <w:color w:val="000000"/>
          <w:sz w:val="24"/>
          <w:lang w:eastAsia="zh-CN"/>
        </w:rPr>
        <w:t>相关计划</w:t>
      </w:r>
      <w:r>
        <w:rPr>
          <w:rFonts w:ascii="宋体" w:eastAsia="宋体" w:hAnsi="宋体" w:hint="eastAsia"/>
          <w:color w:val="000000"/>
          <w:sz w:val="24"/>
        </w:rPr>
        <w:t>进行工程进度的安排和控制，除每周与工程相关各方的工程例会外，每日下午4点召开各分包的日</w:t>
      </w:r>
      <w:r>
        <w:rPr>
          <w:rFonts w:ascii="宋体" w:hAnsi="宋体" w:hint="eastAsia"/>
          <w:color w:val="000000"/>
          <w:sz w:val="24"/>
          <w:lang w:eastAsia="zh-CN"/>
        </w:rPr>
        <w:t>相关计划</w:t>
      </w:r>
      <w:r>
        <w:rPr>
          <w:rFonts w:ascii="宋体" w:eastAsia="宋体" w:hAnsi="宋体" w:hint="eastAsia"/>
          <w:color w:val="000000"/>
          <w:sz w:val="24"/>
        </w:rPr>
        <w:t>检查和</w:t>
      </w:r>
      <w:r>
        <w:rPr>
          <w:rFonts w:ascii="宋体" w:hAnsi="宋体" w:hint="eastAsia"/>
          <w:color w:val="000000"/>
          <w:sz w:val="24"/>
          <w:lang w:eastAsia="zh-CN"/>
        </w:rPr>
        <w:t>相关计划</w:t>
      </w:r>
      <w:r>
        <w:rPr>
          <w:rFonts w:ascii="宋体" w:eastAsia="宋体" w:hAnsi="宋体" w:hint="eastAsia"/>
          <w:color w:val="000000"/>
          <w:sz w:val="24"/>
        </w:rPr>
        <w:t>安排碰头会，以解决当日</w:t>
      </w:r>
      <w:r>
        <w:rPr>
          <w:rFonts w:ascii="宋体" w:hAnsi="宋体" w:hint="eastAsia"/>
          <w:color w:val="000000"/>
          <w:sz w:val="24"/>
          <w:lang w:eastAsia="zh-CN"/>
        </w:rPr>
        <w:t>相关计划</w:t>
      </w:r>
      <w:r>
        <w:rPr>
          <w:rFonts w:ascii="宋体" w:eastAsia="宋体" w:hAnsi="宋体" w:hint="eastAsia"/>
          <w:color w:val="000000"/>
          <w:sz w:val="24"/>
        </w:rPr>
        <w:t>落实过程中存在的矛盾问题并且安排第二日的</w:t>
      </w:r>
      <w:r>
        <w:rPr>
          <w:rFonts w:ascii="宋体" w:hAnsi="宋体" w:hint="eastAsia"/>
          <w:color w:val="000000"/>
          <w:sz w:val="24"/>
          <w:lang w:eastAsia="zh-CN"/>
        </w:rPr>
        <w:t>相关计划</w:t>
      </w:r>
      <w:r>
        <w:rPr>
          <w:rFonts w:ascii="宋体" w:eastAsia="宋体" w:hAnsi="宋体" w:hint="eastAsia"/>
          <w:color w:val="000000"/>
          <w:sz w:val="24"/>
        </w:rPr>
        <w:t>和所调整的</w:t>
      </w:r>
      <w:r>
        <w:rPr>
          <w:rFonts w:ascii="宋体" w:hAnsi="宋体" w:hint="eastAsia"/>
          <w:color w:val="000000"/>
          <w:sz w:val="24"/>
          <w:lang w:eastAsia="zh-CN"/>
        </w:rPr>
        <w:t>相关计划</w:t>
      </w:r>
      <w:r>
        <w:rPr>
          <w:rFonts w:ascii="宋体" w:eastAsia="宋体" w:hAnsi="宋体" w:hint="eastAsia"/>
          <w:color w:val="000000"/>
          <w:sz w:val="24"/>
        </w:rPr>
        <w:t>，以保证周</w:t>
      </w:r>
      <w:r>
        <w:rPr>
          <w:rFonts w:ascii="宋体" w:hAnsi="宋体" w:hint="eastAsia"/>
          <w:color w:val="000000"/>
          <w:sz w:val="24"/>
          <w:lang w:eastAsia="zh-CN"/>
        </w:rPr>
        <w:t>相关计划</w:t>
      </w:r>
      <w:r>
        <w:rPr>
          <w:rFonts w:ascii="宋体" w:eastAsia="宋体" w:hAnsi="宋体" w:hint="eastAsia"/>
          <w:color w:val="000000"/>
          <w:sz w:val="24"/>
        </w:rPr>
        <w:t>的完成，通过周</w:t>
      </w:r>
      <w:r>
        <w:rPr>
          <w:rFonts w:ascii="宋体" w:hAnsi="宋体" w:hint="eastAsia"/>
          <w:color w:val="000000"/>
          <w:sz w:val="24"/>
          <w:lang w:eastAsia="zh-CN"/>
        </w:rPr>
        <w:t>相关计划</w:t>
      </w:r>
      <w:r>
        <w:rPr>
          <w:rFonts w:ascii="宋体" w:eastAsia="宋体" w:hAnsi="宋体" w:hint="eastAsia"/>
          <w:color w:val="000000"/>
          <w:sz w:val="24"/>
        </w:rPr>
        <w:t>的完成保证月</w:t>
      </w:r>
      <w:r>
        <w:rPr>
          <w:rFonts w:ascii="宋体" w:hAnsi="宋体" w:hint="eastAsia"/>
          <w:color w:val="000000"/>
          <w:sz w:val="24"/>
          <w:lang w:eastAsia="zh-CN"/>
        </w:rPr>
        <w:t>相关计划</w:t>
      </w:r>
      <w:r>
        <w:rPr>
          <w:rFonts w:ascii="宋体" w:eastAsia="宋体" w:hAnsi="宋体" w:hint="eastAsia"/>
          <w:color w:val="000000"/>
          <w:sz w:val="24"/>
        </w:rPr>
        <w:t>的完成，通过月</w:t>
      </w:r>
      <w:r>
        <w:rPr>
          <w:rFonts w:ascii="宋体" w:hAnsi="宋体" w:hint="eastAsia"/>
          <w:color w:val="000000"/>
          <w:sz w:val="24"/>
          <w:lang w:eastAsia="zh-CN"/>
        </w:rPr>
        <w:t>相关计划</w:t>
      </w:r>
      <w:r>
        <w:rPr>
          <w:rFonts w:ascii="宋体" w:eastAsia="宋体" w:hAnsi="宋体" w:hint="eastAsia"/>
          <w:color w:val="000000"/>
          <w:sz w:val="24"/>
        </w:rPr>
        <w:t>的控制保证整体进度</w:t>
      </w:r>
      <w:r>
        <w:rPr>
          <w:rFonts w:ascii="宋体" w:hAnsi="宋体" w:hint="eastAsia"/>
          <w:color w:val="000000"/>
          <w:sz w:val="24"/>
          <w:lang w:eastAsia="zh-CN"/>
        </w:rPr>
        <w:t>相关计划</w:t>
      </w:r>
      <w:r>
        <w:rPr>
          <w:rFonts w:ascii="宋体" w:eastAsia="宋体" w:hAnsi="宋体" w:hint="eastAsia"/>
          <w:color w:val="000000"/>
          <w:sz w:val="24"/>
        </w:rPr>
        <w:t>的实现。</w:t>
      </w:r>
    </w:p>
    <w:p>
      <w:pPr>
        <w:pStyle w:val="Normal0"/>
        <w:widowControl/>
        <w:suppressAutoHyphens/>
        <w:spacing w:before="240" w:line="300" w:lineRule="auto"/>
        <w:ind w:firstLine="480" w:firstLineChars="200"/>
        <w:rPr>
          <w:rFonts w:ascii="宋体" w:hAnsi="宋体"/>
          <w:b/>
          <w:color w:val="000000"/>
          <w:sz w:val="24"/>
        </w:rPr>
      </w:pPr>
      <w:r>
        <w:rPr>
          <w:rFonts w:ascii="宋体" w:eastAsia="宋体" w:hAnsi="宋体" w:hint="eastAsia"/>
          <w:b/>
          <w:color w:val="000000"/>
          <w:sz w:val="24"/>
        </w:rPr>
        <w:t>一级总体控制</w:t>
      </w:r>
      <w:r>
        <w:rPr>
          <w:rFonts w:ascii="宋体" w:hAnsi="宋体" w:hint="eastAsia"/>
          <w:b/>
          <w:color w:val="000000"/>
          <w:sz w:val="24"/>
          <w:lang w:eastAsia="zh-CN"/>
        </w:rPr>
        <w:t>相关计划</w:t>
      </w:r>
      <w:r>
        <w:rPr>
          <w:rFonts w:ascii="宋体" w:eastAsia="宋体" w:hAnsi="宋体" w:hint="eastAsia"/>
          <w:b/>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配合总承包控制进行一级进度</w:t>
      </w:r>
      <w:r>
        <w:rPr>
          <w:rFonts w:ascii="宋体" w:hAnsi="宋体" w:hint="eastAsia"/>
          <w:color w:val="000000"/>
          <w:sz w:val="24"/>
          <w:lang w:eastAsia="zh-CN"/>
        </w:rPr>
        <w:t>相关计划</w:t>
      </w:r>
      <w:r>
        <w:rPr>
          <w:rFonts w:ascii="宋体" w:eastAsia="宋体" w:hAnsi="宋体" w:hint="eastAsia"/>
          <w:color w:val="000000"/>
          <w:sz w:val="24"/>
        </w:rPr>
        <w:t>的执行。</w:t>
      </w:r>
    </w:p>
    <w:p>
      <w:pPr>
        <w:pStyle w:val="Normal0"/>
        <w:widowControl/>
        <w:suppressAutoHyphens/>
        <w:spacing w:before="240" w:line="300" w:lineRule="auto"/>
        <w:ind w:firstLine="480" w:firstLineChars="200"/>
        <w:rPr>
          <w:rFonts w:ascii="宋体" w:hAnsi="宋体"/>
          <w:b/>
          <w:color w:val="000000"/>
          <w:sz w:val="24"/>
        </w:rPr>
      </w:pPr>
      <w:r>
        <w:rPr>
          <w:rFonts w:ascii="宋体" w:eastAsia="宋体" w:hAnsi="宋体" w:hint="eastAsia"/>
          <w:b/>
          <w:color w:val="000000"/>
          <w:sz w:val="24"/>
        </w:rPr>
        <w:t>二级进度控制</w:t>
      </w:r>
      <w:r>
        <w:rPr>
          <w:rFonts w:ascii="宋体" w:hAnsi="宋体" w:hint="eastAsia"/>
          <w:b/>
          <w:color w:val="000000"/>
          <w:sz w:val="24"/>
          <w:lang w:eastAsia="zh-CN"/>
        </w:rPr>
        <w:t>相关计划</w:t>
      </w:r>
      <w:r>
        <w:rPr>
          <w:rFonts w:ascii="宋体" w:eastAsia="宋体" w:hAnsi="宋体" w:hint="eastAsia"/>
          <w:b/>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以总控</w:t>
      </w:r>
      <w:r>
        <w:rPr>
          <w:rFonts w:ascii="宋体" w:hAnsi="宋体" w:hint="eastAsia"/>
          <w:color w:val="000000"/>
          <w:sz w:val="24"/>
          <w:lang w:eastAsia="zh-CN"/>
        </w:rPr>
        <w:t>相关计划</w:t>
      </w:r>
      <w:r>
        <w:rPr>
          <w:rFonts w:ascii="宋体" w:eastAsia="宋体" w:hAnsi="宋体" w:hint="eastAsia"/>
          <w:color w:val="000000"/>
          <w:sz w:val="24"/>
        </w:rPr>
        <w:t>为基础，以专业工程的阶段目标为指导，分解出每月的具体实施步骤，形成每月进度目标，以达到满足一级总体控制</w:t>
      </w:r>
      <w:r>
        <w:rPr>
          <w:rFonts w:ascii="宋体" w:hAnsi="宋体" w:hint="eastAsia"/>
          <w:color w:val="000000"/>
          <w:sz w:val="24"/>
          <w:lang w:eastAsia="zh-CN"/>
        </w:rPr>
        <w:t>相关计划</w:t>
      </w:r>
      <w:r>
        <w:rPr>
          <w:rFonts w:ascii="宋体" w:eastAsia="宋体" w:hAnsi="宋体" w:hint="eastAsia"/>
          <w:color w:val="000000"/>
          <w:sz w:val="24"/>
        </w:rPr>
        <w:t>的要求，便于对阶段性进度进行组织、安排和落实，有效控制工程进度。一般是以月度的形式提供给雇主和雇主代表、监理、设计和相关承包商及其基层</w:t>
      </w:r>
      <w:r>
        <w:rPr>
          <w:rFonts w:ascii="宋体" w:hAnsi="宋体" w:hint="eastAsia"/>
          <w:color w:val="000000"/>
          <w:sz w:val="24"/>
          <w:lang w:eastAsia="zh-CN"/>
        </w:rPr>
        <w:t>管理管控</w:t>
      </w:r>
      <w:r>
        <w:rPr>
          <w:rFonts w:ascii="宋体" w:eastAsia="宋体" w:hAnsi="宋体" w:hint="eastAsia"/>
          <w:color w:val="000000"/>
          <w:sz w:val="24"/>
        </w:rPr>
        <w:t>人员，在每月25日提供下月进度</w:t>
      </w:r>
      <w:r>
        <w:rPr>
          <w:rFonts w:ascii="宋体" w:hAnsi="宋体" w:hint="eastAsia"/>
          <w:color w:val="000000"/>
          <w:sz w:val="24"/>
          <w:lang w:eastAsia="zh-CN"/>
        </w:rPr>
        <w:t>相关计划</w:t>
      </w:r>
      <w:r>
        <w:rPr>
          <w:rFonts w:ascii="宋体" w:eastAsia="宋体" w:hAnsi="宋体" w:hint="eastAsia"/>
          <w:color w:val="000000"/>
          <w:sz w:val="24"/>
        </w:rPr>
        <w:t>和上月</w:t>
      </w:r>
      <w:r>
        <w:rPr>
          <w:rFonts w:ascii="宋体" w:hAnsi="宋体" w:hint="eastAsia"/>
          <w:color w:val="000000"/>
          <w:sz w:val="24"/>
          <w:lang w:eastAsia="zh-CN"/>
        </w:rPr>
        <w:t>相关计划</w:t>
      </w:r>
      <w:r>
        <w:rPr>
          <w:rFonts w:ascii="宋体" w:eastAsia="宋体" w:hAnsi="宋体" w:hint="eastAsia"/>
          <w:color w:val="000000"/>
          <w:sz w:val="24"/>
        </w:rPr>
        <w:t>完成情况分析。</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二级月</w:t>
      </w:r>
      <w:r>
        <w:rPr>
          <w:rFonts w:ascii="宋体" w:hAnsi="宋体" w:hint="eastAsia"/>
          <w:color w:val="000000"/>
          <w:sz w:val="24"/>
          <w:lang w:eastAsia="zh-CN"/>
        </w:rPr>
        <w:t>相关计划</w:t>
      </w:r>
      <w:r>
        <w:rPr>
          <w:rFonts w:ascii="宋体" w:eastAsia="宋体" w:hAnsi="宋体" w:hint="eastAsia"/>
          <w:color w:val="000000"/>
          <w:sz w:val="24"/>
        </w:rPr>
        <w:t>的实现是</w:t>
      </w:r>
      <w:r>
        <w:rPr>
          <w:rFonts w:ascii="宋体" w:hAnsi="宋体" w:hint="eastAsia"/>
          <w:color w:val="000000"/>
          <w:sz w:val="24"/>
          <w:lang w:eastAsia="zh-CN"/>
        </w:rPr>
        <w:t>相关项目管理管控</w:t>
      </w:r>
      <w:r>
        <w:rPr>
          <w:rFonts w:ascii="宋体" w:eastAsia="宋体" w:hAnsi="宋体" w:hint="eastAsia"/>
          <w:color w:val="000000"/>
          <w:sz w:val="24"/>
        </w:rPr>
        <w:t>层向</w:t>
      </w:r>
      <w:r>
        <w:rPr>
          <w:rFonts w:ascii="宋体" w:hAnsi="宋体" w:hint="eastAsia"/>
          <w:color w:val="000000"/>
          <w:sz w:val="24"/>
          <w:lang w:eastAsia="zh-CN"/>
        </w:rPr>
        <w:t>相关项目</w:t>
      </w:r>
      <w:r>
        <w:rPr>
          <w:rFonts w:ascii="宋体" w:eastAsia="宋体" w:hAnsi="宋体" w:hint="eastAsia"/>
          <w:color w:val="000000"/>
          <w:sz w:val="24"/>
        </w:rPr>
        <w:t>决策层负责的主要</w:t>
      </w:r>
      <w:r>
        <w:rPr>
          <w:rFonts w:ascii="宋体" w:hAnsi="宋体" w:hint="eastAsia"/>
          <w:color w:val="000000"/>
          <w:sz w:val="24"/>
          <w:lang w:eastAsia="zh-CN"/>
        </w:rPr>
        <w:t>合适的内容</w:t>
      </w:r>
      <w:r>
        <w:rPr>
          <w:rFonts w:ascii="宋体" w:eastAsia="宋体" w:hAnsi="宋体" w:hint="eastAsia"/>
          <w:color w:val="000000"/>
          <w:sz w:val="24"/>
        </w:rPr>
        <w:t>之一，也是</w:t>
      </w:r>
      <w:r>
        <w:rPr>
          <w:rFonts w:ascii="宋体" w:hAnsi="宋体" w:hint="eastAsia"/>
          <w:color w:val="000000"/>
          <w:sz w:val="24"/>
          <w:lang w:eastAsia="zh-CN"/>
        </w:rPr>
        <w:t>相关项目</w:t>
      </w:r>
      <w:r>
        <w:rPr>
          <w:rFonts w:ascii="宋体" w:eastAsia="宋体" w:hAnsi="宋体" w:hint="eastAsia"/>
          <w:color w:val="000000"/>
          <w:sz w:val="24"/>
        </w:rPr>
        <w:t>决策层对</w:t>
      </w:r>
      <w:r>
        <w:rPr>
          <w:rFonts w:ascii="宋体" w:hAnsi="宋体" w:hint="eastAsia"/>
          <w:color w:val="000000"/>
          <w:sz w:val="24"/>
          <w:lang w:eastAsia="zh-CN"/>
        </w:rPr>
        <w:t>管理管控</w:t>
      </w:r>
      <w:r>
        <w:rPr>
          <w:rFonts w:ascii="宋体" w:eastAsia="宋体" w:hAnsi="宋体" w:hint="eastAsia"/>
          <w:color w:val="000000"/>
          <w:sz w:val="24"/>
        </w:rPr>
        <w:t>层考评的主要</w:t>
      </w:r>
      <w:r>
        <w:rPr>
          <w:rFonts w:ascii="宋体" w:hAnsi="宋体" w:hint="eastAsia"/>
          <w:color w:val="000000"/>
          <w:sz w:val="24"/>
          <w:lang w:eastAsia="zh-CN"/>
        </w:rPr>
        <w:t>合适的内容</w:t>
      </w:r>
      <w:r>
        <w:rPr>
          <w:rFonts w:ascii="宋体" w:eastAsia="宋体" w:hAnsi="宋体" w:hint="eastAsia"/>
          <w:color w:val="000000"/>
          <w:sz w:val="24"/>
        </w:rPr>
        <w:t>之一。</w:t>
      </w:r>
    </w:p>
    <w:p>
      <w:pPr>
        <w:pStyle w:val="Normal0"/>
        <w:widowControl/>
        <w:suppressAutoHyphens/>
        <w:spacing w:before="240" w:line="300" w:lineRule="auto"/>
        <w:ind w:firstLine="480" w:firstLineChars="200"/>
        <w:rPr>
          <w:rFonts w:ascii="宋体" w:hAnsi="宋体"/>
          <w:b/>
          <w:color w:val="000000"/>
          <w:sz w:val="24"/>
        </w:rPr>
        <w:sectPr>
          <w:headerReference w:type="default" r:id="rId51"/>
          <w:footerReference w:type="default" r:id="rId52"/>
          <w:type w:val="nextPage"/>
          <w:pgSz w:w="11906" w:h="16838"/>
          <w:pgMar w:top="1440" w:right="1701" w:bottom="1440" w:left="1701" w:header="850" w:footer="992" w:gutter="0"/>
          <w:pgNumType w:start="21"/>
          <w:cols w:num="1" w:space="425"/>
          <w:titlePg w:val="0"/>
          <w:docGrid w:type="lines" w:linePitch="312" w:charSpace="0"/>
        </w:sectPr>
      </w:pPr>
      <w:r>
        <w:rPr>
          <w:rFonts w:ascii="宋体" w:eastAsia="宋体" w:hAnsi="宋体" w:hint="eastAsia"/>
          <w:b/>
          <w:color w:val="000000"/>
          <w:sz w:val="24"/>
        </w:rPr>
        <w:t>三级进度</w:t>
      </w:r>
      <w:r>
        <w:rPr>
          <w:rFonts w:ascii="宋体" w:hAnsi="宋体" w:hint="eastAsia"/>
          <w:b/>
          <w:color w:val="000000"/>
          <w:sz w:val="24"/>
          <w:lang w:eastAsia="zh-CN"/>
        </w:rPr>
        <w:t>相关计划</w:t>
      </w:r>
      <w:r>
        <w:rPr>
          <w:rFonts w:ascii="宋体" w:eastAsia="宋体" w:hAnsi="宋体" w:hint="eastAsia"/>
          <w:b/>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是以二级进度</w:t>
      </w:r>
      <w:r>
        <w:rPr>
          <w:rFonts w:ascii="宋体" w:hAnsi="宋体" w:hint="eastAsia"/>
          <w:color w:val="000000"/>
          <w:sz w:val="24"/>
          <w:lang w:eastAsia="zh-CN"/>
        </w:rPr>
        <w:t>相关计划</w:t>
      </w:r>
      <w:r>
        <w:rPr>
          <w:rFonts w:ascii="宋体" w:eastAsia="宋体" w:hAnsi="宋体" w:hint="eastAsia"/>
          <w:color w:val="000000"/>
          <w:sz w:val="24"/>
        </w:rPr>
        <w:t>为依据，进一步分解二级进度控制</w:t>
      </w:r>
      <w:r>
        <w:rPr>
          <w:rFonts w:ascii="宋体" w:hAnsi="宋体" w:hint="eastAsia"/>
          <w:color w:val="000000"/>
          <w:sz w:val="24"/>
          <w:lang w:eastAsia="zh-CN"/>
        </w:rPr>
        <w:t>相关计划</w:t>
      </w:r>
      <w:r>
        <w:rPr>
          <w:rFonts w:ascii="宋体" w:eastAsia="宋体" w:hAnsi="宋体" w:hint="eastAsia"/>
          <w:color w:val="000000"/>
          <w:sz w:val="24"/>
        </w:rPr>
        <w:t>，进行流水施工和交叉施工的</w:t>
      </w:r>
      <w:r>
        <w:rPr>
          <w:rFonts w:ascii="宋体" w:hAnsi="宋体" w:hint="eastAsia"/>
          <w:color w:val="000000"/>
          <w:sz w:val="24"/>
          <w:lang w:eastAsia="zh-CN"/>
        </w:rPr>
        <w:t>相关计划</w:t>
      </w:r>
      <w:r>
        <w:rPr>
          <w:rFonts w:ascii="宋体" w:eastAsia="宋体" w:hAnsi="宋体" w:hint="eastAsia"/>
          <w:color w:val="000000"/>
          <w:sz w:val="24"/>
        </w:rPr>
        <w:t>安排，并进一步减小控制时段以提高可操控性，形成周进度</w:t>
      </w:r>
      <w:r>
        <w:rPr>
          <w:rFonts w:ascii="宋体" w:hAnsi="宋体" w:hint="eastAsia"/>
          <w:color w:val="000000"/>
          <w:sz w:val="24"/>
          <w:lang w:eastAsia="zh-CN"/>
        </w:rPr>
        <w:t>相关计划</w:t>
      </w:r>
      <w:r>
        <w:rPr>
          <w:rFonts w:ascii="宋体" w:eastAsia="宋体" w:hAnsi="宋体" w:hint="eastAsia"/>
          <w:color w:val="000000"/>
          <w:sz w:val="24"/>
        </w:rPr>
        <w:t>，具体控制每一个分部工程在各个流水段的分项工程工期。一般以文本格式和横道图的形式表述作业</w:t>
      </w:r>
      <w:r>
        <w:rPr>
          <w:rFonts w:ascii="宋体" w:hAnsi="宋体" w:hint="eastAsia"/>
          <w:color w:val="000000"/>
          <w:sz w:val="24"/>
          <w:lang w:eastAsia="zh-CN"/>
        </w:rPr>
        <w:t>相关计划</w:t>
      </w:r>
      <w:r>
        <w:rPr>
          <w:rFonts w:ascii="宋体" w:eastAsia="宋体" w:hAnsi="宋体" w:hint="eastAsia"/>
          <w:color w:val="000000"/>
          <w:sz w:val="24"/>
        </w:rPr>
        <w:t>，在每周随工程例会下发，并进行检查、分析和</w:t>
      </w:r>
      <w:r>
        <w:rPr>
          <w:rFonts w:ascii="宋体" w:hAnsi="宋体" w:hint="eastAsia"/>
          <w:color w:val="000000"/>
          <w:sz w:val="24"/>
          <w:lang w:eastAsia="zh-CN"/>
        </w:rPr>
        <w:t>相关计划</w:t>
      </w:r>
      <w:r>
        <w:rPr>
          <w:rFonts w:ascii="宋体" w:eastAsia="宋体" w:hAnsi="宋体" w:hint="eastAsia"/>
          <w:color w:val="000000"/>
          <w:sz w:val="24"/>
        </w:rPr>
        <w:t>安排。</w:t>
      </w:r>
    </w:p>
    <w:p>
      <w:pPr>
        <w:pStyle w:val="Normal0"/>
        <w:widowControl/>
        <w:suppressAutoHyphens/>
        <w:spacing w:line="360" w:lineRule="auto"/>
        <w:ind w:firstLine="240" w:firstLineChars="100"/>
        <w:jc w:val="left"/>
        <w:rPr>
          <w:rFonts w:ascii="宋体" w:hAnsi="宋体"/>
          <w:color w:val="000000"/>
          <w:sz w:val="24"/>
        </w:rPr>
      </w:pPr>
      <w:r>
        <w:rPr>
          <w:rFonts w:ascii="宋体" w:hAnsi="宋体" w:hint="eastAsia"/>
          <w:color w:val="000000"/>
          <w:sz w:val="24"/>
          <w:lang w:eastAsia="zh-CN"/>
        </w:rPr>
        <w:t>相关项目管理管控</w:t>
      </w:r>
      <w:r>
        <w:rPr>
          <w:rFonts w:ascii="宋体" w:eastAsia="宋体" w:hAnsi="宋体" w:hint="eastAsia"/>
          <w:color w:val="000000"/>
          <w:sz w:val="24"/>
        </w:rPr>
        <w:t>层应通过合理而有效的</w:t>
      </w:r>
      <w:r>
        <w:rPr>
          <w:rFonts w:ascii="宋体" w:hAnsi="宋体" w:hint="eastAsia"/>
          <w:color w:val="000000"/>
          <w:sz w:val="24"/>
          <w:lang w:eastAsia="zh-CN"/>
        </w:rPr>
        <w:t>管理管控</w:t>
      </w:r>
      <w:r>
        <w:rPr>
          <w:rFonts w:ascii="宋体" w:eastAsia="宋体" w:hAnsi="宋体" w:hint="eastAsia"/>
          <w:color w:val="000000"/>
          <w:sz w:val="24"/>
        </w:rPr>
        <w:t>，保证三级</w:t>
      </w:r>
      <w:r>
        <w:rPr>
          <w:rFonts w:ascii="宋体" w:hAnsi="宋体" w:hint="eastAsia"/>
          <w:color w:val="000000"/>
          <w:sz w:val="24"/>
          <w:lang w:eastAsia="zh-CN"/>
        </w:rPr>
        <w:t>相关计划</w:t>
      </w:r>
      <w:r>
        <w:rPr>
          <w:rFonts w:ascii="宋体" w:eastAsia="宋体" w:hAnsi="宋体" w:hint="eastAsia"/>
          <w:color w:val="000000"/>
          <w:sz w:val="24"/>
        </w:rPr>
        <w:t>的实现。</w:t>
      </w:r>
    </w:p>
    <w:p>
      <w:pPr>
        <w:pStyle w:val="Normal0"/>
        <w:widowControl/>
        <w:suppressAutoHyphens/>
        <w:spacing w:before="240" w:line="300" w:lineRule="auto"/>
        <w:ind w:firstLine="480" w:firstLineChars="200"/>
        <w:rPr>
          <w:rFonts w:ascii="宋体" w:hAnsi="宋体"/>
          <w:b/>
          <w:color w:val="000000"/>
          <w:sz w:val="24"/>
        </w:rPr>
      </w:pPr>
      <w:r>
        <w:rPr>
          <w:rFonts w:ascii="宋体" w:eastAsia="宋体" w:hAnsi="宋体" w:hint="eastAsia"/>
          <w:b/>
          <w:color w:val="000000"/>
          <w:sz w:val="24"/>
        </w:rPr>
        <w:t>四级进度</w:t>
      </w:r>
      <w:r>
        <w:rPr>
          <w:rFonts w:ascii="宋体" w:hAnsi="宋体" w:hint="eastAsia"/>
          <w:b/>
          <w:color w:val="000000"/>
          <w:sz w:val="24"/>
          <w:lang w:eastAsia="zh-CN"/>
        </w:rPr>
        <w:t>相关计划</w:t>
      </w:r>
      <w:r>
        <w:rPr>
          <w:rFonts w:ascii="宋体" w:eastAsia="宋体" w:hAnsi="宋体" w:hint="eastAsia"/>
          <w:b/>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即日</w:t>
      </w:r>
      <w:r>
        <w:rPr>
          <w:rFonts w:ascii="宋体" w:hAnsi="宋体" w:hint="eastAsia"/>
          <w:color w:val="000000"/>
          <w:sz w:val="24"/>
          <w:lang w:eastAsia="zh-CN"/>
        </w:rPr>
        <w:t>相关计划</w:t>
      </w:r>
      <w:r>
        <w:rPr>
          <w:rFonts w:ascii="宋体" w:eastAsia="宋体" w:hAnsi="宋体" w:hint="eastAsia"/>
          <w:color w:val="000000"/>
          <w:sz w:val="24"/>
        </w:rPr>
        <w:t>，将周</w:t>
      </w:r>
      <w:r>
        <w:rPr>
          <w:rFonts w:ascii="宋体" w:hAnsi="宋体" w:hint="eastAsia"/>
          <w:color w:val="000000"/>
          <w:sz w:val="24"/>
          <w:lang w:eastAsia="zh-CN"/>
        </w:rPr>
        <w:t>相关计划</w:t>
      </w:r>
      <w:r>
        <w:rPr>
          <w:rFonts w:ascii="宋体" w:eastAsia="宋体" w:hAnsi="宋体" w:hint="eastAsia"/>
          <w:color w:val="000000"/>
          <w:sz w:val="24"/>
        </w:rPr>
        <w:t>进一步分解细化，使</w:t>
      </w:r>
      <w:r>
        <w:rPr>
          <w:rFonts w:ascii="宋体" w:hAnsi="宋体" w:hint="eastAsia"/>
          <w:color w:val="000000"/>
          <w:sz w:val="24"/>
          <w:lang w:eastAsia="zh-CN"/>
        </w:rPr>
        <w:t>管理管控</w:t>
      </w:r>
      <w:r>
        <w:rPr>
          <w:rFonts w:ascii="宋体" w:eastAsia="宋体" w:hAnsi="宋体" w:hint="eastAsia"/>
          <w:color w:val="000000"/>
          <w:sz w:val="24"/>
        </w:rPr>
        <w:t>控制的力度能深入到每个工序的作业面，将工序的交接时间明确到纸面上。作业层的负责人应通过每日合理的人力、物力组织与安排，实现每日的</w:t>
      </w:r>
      <w:r>
        <w:rPr>
          <w:rFonts w:ascii="宋体" w:hAnsi="宋体" w:hint="eastAsia"/>
          <w:color w:val="000000"/>
          <w:sz w:val="24"/>
          <w:lang w:eastAsia="zh-CN"/>
        </w:rPr>
        <w:t>相关计划</w:t>
      </w:r>
      <w:r>
        <w:rPr>
          <w:rFonts w:ascii="宋体" w:eastAsia="宋体" w:hAnsi="宋体" w:hint="eastAsia"/>
          <w:color w:val="000000"/>
          <w:sz w:val="24"/>
        </w:rPr>
        <w:t>安排。</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通过日</w:t>
      </w:r>
      <w:r>
        <w:rPr>
          <w:rFonts w:ascii="宋体" w:hAnsi="宋体" w:hint="eastAsia"/>
          <w:color w:val="000000"/>
          <w:sz w:val="24"/>
          <w:lang w:eastAsia="zh-CN"/>
        </w:rPr>
        <w:t>相关计划</w:t>
      </w:r>
      <w:r>
        <w:rPr>
          <w:rFonts w:ascii="宋体" w:eastAsia="宋体" w:hAnsi="宋体" w:hint="eastAsia"/>
          <w:color w:val="000000"/>
          <w:sz w:val="24"/>
        </w:rPr>
        <w:t>确保周</w:t>
      </w:r>
      <w:r>
        <w:rPr>
          <w:rFonts w:ascii="宋体" w:hAnsi="宋体" w:hint="eastAsia"/>
          <w:color w:val="000000"/>
          <w:sz w:val="24"/>
          <w:lang w:eastAsia="zh-CN"/>
        </w:rPr>
        <w:t>相关计划</w:t>
      </w:r>
      <w:r>
        <w:rPr>
          <w:rFonts w:ascii="宋体" w:eastAsia="宋体" w:hAnsi="宋体" w:hint="eastAsia"/>
          <w:color w:val="000000"/>
          <w:sz w:val="24"/>
        </w:rPr>
        <w:t>、周</w:t>
      </w:r>
      <w:r>
        <w:rPr>
          <w:rFonts w:ascii="宋体" w:hAnsi="宋体" w:hint="eastAsia"/>
          <w:color w:val="000000"/>
          <w:sz w:val="24"/>
          <w:lang w:eastAsia="zh-CN"/>
        </w:rPr>
        <w:t>相关计划</w:t>
      </w:r>
      <w:r>
        <w:rPr>
          <w:rFonts w:ascii="宋体" w:eastAsia="宋体" w:hAnsi="宋体" w:hint="eastAsia"/>
          <w:color w:val="000000"/>
          <w:sz w:val="24"/>
        </w:rPr>
        <w:t>确保月</w:t>
      </w:r>
      <w:r>
        <w:rPr>
          <w:rFonts w:ascii="宋体" w:hAnsi="宋体" w:hint="eastAsia"/>
          <w:color w:val="000000"/>
          <w:sz w:val="24"/>
          <w:lang w:eastAsia="zh-CN"/>
        </w:rPr>
        <w:t>相关计划</w:t>
      </w:r>
      <w:r>
        <w:rPr>
          <w:rFonts w:ascii="宋体" w:eastAsia="宋体" w:hAnsi="宋体" w:hint="eastAsia"/>
          <w:color w:val="000000"/>
          <w:sz w:val="24"/>
        </w:rPr>
        <w:t>、月</w:t>
      </w:r>
      <w:r>
        <w:rPr>
          <w:rFonts w:ascii="宋体" w:hAnsi="宋体" w:hint="eastAsia"/>
          <w:color w:val="000000"/>
          <w:sz w:val="24"/>
          <w:lang w:eastAsia="zh-CN"/>
        </w:rPr>
        <w:t>相关计划</w:t>
      </w:r>
      <w:r>
        <w:rPr>
          <w:rFonts w:ascii="宋体" w:eastAsia="宋体" w:hAnsi="宋体" w:hint="eastAsia"/>
          <w:color w:val="000000"/>
          <w:sz w:val="24"/>
        </w:rPr>
        <w:t>确保阶段</w:t>
      </w:r>
      <w:r>
        <w:rPr>
          <w:rFonts w:ascii="宋体" w:hAnsi="宋体" w:hint="eastAsia"/>
          <w:color w:val="000000"/>
          <w:sz w:val="24"/>
          <w:lang w:eastAsia="zh-CN"/>
        </w:rPr>
        <w:t>相关计划</w:t>
      </w:r>
      <w:r>
        <w:rPr>
          <w:rFonts w:ascii="宋体" w:eastAsia="宋体" w:hAnsi="宋体" w:hint="eastAsia"/>
          <w:color w:val="000000"/>
          <w:sz w:val="24"/>
        </w:rPr>
        <w:t>以至总体控制</w:t>
      </w:r>
      <w:r>
        <w:rPr>
          <w:rFonts w:ascii="宋体" w:hAnsi="宋体" w:hint="eastAsia"/>
          <w:color w:val="000000"/>
          <w:sz w:val="24"/>
          <w:lang w:eastAsia="zh-CN"/>
        </w:rPr>
        <w:t>相关计划</w:t>
      </w:r>
      <w:r>
        <w:rPr>
          <w:rFonts w:ascii="宋体" w:eastAsia="宋体" w:hAnsi="宋体" w:hint="eastAsia"/>
          <w:color w:val="000000"/>
          <w:sz w:val="24"/>
        </w:rPr>
        <w:t>的控制手段，使阶段目标</w:t>
      </w:r>
      <w:r>
        <w:rPr>
          <w:rFonts w:ascii="宋体" w:hAnsi="宋体" w:hint="eastAsia"/>
          <w:color w:val="000000"/>
          <w:sz w:val="24"/>
          <w:lang w:eastAsia="zh-CN"/>
        </w:rPr>
        <w:t>相关计划</w:t>
      </w:r>
      <w:r>
        <w:rPr>
          <w:rFonts w:ascii="宋体" w:eastAsia="宋体" w:hAnsi="宋体" w:hint="eastAsia"/>
          <w:color w:val="000000"/>
          <w:sz w:val="24"/>
        </w:rPr>
        <w:t>考核分解到每一日、每一周。</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所有</w:t>
      </w:r>
      <w:r>
        <w:rPr>
          <w:rFonts w:ascii="宋体" w:hAnsi="宋体" w:hint="eastAsia"/>
          <w:color w:val="000000"/>
          <w:sz w:val="24"/>
          <w:lang w:eastAsia="zh-CN"/>
        </w:rPr>
        <w:t>相关计划管理管控</w:t>
      </w:r>
      <w:r>
        <w:rPr>
          <w:rFonts w:ascii="宋体" w:eastAsia="宋体" w:hAnsi="宋体" w:hint="eastAsia"/>
          <w:color w:val="000000"/>
          <w:sz w:val="24"/>
        </w:rPr>
        <w:t>均采用计算机进行严格的动态</w:t>
      </w:r>
      <w:r>
        <w:rPr>
          <w:rFonts w:ascii="宋体" w:hAnsi="宋体" w:hint="eastAsia"/>
          <w:color w:val="000000"/>
          <w:sz w:val="24"/>
          <w:lang w:eastAsia="zh-CN"/>
        </w:rPr>
        <w:t>管理管控</w:t>
      </w:r>
      <w:r>
        <w:rPr>
          <w:rFonts w:ascii="宋体" w:eastAsia="宋体" w:hAnsi="宋体" w:hint="eastAsia"/>
          <w:color w:val="000000"/>
          <w:sz w:val="24"/>
        </w:rPr>
        <w:t>，从而不折不扣地实现预期的进度目标，达到控制工程进度的目的。</w:t>
      </w: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bookmarkStart w:id="176" w:name="_Toc200363743"/>
      <w:bookmarkStart w:id="177" w:name="_Toc202368935"/>
      <w:r>
        <w:rPr>
          <w:rFonts w:ascii="宋体" w:eastAsia="宋体" w:hAnsi="宋体" w:hint="eastAsia"/>
          <w:color w:val="000000"/>
          <w:sz w:val="24"/>
        </w:rPr>
        <w:t>强化施工进度</w:t>
      </w:r>
      <w:bookmarkEnd w:id="176"/>
      <w:bookmarkEnd w:id="177"/>
      <w:r>
        <w:rPr>
          <w:rFonts w:ascii="宋体" w:hAnsi="宋体" w:hint="eastAsia"/>
          <w:color w:val="000000"/>
          <w:sz w:val="24"/>
          <w:lang w:eastAsia="zh-CN"/>
        </w:rPr>
        <w:t>相关计划管理管控</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同业主达成共识，制定严格的奖罚措施，对完不成</w:t>
      </w:r>
      <w:r>
        <w:rPr>
          <w:rFonts w:ascii="宋体" w:hAnsi="宋体" w:hint="eastAsia"/>
          <w:color w:val="000000"/>
          <w:sz w:val="24"/>
          <w:lang w:eastAsia="zh-CN"/>
        </w:rPr>
        <w:t>相关计划</w:t>
      </w:r>
      <w:r>
        <w:rPr>
          <w:rFonts w:ascii="宋体" w:eastAsia="宋体" w:hAnsi="宋体" w:hint="eastAsia"/>
          <w:color w:val="000000"/>
          <w:sz w:val="24"/>
        </w:rPr>
        <w:t>的班组和单位严肃处理。</w:t>
      </w: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bookmarkStart w:id="178" w:name="_Toc202368936"/>
      <w:bookmarkStart w:id="179" w:name="_Toc200363744"/>
      <w:r>
        <w:rPr>
          <w:rFonts w:ascii="宋体" w:eastAsia="宋体" w:hAnsi="宋体" w:hint="eastAsia"/>
          <w:color w:val="000000"/>
          <w:sz w:val="24"/>
        </w:rPr>
        <w:t>资金、材料对工期的保证</w:t>
      </w:r>
      <w:bookmarkEnd w:id="178"/>
      <w:bookmarkEnd w:id="179"/>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我们具备良好的资信、资金状况和履约能力，具备丰富的工程</w:t>
      </w:r>
      <w:r>
        <w:rPr>
          <w:rFonts w:ascii="宋体" w:hAnsi="宋体" w:hint="eastAsia"/>
          <w:color w:val="000000"/>
          <w:sz w:val="24"/>
          <w:lang w:eastAsia="zh-CN"/>
        </w:rPr>
        <w:t>相关项目</w:t>
      </w:r>
      <w:r>
        <w:rPr>
          <w:rFonts w:ascii="宋体" w:eastAsia="宋体" w:hAnsi="宋体" w:hint="eastAsia"/>
          <w:color w:val="000000"/>
          <w:sz w:val="24"/>
        </w:rPr>
        <w:t>策划、</w:t>
      </w:r>
      <w:r>
        <w:rPr>
          <w:rFonts w:ascii="宋体" w:hAnsi="宋体" w:hint="eastAsia"/>
          <w:color w:val="000000"/>
          <w:sz w:val="24"/>
          <w:lang w:eastAsia="zh-CN"/>
        </w:rPr>
        <w:t>管理管控</w:t>
      </w:r>
      <w:r>
        <w:rPr>
          <w:rFonts w:ascii="宋体" w:eastAsia="宋体" w:hAnsi="宋体" w:hint="eastAsia"/>
          <w:color w:val="000000"/>
          <w:sz w:val="24"/>
        </w:rPr>
        <w:t>、组织、协调、实施和控制的经验和水平，在该工程上不折不扣地实行专款专用，本工程将建立专门的资金帐户，公司财务重点保证该</w:t>
      </w:r>
      <w:r>
        <w:rPr>
          <w:rFonts w:ascii="宋体" w:hAnsi="宋体" w:hint="eastAsia"/>
          <w:color w:val="000000"/>
          <w:sz w:val="24"/>
          <w:lang w:eastAsia="zh-CN"/>
        </w:rPr>
        <w:t>相关项目</w:t>
      </w:r>
      <w:r>
        <w:rPr>
          <w:rFonts w:ascii="宋体" w:eastAsia="宋体" w:hAnsi="宋体" w:hint="eastAsia"/>
          <w:color w:val="000000"/>
          <w:sz w:val="24"/>
        </w:rPr>
        <w:t>有充足资金备用。</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多年来，我们所形成的总承包</w:t>
      </w:r>
      <w:r>
        <w:rPr>
          <w:rFonts w:ascii="宋体" w:hAnsi="宋体" w:hint="eastAsia"/>
          <w:color w:val="000000"/>
          <w:sz w:val="24"/>
          <w:lang w:eastAsia="zh-CN"/>
        </w:rPr>
        <w:t>相关项目</w:t>
      </w:r>
      <w:r>
        <w:rPr>
          <w:rFonts w:ascii="宋体" w:eastAsia="宋体" w:hAnsi="宋体" w:hint="eastAsia"/>
          <w:color w:val="000000"/>
          <w:sz w:val="24"/>
        </w:rPr>
        <w:t>策划、</w:t>
      </w:r>
      <w:r>
        <w:rPr>
          <w:rFonts w:ascii="宋体" w:hAnsi="宋体" w:hint="eastAsia"/>
          <w:color w:val="000000"/>
          <w:sz w:val="24"/>
          <w:lang w:eastAsia="zh-CN"/>
        </w:rPr>
        <w:t>管理管控</w:t>
      </w:r>
      <w:r>
        <w:rPr>
          <w:rFonts w:ascii="宋体" w:eastAsia="宋体" w:hAnsi="宋体" w:hint="eastAsia"/>
          <w:color w:val="000000"/>
          <w:sz w:val="24"/>
        </w:rPr>
        <w:t>和运作模式广为雇主和用户认可。</w:t>
      </w:r>
    </w:p>
    <w:p>
      <w:pPr>
        <w:pStyle w:val="Normal0"/>
        <w:widowControl/>
        <w:suppressAutoHyphens/>
        <w:spacing w:line="360" w:lineRule="auto"/>
        <w:ind w:firstLine="240" w:firstLineChars="100"/>
        <w:jc w:val="left"/>
        <w:rPr>
          <w:rFonts w:ascii="宋体" w:hAnsi="宋体"/>
          <w:color w:val="000000"/>
          <w:sz w:val="24"/>
        </w:rPr>
        <w:sectPr>
          <w:headerReference w:type="default" r:id="rId53"/>
          <w:footerReference w:type="default" r:id="rId54"/>
          <w:type w:val="nextPage"/>
          <w:pgSz w:w="11906" w:h="16838"/>
          <w:pgMar w:top="1440" w:right="1701" w:bottom="1440" w:left="1701" w:header="850" w:footer="992" w:gutter="0"/>
          <w:pgNumType w:start="22"/>
          <w:cols w:num="1" w:space="425"/>
          <w:titlePg w:val="0"/>
          <w:docGrid w:type="lines" w:linePitch="312" w:charSpace="0"/>
        </w:sectPr>
      </w:pPr>
      <w:r>
        <w:rPr>
          <w:rFonts w:ascii="宋体" w:eastAsia="宋体" w:hAnsi="宋体" w:hint="eastAsia"/>
          <w:color w:val="000000"/>
          <w:sz w:val="24"/>
        </w:rPr>
        <w:t>本工程钢筋、混凝土等材料，我们将根据进度</w:t>
      </w:r>
      <w:r>
        <w:rPr>
          <w:rFonts w:ascii="宋体" w:hAnsi="宋体" w:hint="eastAsia"/>
          <w:color w:val="000000"/>
          <w:sz w:val="24"/>
          <w:lang w:eastAsia="zh-CN"/>
        </w:rPr>
        <w:t>相关计划</w:t>
      </w:r>
      <w:r>
        <w:rPr>
          <w:rFonts w:ascii="宋体" w:eastAsia="宋体" w:hAnsi="宋体" w:hint="eastAsia"/>
          <w:color w:val="000000"/>
          <w:sz w:val="24"/>
        </w:rPr>
        <w:t>、工程量和流水段划分，编制材料采购</w:t>
      </w:r>
      <w:r>
        <w:rPr>
          <w:rFonts w:ascii="宋体" w:hAnsi="宋体" w:hint="eastAsia"/>
          <w:color w:val="000000"/>
          <w:sz w:val="24"/>
          <w:lang w:eastAsia="zh-CN"/>
        </w:rPr>
        <w:t>相关计划</w:t>
      </w:r>
      <w:r>
        <w:rPr>
          <w:rFonts w:ascii="宋体" w:eastAsia="宋体" w:hAnsi="宋体" w:hint="eastAsia"/>
          <w:color w:val="000000"/>
          <w:sz w:val="24"/>
        </w:rPr>
        <w:t>，合理安排材料、生产设备采购进场，避免因材料供应滞后影响工程进程。</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作为总包方，我们将确保己方和督促雇主、指定分包单位尽早确定各种材料设备及其规格品质和供货商，并采取有效措施，确保供货商能够在预定时间内保质保量供货；材料的提报要有充分的余数；材料的场内运输、保存、使用要按损失最小的方式进行，尽量减少由于材料未及时定货、未及时到货、性能与规格有误、品质不良、数量不足等给工程进度造成的延误。</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编制切实可行的资源需用量</w:t>
      </w:r>
      <w:r>
        <w:rPr>
          <w:rFonts w:ascii="宋体" w:hAnsi="宋体" w:hint="eastAsia"/>
          <w:color w:val="000000"/>
          <w:sz w:val="24"/>
          <w:lang w:eastAsia="zh-CN"/>
        </w:rPr>
        <w:t>相关计划</w:t>
      </w:r>
      <w:r>
        <w:rPr>
          <w:rFonts w:ascii="宋体" w:eastAsia="宋体" w:hAnsi="宋体" w:hint="eastAsia"/>
          <w:color w:val="000000"/>
          <w:sz w:val="24"/>
        </w:rPr>
        <w:t>，如劳动力、机械、设备、材料等</w:t>
      </w:r>
      <w:r>
        <w:rPr>
          <w:rFonts w:ascii="宋体" w:hAnsi="宋体" w:hint="eastAsia"/>
          <w:color w:val="000000"/>
          <w:sz w:val="24"/>
          <w:lang w:eastAsia="zh-CN"/>
        </w:rPr>
        <w:t>相关计划</w:t>
      </w:r>
      <w:r>
        <w:rPr>
          <w:rFonts w:ascii="宋体" w:eastAsia="宋体" w:hAnsi="宋体" w:hint="eastAsia"/>
          <w:color w:val="000000"/>
          <w:sz w:val="24"/>
        </w:rPr>
        <w:t>，落实到实处，并派人跟踪检查，确保资源满足</w:t>
      </w:r>
      <w:r>
        <w:rPr>
          <w:rFonts w:ascii="宋体" w:hAnsi="宋体" w:hint="eastAsia"/>
          <w:color w:val="000000"/>
          <w:sz w:val="24"/>
          <w:lang w:eastAsia="zh-CN"/>
        </w:rPr>
        <w:t>相关计划</w:t>
      </w:r>
      <w:r>
        <w:rPr>
          <w:rFonts w:ascii="宋体" w:eastAsia="宋体" w:hAnsi="宋体" w:hint="eastAsia"/>
          <w:color w:val="000000"/>
          <w:sz w:val="24"/>
        </w:rPr>
        <w:t>地需要，为保证工期提供物资保证</w:t>
      </w: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bookmarkStart w:id="180" w:name="_Toc202368937"/>
      <w:bookmarkStart w:id="181" w:name="_Toc200363745"/>
      <w:r>
        <w:rPr>
          <w:rFonts w:ascii="宋体" w:eastAsia="宋体" w:hAnsi="宋体" w:hint="eastAsia"/>
          <w:color w:val="000000"/>
          <w:sz w:val="24"/>
        </w:rPr>
        <w:t>施工新技术对工期的保证</w:t>
      </w:r>
      <w:bookmarkEnd w:id="180"/>
      <w:bookmarkEnd w:id="181"/>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广泛采用新技术、新材料、新工艺、新机具,从科技含量上争取缩短工期。先进的施工工艺、材料和技术是进度</w:t>
      </w:r>
      <w:r>
        <w:rPr>
          <w:rFonts w:ascii="宋体" w:hAnsi="宋体" w:hint="eastAsia"/>
          <w:color w:val="000000"/>
          <w:sz w:val="24"/>
          <w:lang w:eastAsia="zh-CN"/>
        </w:rPr>
        <w:t>相关计划</w:t>
      </w:r>
      <w:r>
        <w:rPr>
          <w:rFonts w:ascii="宋体" w:eastAsia="宋体" w:hAnsi="宋体" w:hint="eastAsia"/>
          <w:color w:val="000000"/>
          <w:sz w:val="24"/>
        </w:rPr>
        <w:t>成功的保证。我单位将针对工程特点和难点采用先进的施工技术和材料，提高施工速度，缩短施工工期，从而保证各里程碑工期目标和总体工期目标。例如：在测量施工中，将采用全站仪来保证结构空间测量定位的迅速性和准确度；在结构施工中，采用先进的加工机械和先进钢筋定位措施等。</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根据现场的实际情况，及时采用各专业间及各专业内部的流水作业，提高施工质量及工效。</w:t>
      </w: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bookmarkStart w:id="182" w:name="_Toc200363746"/>
      <w:bookmarkStart w:id="183" w:name="_Toc202368938"/>
      <w:r>
        <w:rPr>
          <w:rFonts w:ascii="宋体" w:eastAsia="宋体" w:hAnsi="宋体" w:hint="eastAsia"/>
          <w:color w:val="000000"/>
          <w:sz w:val="24"/>
        </w:rPr>
        <w:t>劳动力与施工机械化对工期的保证</w:t>
      </w:r>
      <w:bookmarkEnd w:id="182"/>
      <w:bookmarkEnd w:id="183"/>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我们除具备强大的公司对</w:t>
      </w:r>
      <w:r>
        <w:rPr>
          <w:rFonts w:ascii="宋体" w:hAnsi="宋体" w:hint="eastAsia"/>
          <w:color w:val="000000"/>
          <w:sz w:val="24"/>
          <w:lang w:eastAsia="zh-CN"/>
        </w:rPr>
        <w:t>相关项目</w:t>
      </w:r>
      <w:r>
        <w:rPr>
          <w:rFonts w:ascii="宋体" w:eastAsia="宋体" w:hAnsi="宋体" w:hint="eastAsia"/>
          <w:color w:val="000000"/>
          <w:sz w:val="24"/>
        </w:rPr>
        <w:t>实施和</w:t>
      </w:r>
      <w:r>
        <w:rPr>
          <w:rFonts w:ascii="宋体" w:hAnsi="宋体" w:hint="eastAsia"/>
          <w:color w:val="000000"/>
          <w:sz w:val="24"/>
          <w:lang w:eastAsia="zh-CN"/>
        </w:rPr>
        <w:t>管理管控</w:t>
      </w:r>
      <w:r>
        <w:rPr>
          <w:rFonts w:ascii="宋体" w:eastAsia="宋体" w:hAnsi="宋体" w:hint="eastAsia"/>
          <w:color w:val="000000"/>
          <w:sz w:val="24"/>
        </w:rPr>
        <w:t>进行支持、服务和控制外，还具有门类齐全、实力强大的专业化公司所形成的施工保障能力，同时具备组装和组合社会优良资源的经验和能力。</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我们将选用和我们公司合作多年的具有丰富施工经验的劳务和专业施工队伍承担结构、机电予埋等施工任务，在人员组织、工程质量、工程进度、安全文明施工等方面做成大连市的样板工地。</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我们拥有强大的施工机械设备资源，各类施工机械设备门类齐全、性能先进，各类先进的计（测量）量仪器、检验、试验设备，能满足本工程的需要。</w:t>
      </w:r>
    </w:p>
    <w:p>
      <w:pPr>
        <w:pStyle w:val="Normal0"/>
        <w:widowControl/>
        <w:suppressAutoHyphens/>
        <w:spacing w:line="360" w:lineRule="auto"/>
        <w:ind w:firstLine="240" w:firstLineChars="100"/>
        <w:jc w:val="left"/>
        <w:rPr>
          <w:rFonts w:ascii="宋体" w:hAnsi="宋体"/>
          <w:color w:val="000000"/>
          <w:sz w:val="24"/>
        </w:rPr>
        <w:sectPr>
          <w:headerReference w:type="default" r:id="rId55"/>
          <w:footerReference w:type="default" r:id="rId56"/>
          <w:type w:val="nextPage"/>
          <w:pgSz w:w="11906" w:h="16838"/>
          <w:pgMar w:top="1440" w:right="1701" w:bottom="1440" w:left="1701" w:header="850" w:footer="992" w:gutter="0"/>
          <w:pgNumType w:start="23"/>
          <w:cols w:num="1" w:space="425"/>
          <w:titlePg w:val="0"/>
          <w:docGrid w:type="lines" w:linePitch="312" w:charSpace="0"/>
        </w:sectPr>
      </w:pPr>
      <w:r>
        <w:rPr>
          <w:rFonts w:ascii="宋体" w:eastAsia="宋体" w:hAnsi="宋体" w:hint="eastAsia"/>
          <w:color w:val="000000"/>
          <w:sz w:val="24"/>
        </w:rPr>
        <w:t>根据该工程工程量大，工期紧的实际情况，优化生产要素的配置，采取竞争上岗制度，优化组合，组织专业队伍，组建青年突击队，开展劳动竞赛等多种形式，充分调动职工的积极性，提高劳动生产率。</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精心组织，穿插作业，实行关键工序重点部位抢工的办法，组织内部各工种平行流水作业，抽调人员和设备，加强工程抢工力量，确保工程总体进度。</w:t>
      </w:r>
    </w:p>
    <w:p>
      <w:pPr>
        <w:pStyle w:val="Normal0"/>
        <w:widowControl/>
        <w:suppressAutoHyphens/>
        <w:spacing w:line="360" w:lineRule="auto"/>
        <w:ind w:firstLine="240" w:firstLineChars="100"/>
        <w:jc w:val="left"/>
        <w:rPr>
          <w:rFonts w:ascii="宋体" w:hAnsi="宋体"/>
          <w:color w:val="000000"/>
          <w:sz w:val="24"/>
        </w:rPr>
      </w:pPr>
      <w:r>
        <w:rPr>
          <w:rFonts w:ascii="宋体" w:hAnsi="宋体" w:hint="eastAsia"/>
          <w:color w:val="000000"/>
          <w:sz w:val="24"/>
          <w:lang w:eastAsia="zh-CN"/>
        </w:rPr>
        <w:t>相关项目</w:t>
      </w:r>
      <w:r>
        <w:rPr>
          <w:rFonts w:ascii="宋体" w:eastAsia="宋体" w:hAnsi="宋体" w:hint="eastAsia"/>
          <w:color w:val="000000"/>
          <w:sz w:val="24"/>
        </w:rPr>
        <w:t>部根据工程情况和工期目标，分段控制，合理安排劳动力和机械设备的投入，把科学的</w:t>
      </w:r>
      <w:r>
        <w:rPr>
          <w:rFonts w:ascii="宋体" w:hAnsi="宋体" w:hint="eastAsia"/>
          <w:color w:val="000000"/>
          <w:sz w:val="24"/>
          <w:lang w:eastAsia="zh-CN"/>
        </w:rPr>
        <w:t>管理管控</w:t>
      </w:r>
      <w:r>
        <w:rPr>
          <w:rFonts w:ascii="宋体" w:eastAsia="宋体" w:hAnsi="宋体" w:hint="eastAsia"/>
          <w:color w:val="000000"/>
          <w:sz w:val="24"/>
        </w:rPr>
        <w:t>和引进先进设备相结合，从而加快工程进度。</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安排技术优秀的机修工施工现场昼夜值班，确保机具运转良好，加快物料运送速度。</w:t>
      </w: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bookmarkStart w:id="184" w:name="_Toc202368939"/>
      <w:bookmarkStart w:id="185" w:name="_Toc200363747"/>
      <w:r>
        <w:rPr>
          <w:rFonts w:ascii="宋体" w:eastAsia="宋体" w:hAnsi="宋体" w:hint="eastAsia"/>
          <w:color w:val="000000"/>
          <w:sz w:val="24"/>
        </w:rPr>
        <w:t>季节性施工措施对工期的保证</w:t>
      </w:r>
      <w:bookmarkEnd w:id="184"/>
      <w:bookmarkEnd w:id="185"/>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根据总进度</w:t>
      </w:r>
      <w:r>
        <w:rPr>
          <w:rFonts w:ascii="宋体" w:hAnsi="宋体" w:hint="eastAsia"/>
          <w:color w:val="000000"/>
          <w:sz w:val="24"/>
          <w:lang w:eastAsia="zh-CN"/>
        </w:rPr>
        <w:t>相关计划</w:t>
      </w:r>
      <w:r>
        <w:rPr>
          <w:rFonts w:ascii="宋体" w:eastAsia="宋体" w:hAnsi="宋体" w:hint="eastAsia"/>
          <w:color w:val="000000"/>
          <w:sz w:val="24"/>
        </w:rPr>
        <w:t>，本工程施工要经过雨季，为此我们应对</w:t>
      </w:r>
      <w:r>
        <w:rPr>
          <w:rFonts w:ascii="宋体" w:eastAsia="宋体" w:hAnsi="宋体"/>
          <w:color w:val="000000"/>
          <w:sz w:val="24"/>
        </w:rPr>
        <w:t>工期要求</w:t>
      </w:r>
      <w:r>
        <w:rPr>
          <w:rFonts w:ascii="宋体" w:eastAsia="宋体" w:hAnsi="宋体" w:hint="eastAsia"/>
          <w:color w:val="000000"/>
          <w:sz w:val="24"/>
        </w:rPr>
        <w:t>做了详细的季节性施工</w:t>
      </w:r>
      <w:r>
        <w:rPr>
          <w:rFonts w:ascii="宋体" w:hAnsi="宋体" w:hint="eastAsia"/>
          <w:color w:val="000000"/>
          <w:sz w:val="24"/>
          <w:lang w:eastAsia="zh-CN"/>
        </w:rPr>
        <w:t>合适的方案</w:t>
      </w:r>
      <w:r>
        <w:rPr>
          <w:rFonts w:ascii="宋体" w:eastAsia="宋体" w:hAnsi="宋体" w:hint="eastAsia"/>
          <w:color w:val="000000"/>
          <w:sz w:val="24"/>
        </w:rPr>
        <w:t>。</w:t>
      </w: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bookmarkStart w:id="186" w:name="_Toc200363748"/>
      <w:bookmarkStart w:id="187" w:name="_Toc202368940"/>
      <w:r>
        <w:rPr>
          <w:rFonts w:ascii="宋体" w:eastAsia="宋体" w:hAnsi="宋体" w:hint="eastAsia"/>
          <w:color w:val="000000"/>
          <w:sz w:val="24"/>
        </w:rPr>
        <w:t>良好的外围环境对工期的保证</w:t>
      </w:r>
      <w:bookmarkEnd w:id="186"/>
      <w:bookmarkEnd w:id="187"/>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加强施工安全及消防、文明施工、现场与环保、治安保卫工作以及与政府建管、城管、派出所、街道办事处、质检等部门的联系，提供完善的总包</w:t>
      </w:r>
      <w:r>
        <w:rPr>
          <w:rFonts w:ascii="宋体" w:hAnsi="宋体" w:hint="eastAsia"/>
          <w:color w:val="000000"/>
          <w:sz w:val="24"/>
          <w:lang w:eastAsia="zh-CN"/>
        </w:rPr>
        <w:t>管理管控</w:t>
      </w:r>
      <w:r>
        <w:rPr>
          <w:rFonts w:ascii="宋体" w:eastAsia="宋体" w:hAnsi="宋体" w:hint="eastAsia"/>
          <w:color w:val="000000"/>
          <w:sz w:val="24"/>
        </w:rPr>
        <w:t>和服务，减少由于外围保障不周或事故而对施工造成的干扰，从而创好造良的施工环境和条件，使施工人员能够集中精力搞施工，施工过程能够不间断地快速进行。</w:t>
      </w:r>
    </w:p>
    <w:p>
      <w:pPr>
        <w:pStyle w:val="ListParagraph"/>
        <w:widowControl/>
        <w:numPr>
          <w:ilvl w:val="1"/>
          <w:numId w:val="15"/>
        </w:numPr>
        <w:suppressAutoHyphens/>
        <w:spacing w:before="120" w:line="360" w:lineRule="auto"/>
        <w:ind w:left="0" w:firstLine="240" w:firstLineChars="100"/>
        <w:rPr>
          <w:rFonts w:ascii="宋体" w:eastAsia="宋体" w:hAnsi="宋体"/>
          <w:color w:val="000000"/>
          <w:sz w:val="24"/>
        </w:rPr>
      </w:pPr>
      <w:bookmarkStart w:id="188" w:name="_Toc202368941"/>
      <w:bookmarkStart w:id="189" w:name="_Toc200363749"/>
      <w:r>
        <w:rPr>
          <w:rFonts w:ascii="宋体" w:eastAsia="宋体" w:hAnsi="宋体" w:hint="eastAsia"/>
          <w:color w:val="000000"/>
          <w:sz w:val="24"/>
        </w:rPr>
        <w:t>完善的技术</w:t>
      </w:r>
      <w:r>
        <w:rPr>
          <w:rFonts w:ascii="宋体" w:hAnsi="宋体" w:hint="eastAsia"/>
          <w:color w:val="000000"/>
          <w:sz w:val="24"/>
          <w:lang w:eastAsia="zh-CN"/>
        </w:rPr>
        <w:t>管理管控</w:t>
      </w:r>
      <w:r>
        <w:rPr>
          <w:rFonts w:ascii="宋体" w:eastAsia="宋体" w:hAnsi="宋体" w:hint="eastAsia"/>
          <w:color w:val="000000"/>
          <w:sz w:val="24"/>
        </w:rPr>
        <w:t>措施对工期的保证</w:t>
      </w:r>
      <w:bookmarkEnd w:id="188"/>
      <w:bookmarkEnd w:id="189"/>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编制完善的技术</w:t>
      </w:r>
      <w:r>
        <w:rPr>
          <w:rFonts w:ascii="宋体" w:hAnsi="宋体" w:hint="eastAsia"/>
          <w:color w:val="000000"/>
          <w:sz w:val="24"/>
          <w:lang w:eastAsia="zh-CN"/>
        </w:rPr>
        <w:t>管理管控</w:t>
      </w:r>
      <w:r>
        <w:rPr>
          <w:rFonts w:ascii="宋体" w:eastAsia="宋体" w:hAnsi="宋体" w:hint="eastAsia"/>
          <w:color w:val="000000"/>
          <w:sz w:val="24"/>
        </w:rPr>
        <w:t>措施和有针对性的施工组织设计、施工</w:t>
      </w:r>
      <w:r>
        <w:rPr>
          <w:rFonts w:ascii="宋体" w:hAnsi="宋体" w:hint="eastAsia"/>
          <w:color w:val="000000"/>
          <w:sz w:val="24"/>
          <w:lang w:eastAsia="zh-CN"/>
        </w:rPr>
        <w:t>合适的方案</w:t>
      </w:r>
      <w:r>
        <w:rPr>
          <w:rFonts w:ascii="宋体" w:eastAsia="宋体" w:hAnsi="宋体" w:hint="eastAsia"/>
          <w:color w:val="000000"/>
          <w:sz w:val="24"/>
        </w:rPr>
        <w:t>和技术交底。“</w:t>
      </w:r>
      <w:r>
        <w:rPr>
          <w:rFonts w:ascii="宋体" w:hAnsi="宋体" w:hint="eastAsia"/>
          <w:color w:val="000000"/>
          <w:sz w:val="24"/>
          <w:lang w:eastAsia="zh-CN"/>
        </w:rPr>
        <w:t>合适的方案</w:t>
      </w:r>
      <w:r>
        <w:rPr>
          <w:rFonts w:ascii="宋体" w:eastAsia="宋体" w:hAnsi="宋体" w:hint="eastAsia"/>
          <w:color w:val="000000"/>
          <w:sz w:val="24"/>
        </w:rPr>
        <w:t>先行，样板引路”是我单位施工</w:t>
      </w:r>
      <w:r>
        <w:rPr>
          <w:rFonts w:ascii="宋体" w:hAnsi="宋体" w:hint="eastAsia"/>
          <w:color w:val="000000"/>
          <w:sz w:val="24"/>
          <w:lang w:eastAsia="zh-CN"/>
        </w:rPr>
        <w:t>管理管控</w:t>
      </w:r>
      <w:r>
        <w:rPr>
          <w:rFonts w:ascii="宋体" w:eastAsia="宋体" w:hAnsi="宋体" w:hint="eastAsia"/>
          <w:color w:val="000000"/>
          <w:sz w:val="24"/>
        </w:rPr>
        <w:t>的特色，本工程将按照技术</w:t>
      </w:r>
      <w:r>
        <w:rPr>
          <w:rFonts w:ascii="宋体" w:hAnsi="宋体" w:hint="eastAsia"/>
          <w:color w:val="000000"/>
          <w:sz w:val="24"/>
          <w:lang w:eastAsia="zh-CN"/>
        </w:rPr>
        <w:t>管理管控</w:t>
      </w:r>
      <w:r>
        <w:rPr>
          <w:rFonts w:ascii="宋体" w:eastAsia="宋体" w:hAnsi="宋体" w:hint="eastAsia"/>
          <w:color w:val="000000"/>
          <w:sz w:val="24"/>
        </w:rPr>
        <w:t>措施编制</w:t>
      </w:r>
      <w:r>
        <w:rPr>
          <w:rFonts w:ascii="宋体" w:hAnsi="宋体" w:hint="eastAsia"/>
          <w:color w:val="000000"/>
          <w:sz w:val="24"/>
          <w:lang w:eastAsia="zh-CN"/>
        </w:rPr>
        <w:t>合适的方案相关计划</w:t>
      </w:r>
      <w:r>
        <w:rPr>
          <w:rFonts w:ascii="宋体" w:eastAsia="宋体" w:hAnsi="宋体" w:hint="eastAsia"/>
          <w:color w:val="000000"/>
          <w:sz w:val="24"/>
        </w:rPr>
        <w:t>，制定详细的、有针对性和可操作性的施工</w:t>
      </w:r>
      <w:r>
        <w:rPr>
          <w:rFonts w:ascii="宋体" w:hAnsi="宋体" w:hint="eastAsia"/>
          <w:color w:val="000000"/>
          <w:sz w:val="24"/>
          <w:lang w:eastAsia="zh-CN"/>
        </w:rPr>
        <w:t>合适的方案</w:t>
      </w:r>
      <w:r>
        <w:rPr>
          <w:rFonts w:ascii="宋体" w:eastAsia="宋体" w:hAnsi="宋体" w:hint="eastAsia"/>
          <w:color w:val="000000"/>
          <w:sz w:val="24"/>
        </w:rPr>
        <w:t>，从而实现在</w:t>
      </w:r>
      <w:r>
        <w:rPr>
          <w:rFonts w:ascii="宋体" w:hAnsi="宋体" w:hint="eastAsia"/>
          <w:color w:val="000000"/>
          <w:sz w:val="24"/>
          <w:lang w:eastAsia="zh-CN"/>
        </w:rPr>
        <w:t>管理管控</w:t>
      </w:r>
      <w:r>
        <w:rPr>
          <w:rFonts w:ascii="宋体" w:eastAsia="宋体" w:hAnsi="宋体" w:hint="eastAsia"/>
          <w:color w:val="000000"/>
          <w:sz w:val="24"/>
        </w:rPr>
        <w:t>层和操作层对施工工艺、质量标准的熟悉和掌握，使工程施工有条不紊的按期保质地完成。技术</w:t>
      </w:r>
      <w:r>
        <w:rPr>
          <w:rFonts w:ascii="宋体" w:hAnsi="宋体" w:hint="eastAsia"/>
          <w:color w:val="000000"/>
          <w:sz w:val="24"/>
          <w:lang w:eastAsia="zh-CN"/>
        </w:rPr>
        <w:t>管理管控</w:t>
      </w:r>
      <w:r>
        <w:rPr>
          <w:rFonts w:ascii="宋体" w:eastAsia="宋体" w:hAnsi="宋体" w:hint="eastAsia"/>
          <w:color w:val="000000"/>
          <w:sz w:val="24"/>
        </w:rPr>
        <w:t>措施要求施工</w:t>
      </w:r>
      <w:r>
        <w:rPr>
          <w:rFonts w:ascii="宋体" w:hAnsi="宋体" w:hint="eastAsia"/>
          <w:color w:val="000000"/>
          <w:sz w:val="24"/>
          <w:lang w:eastAsia="zh-CN"/>
        </w:rPr>
        <w:t>合适的方案</w:t>
      </w:r>
      <w:r>
        <w:rPr>
          <w:rFonts w:ascii="宋体" w:eastAsia="宋体" w:hAnsi="宋体" w:hint="eastAsia"/>
          <w:color w:val="000000"/>
          <w:sz w:val="24"/>
        </w:rPr>
        <w:t>覆盖面要全面，</w:t>
      </w:r>
      <w:r>
        <w:rPr>
          <w:rFonts w:ascii="宋体" w:hAnsi="宋体" w:hint="eastAsia"/>
          <w:color w:val="000000"/>
          <w:sz w:val="24"/>
          <w:lang w:eastAsia="zh-CN"/>
        </w:rPr>
        <w:t>合适的内容</w:t>
      </w:r>
      <w:r>
        <w:rPr>
          <w:rFonts w:ascii="宋体" w:eastAsia="宋体" w:hAnsi="宋体" w:hint="eastAsia"/>
          <w:color w:val="000000"/>
          <w:sz w:val="24"/>
        </w:rPr>
        <w:t>要详细，配以图表，图文并茂，做到生动、形象，调动操作层学习施工</w:t>
      </w:r>
      <w:r>
        <w:rPr>
          <w:rFonts w:ascii="宋体" w:hAnsi="宋体" w:hint="eastAsia"/>
          <w:color w:val="000000"/>
          <w:sz w:val="24"/>
          <w:lang w:eastAsia="zh-CN"/>
        </w:rPr>
        <w:t>合适的方案</w:t>
      </w:r>
      <w:r>
        <w:rPr>
          <w:rFonts w:ascii="宋体" w:eastAsia="宋体" w:hAnsi="宋体" w:hint="eastAsia"/>
          <w:color w:val="000000"/>
          <w:sz w:val="24"/>
        </w:rPr>
        <w:t>的积极性。</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有完善的技术</w:t>
      </w:r>
      <w:r>
        <w:rPr>
          <w:rFonts w:ascii="宋体" w:hAnsi="宋体" w:hint="eastAsia"/>
          <w:color w:val="000000"/>
          <w:sz w:val="24"/>
          <w:lang w:eastAsia="zh-CN"/>
        </w:rPr>
        <w:t>管理管控</w:t>
      </w:r>
      <w:r>
        <w:rPr>
          <w:rFonts w:ascii="宋体" w:eastAsia="宋体" w:hAnsi="宋体" w:hint="eastAsia"/>
          <w:color w:val="000000"/>
          <w:sz w:val="24"/>
        </w:rPr>
        <w:t>措施作指导，才能使各项技术</w:t>
      </w:r>
      <w:r>
        <w:rPr>
          <w:rFonts w:ascii="宋体" w:hAnsi="宋体" w:hint="eastAsia"/>
          <w:color w:val="000000"/>
          <w:sz w:val="24"/>
          <w:lang w:eastAsia="zh-CN"/>
        </w:rPr>
        <w:t>管理管控</w:t>
      </w:r>
      <w:r>
        <w:rPr>
          <w:rFonts w:ascii="宋体" w:eastAsia="宋体" w:hAnsi="宋体" w:hint="eastAsia"/>
          <w:color w:val="000000"/>
          <w:sz w:val="24"/>
        </w:rPr>
        <w:t>详细到位，为工程按期完成提供强有力的技术保证。</w:t>
      </w:r>
    </w:p>
    <w:p>
      <w:pPr>
        <w:pStyle w:val="BZ2"/>
        <w:rPr>
          <w:rFonts w:ascii="宋体" w:eastAsia="宋体" w:hAnsi="宋体"/>
        </w:rPr>
      </w:pPr>
      <w:bookmarkStart w:id="190" w:name="_Toc491077896"/>
      <w:bookmarkStart w:id="191" w:name="_Toc340258838"/>
      <w:r>
        <w:rPr>
          <w:rFonts w:ascii="宋体" w:eastAsia="宋体" w:hAnsi="宋体" w:hint="eastAsia"/>
        </w:rPr>
        <w:t>违约承诺</w:t>
      </w:r>
      <w:bookmarkEnd w:id="190"/>
      <w:bookmarkEnd w:id="191"/>
    </w:p>
    <w:p>
      <w:pPr>
        <w:pStyle w:val="Normal0"/>
        <w:widowControl/>
        <w:suppressAutoHyphens/>
        <w:spacing w:before="240" w:line="300" w:lineRule="auto"/>
        <w:ind w:firstLine="480" w:firstLineChars="200"/>
        <w:rPr>
          <w:rFonts w:ascii="宋体" w:hAnsi="宋体"/>
          <w:b/>
          <w:color w:val="000000"/>
          <w:sz w:val="24"/>
        </w:rPr>
        <w:sectPr>
          <w:headerReference w:type="default" r:id="rId57"/>
          <w:footerReference w:type="default" r:id="rId58"/>
          <w:type w:val="nextPage"/>
          <w:pgSz w:w="11906" w:h="16838"/>
          <w:pgMar w:top="1440" w:right="1701" w:bottom="1440" w:left="1701" w:header="850" w:footer="992" w:gutter="0"/>
          <w:pgNumType w:start="24"/>
          <w:cols w:num="1" w:space="425"/>
          <w:titlePg w:val="0"/>
          <w:docGrid w:type="lines" w:linePitch="312" w:charSpace="0"/>
        </w:sectPr>
      </w:pPr>
      <w:r>
        <w:rPr>
          <w:rFonts w:ascii="宋体" w:eastAsia="宋体" w:hAnsi="宋体" w:hint="eastAsia"/>
          <w:b/>
          <w:color w:val="000000"/>
          <w:sz w:val="24"/>
        </w:rPr>
        <w:t>我单位保证按照上述要求施工工期完成全部工程量，如果不按照上述承诺</w:t>
      </w:r>
      <w:r>
        <w:rPr>
          <w:rFonts w:ascii="宋体" w:hAnsi="宋体" w:hint="eastAsia"/>
          <w:b/>
          <w:color w:val="000000"/>
          <w:sz w:val="24"/>
          <w:lang w:eastAsia="zh-CN"/>
        </w:rPr>
        <w:t>合约甲方</w:t>
      </w:r>
      <w:r>
        <w:rPr>
          <w:rFonts w:ascii="宋体" w:eastAsia="宋体" w:hAnsi="宋体" w:hint="eastAsia"/>
          <w:b/>
          <w:color w:val="000000"/>
          <w:sz w:val="24"/>
        </w:rPr>
        <w:t>根据</w:t>
      </w:r>
      <w:r>
        <w:rPr>
          <w:rFonts w:ascii="宋体" w:hAnsi="宋体" w:hint="eastAsia"/>
          <w:b/>
          <w:color w:val="000000"/>
          <w:sz w:val="24"/>
          <w:lang w:eastAsia="zh-CN"/>
        </w:rPr>
        <w:t>合同合约</w:t>
      </w:r>
      <w:r>
        <w:rPr>
          <w:rFonts w:ascii="宋体" w:eastAsia="宋体" w:hAnsi="宋体" w:hint="eastAsia"/>
          <w:b/>
          <w:color w:val="000000"/>
          <w:sz w:val="24"/>
        </w:rPr>
        <w:t>要求对我单位处罚。</w:t>
      </w:r>
    </w:p>
    <w:p>
      <w:pPr>
        <w:pStyle w:val="Normal0"/>
        <w:widowControl/>
        <w:suppressAutoHyphens/>
        <w:spacing w:before="240" w:line="300" w:lineRule="auto"/>
        <w:ind w:firstLine="480" w:firstLineChars="200"/>
        <w:rPr>
          <w:rFonts w:ascii="宋体" w:hAnsi="宋体"/>
          <w:b/>
          <w:color w:val="000000"/>
          <w:sz w:val="24"/>
        </w:rPr>
      </w:pPr>
    </w:p>
    <w:p>
      <w:pPr>
        <w:pStyle w:val="BZ1"/>
        <w:rPr>
          <w:rFonts w:eastAsia="宋体"/>
        </w:rPr>
        <w:sectPr>
          <w:headerReference w:type="default" r:id="rId59"/>
          <w:footerReference w:type="default" r:id="rId60"/>
          <w:type w:val="nextPage"/>
          <w:pgSz w:w="11906" w:h="16838"/>
          <w:pgMar w:top="1440" w:right="1701" w:bottom="1440" w:left="1701" w:header="850" w:footer="992" w:gutter="0"/>
          <w:pgNumType w:start="25"/>
          <w:cols w:num="1" w:space="425"/>
          <w:titlePg w:val="0"/>
          <w:docGrid w:type="lines" w:linePitch="312" w:charSpace="0"/>
        </w:sectPr>
      </w:pPr>
    </w:p>
    <w:p>
      <w:pPr>
        <w:pStyle w:val="BZ1"/>
        <w:jc w:val="center"/>
        <w:rPr>
          <w:rFonts w:eastAsia="宋体"/>
        </w:rPr>
      </w:pPr>
      <w:bookmarkStart w:id="192" w:name="_Toc491077897"/>
      <w:r>
        <w:rPr>
          <w:rFonts w:ascii="宋体" w:eastAsia="宋体" w:hAnsi="宋体" w:hint="eastAsia"/>
        </w:rPr>
        <w:t>资源配置</w:t>
      </w:r>
      <w:r>
        <w:rPr>
          <w:rFonts w:hint="eastAsia"/>
          <w:lang w:eastAsia="zh-CN"/>
        </w:rPr>
        <w:t>相关计划</w:t>
      </w:r>
      <w:r>
        <w:rPr>
          <w:rFonts w:ascii="宋体" w:eastAsia="宋体" w:hAnsi="宋体" w:hint="eastAsia"/>
        </w:rPr>
        <w:t>与保证措施</w:t>
      </w:r>
      <w:bookmarkEnd w:id="192"/>
    </w:p>
    <w:p>
      <w:pPr>
        <w:pStyle w:val="BZ2"/>
        <w:rPr>
          <w:rFonts w:ascii="宋体" w:eastAsia="宋体" w:hAnsi="宋体"/>
        </w:rPr>
      </w:pPr>
      <w:bookmarkStart w:id="193" w:name="_Toc491077898"/>
      <w:r>
        <w:rPr>
          <w:rFonts w:ascii="宋体" w:eastAsia="宋体" w:hAnsi="宋体" w:hint="eastAsia"/>
        </w:rPr>
        <w:t>资源投入</w:t>
      </w:r>
      <w:bookmarkEnd w:id="193"/>
    </w:p>
    <w:p>
      <w:pPr>
        <w:pStyle w:val="ListParagraph"/>
        <w:widowControl/>
        <w:numPr>
          <w:ilvl w:val="1"/>
          <w:numId w:val="26"/>
        </w:numPr>
        <w:suppressAutoHyphens/>
        <w:spacing w:before="120" w:line="360" w:lineRule="auto"/>
        <w:ind w:left="0" w:firstLine="240" w:firstLineChars="100"/>
        <w:rPr>
          <w:rFonts w:ascii="宋体" w:eastAsia="宋体" w:hAnsi="宋体"/>
          <w:color w:val="000000"/>
          <w:sz w:val="24"/>
        </w:rPr>
      </w:pPr>
      <w:bookmarkStart w:id="194" w:name="_Toc94147793"/>
      <w:bookmarkStart w:id="195" w:name="_Toc340258840"/>
      <w:bookmarkStart w:id="196" w:name="_Toc94686863"/>
      <w:bookmarkStart w:id="197" w:name="_Toc161828519"/>
      <w:bookmarkStart w:id="198" w:name="_Toc264037391"/>
      <w:bookmarkStart w:id="199" w:name="_Toc187157076"/>
      <w:bookmarkStart w:id="200" w:name="_Toc94149973"/>
      <w:bookmarkStart w:id="201" w:name="_Toc94336720"/>
      <w:bookmarkStart w:id="202" w:name="_Toc131154060"/>
      <w:bookmarkStart w:id="203" w:name="_Toc130395123"/>
      <w:r>
        <w:rPr>
          <w:rFonts w:ascii="宋体" w:eastAsia="宋体" w:hAnsi="宋体" w:hint="eastAsia"/>
          <w:color w:val="000000"/>
          <w:sz w:val="24"/>
        </w:rPr>
        <w:t>劳务分包单位招标</w:t>
      </w:r>
      <w:bookmarkEnd w:id="194"/>
      <w:bookmarkEnd w:id="195"/>
      <w:bookmarkEnd w:id="196"/>
      <w:bookmarkEnd w:id="197"/>
      <w:bookmarkEnd w:id="198"/>
      <w:bookmarkEnd w:id="199"/>
      <w:bookmarkEnd w:id="200"/>
      <w:bookmarkEnd w:id="201"/>
      <w:bookmarkEnd w:id="202"/>
      <w:bookmarkEnd w:id="203"/>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挑选技术力量雄厚且具有劳务承包专业资质的队伍；劳务分包单位必须是自控</w:t>
      </w:r>
      <w:r>
        <w:rPr>
          <w:rFonts w:ascii="宋体" w:hAnsi="宋体" w:hint="eastAsia"/>
          <w:color w:val="000000"/>
          <w:sz w:val="24"/>
          <w:lang w:eastAsia="zh-CN"/>
        </w:rPr>
        <w:t>管理管控</w:t>
      </w:r>
      <w:r>
        <w:rPr>
          <w:rFonts w:ascii="宋体" w:eastAsia="宋体" w:hAnsi="宋体" w:hint="eastAsia"/>
          <w:color w:val="000000"/>
          <w:sz w:val="24"/>
        </w:rPr>
        <w:t>能力、工种调配能力强，劳务人员数满足工程进度要求且不受农忙季节自然天气影响的能够连续施工的劳务分包单位，且仅考虑使用与本公司长期合作、从事过同类工程施工并连续获得国优、市优或市优等优质工程的劳务施工队伍。</w:t>
      </w:r>
    </w:p>
    <w:p>
      <w:pPr>
        <w:pStyle w:val="ListParagraph"/>
        <w:widowControl/>
        <w:numPr>
          <w:ilvl w:val="1"/>
          <w:numId w:val="26"/>
        </w:numPr>
        <w:suppressAutoHyphens/>
        <w:spacing w:before="120" w:line="360" w:lineRule="auto"/>
        <w:ind w:left="0" w:firstLine="240" w:firstLineChars="100"/>
        <w:rPr>
          <w:rFonts w:ascii="宋体" w:eastAsia="宋体" w:hAnsi="宋体"/>
          <w:color w:val="000000"/>
          <w:sz w:val="24"/>
        </w:rPr>
      </w:pPr>
      <w:bookmarkStart w:id="204" w:name="_Toc94147794"/>
      <w:bookmarkStart w:id="205" w:name="_Toc94686864"/>
      <w:bookmarkStart w:id="206" w:name="_Toc187157077"/>
      <w:bookmarkStart w:id="207" w:name="_Toc94149974"/>
      <w:bookmarkStart w:id="208" w:name="_Toc94336721"/>
      <w:bookmarkStart w:id="209" w:name="_Toc131154061"/>
      <w:bookmarkStart w:id="210" w:name="_Toc161828520"/>
      <w:bookmarkStart w:id="211" w:name="_Toc130395124"/>
      <w:bookmarkStart w:id="212" w:name="_Toc264037392"/>
      <w:bookmarkStart w:id="213" w:name="_Toc340258841"/>
      <w:r>
        <w:rPr>
          <w:rFonts w:ascii="宋体" w:eastAsia="宋体" w:hAnsi="宋体" w:hint="eastAsia"/>
          <w:color w:val="000000"/>
          <w:sz w:val="24"/>
        </w:rPr>
        <w:t>劳务人员培训</w:t>
      </w:r>
      <w:bookmarkEnd w:id="204"/>
      <w:bookmarkEnd w:id="205"/>
      <w:bookmarkEnd w:id="206"/>
      <w:bookmarkEnd w:id="207"/>
      <w:bookmarkEnd w:id="208"/>
      <w:bookmarkEnd w:id="209"/>
      <w:bookmarkEnd w:id="210"/>
      <w:bookmarkEnd w:id="211"/>
      <w:bookmarkEnd w:id="212"/>
      <w:bookmarkEnd w:id="213"/>
    </w:p>
    <w:p>
      <w:pPr>
        <w:pStyle w:val="ListParagraph"/>
        <w:widowControl/>
        <w:numPr>
          <w:ilvl w:val="2"/>
          <w:numId w:val="26"/>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对全体劳务人员进行进场前安全、质量、文明施工及</w:t>
      </w:r>
      <w:r>
        <w:rPr>
          <w:rFonts w:ascii="宋体" w:hAnsi="宋体" w:hint="eastAsia"/>
          <w:color w:val="000000"/>
          <w:sz w:val="24"/>
          <w:lang w:eastAsia="zh-CN"/>
        </w:rPr>
        <w:t>管理管控</w:t>
      </w:r>
      <w:r>
        <w:rPr>
          <w:rFonts w:ascii="宋体" w:eastAsia="宋体" w:hAnsi="宋体" w:hint="eastAsia"/>
          <w:color w:val="000000"/>
          <w:sz w:val="24"/>
        </w:rPr>
        <w:t>教育、宣传和动员，尤其加强针对保证学校正常教学环境的文明安全交底。</w:t>
      </w:r>
    </w:p>
    <w:p>
      <w:pPr>
        <w:pStyle w:val="ListParagraph"/>
        <w:widowControl/>
        <w:numPr>
          <w:ilvl w:val="2"/>
          <w:numId w:val="26"/>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对特殊工种（如电工、架子工、电气焊工、防水工、试验工、测量工等）进行集中再培训，考核合格后方可持证上岗。</w:t>
      </w:r>
    </w:p>
    <w:p>
      <w:pPr>
        <w:pStyle w:val="ListParagraph"/>
        <w:widowControl/>
        <w:numPr>
          <w:ilvl w:val="2"/>
          <w:numId w:val="26"/>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焊接人员提前做好焊接培训工作，焊工必须逐一审核和验证，禁止无焊接合格证的焊工操作。</w:t>
      </w:r>
    </w:p>
    <w:p>
      <w:pPr>
        <w:pStyle w:val="ListParagraph"/>
        <w:widowControl/>
        <w:numPr>
          <w:ilvl w:val="1"/>
          <w:numId w:val="26"/>
        </w:numPr>
        <w:suppressAutoHyphens/>
        <w:spacing w:before="120" w:line="360" w:lineRule="auto"/>
        <w:ind w:left="0" w:firstLine="240" w:firstLineChars="100"/>
        <w:rPr>
          <w:rFonts w:ascii="宋体" w:eastAsia="宋体" w:hAnsi="宋体"/>
          <w:color w:val="000000"/>
          <w:sz w:val="24"/>
        </w:rPr>
      </w:pPr>
      <w:bookmarkStart w:id="214" w:name="_Toc130395125"/>
      <w:bookmarkStart w:id="215" w:name="_Toc264037393"/>
      <w:bookmarkStart w:id="216" w:name="_Toc340258842"/>
      <w:bookmarkStart w:id="217" w:name="_Toc94147795"/>
      <w:bookmarkStart w:id="218" w:name="_Toc94336722"/>
      <w:bookmarkStart w:id="219" w:name="_Toc161828521"/>
      <w:bookmarkStart w:id="220" w:name="_Toc131154062"/>
      <w:bookmarkStart w:id="221" w:name="_Toc94149975"/>
      <w:bookmarkStart w:id="222" w:name="_Toc187157078"/>
      <w:bookmarkStart w:id="223" w:name="_Toc94686865"/>
      <w:r>
        <w:rPr>
          <w:rFonts w:ascii="宋体" w:eastAsia="宋体" w:hAnsi="宋体" w:hint="eastAsia"/>
          <w:color w:val="000000"/>
          <w:sz w:val="24"/>
        </w:rPr>
        <w:t>工程</w:t>
      </w:r>
      <w:r>
        <w:rPr>
          <w:rFonts w:ascii="宋体" w:hAnsi="宋体" w:hint="eastAsia"/>
          <w:color w:val="000000"/>
          <w:sz w:val="24"/>
          <w:lang w:eastAsia="zh-CN"/>
        </w:rPr>
        <w:t>管理管控</w:t>
      </w:r>
      <w:r>
        <w:rPr>
          <w:rFonts w:ascii="宋体" w:eastAsia="宋体" w:hAnsi="宋体" w:hint="eastAsia"/>
          <w:color w:val="000000"/>
          <w:sz w:val="24"/>
        </w:rPr>
        <w:t>人员培训</w:t>
      </w:r>
      <w:bookmarkEnd w:id="214"/>
      <w:bookmarkEnd w:id="215"/>
      <w:bookmarkEnd w:id="216"/>
      <w:bookmarkEnd w:id="217"/>
      <w:bookmarkEnd w:id="218"/>
      <w:bookmarkEnd w:id="219"/>
      <w:bookmarkEnd w:id="220"/>
      <w:bookmarkEnd w:id="221"/>
      <w:bookmarkEnd w:id="222"/>
      <w:bookmarkEnd w:id="223"/>
    </w:p>
    <w:p>
      <w:pPr>
        <w:pStyle w:val="ListParagraph"/>
        <w:widowControl/>
        <w:numPr>
          <w:ilvl w:val="2"/>
          <w:numId w:val="26"/>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做好施工</w:t>
      </w:r>
      <w:r>
        <w:rPr>
          <w:rFonts w:ascii="宋体" w:hAnsi="宋体" w:hint="eastAsia"/>
          <w:color w:val="000000"/>
          <w:sz w:val="24"/>
          <w:lang w:eastAsia="zh-CN"/>
        </w:rPr>
        <w:t>管理管控</w:t>
      </w:r>
      <w:r>
        <w:rPr>
          <w:rFonts w:ascii="宋体" w:eastAsia="宋体" w:hAnsi="宋体" w:hint="eastAsia"/>
          <w:color w:val="000000"/>
          <w:sz w:val="24"/>
        </w:rPr>
        <w:t>人员上岗前的岗位培训，保证掌握施工工艺、操作方法，考核合格后方可上岗。对工程技术人员集中培训学习新规范、新法律法规。对施工</w:t>
      </w:r>
      <w:r>
        <w:rPr>
          <w:rFonts w:ascii="宋体" w:hAnsi="宋体" w:hint="eastAsia"/>
          <w:color w:val="000000"/>
          <w:sz w:val="24"/>
          <w:lang w:eastAsia="zh-CN"/>
        </w:rPr>
        <w:t>管理管控</w:t>
      </w:r>
      <w:r>
        <w:rPr>
          <w:rFonts w:ascii="宋体" w:eastAsia="宋体" w:hAnsi="宋体" w:hint="eastAsia"/>
          <w:color w:val="000000"/>
          <w:sz w:val="24"/>
        </w:rPr>
        <w:t>人员进行施工安全技术交底、季节施工交底、专业</w:t>
      </w:r>
      <w:r>
        <w:rPr>
          <w:rFonts w:ascii="宋体" w:hAnsi="宋体" w:hint="eastAsia"/>
          <w:color w:val="000000"/>
          <w:sz w:val="24"/>
          <w:lang w:eastAsia="zh-CN"/>
        </w:rPr>
        <w:t>合适的方案</w:t>
      </w:r>
      <w:r>
        <w:rPr>
          <w:rFonts w:ascii="宋体" w:eastAsia="宋体" w:hAnsi="宋体" w:hint="eastAsia"/>
          <w:color w:val="000000"/>
          <w:sz w:val="24"/>
        </w:rPr>
        <w:t>交底等，使全部</w:t>
      </w:r>
      <w:r>
        <w:rPr>
          <w:rFonts w:ascii="宋体" w:hAnsi="宋体" w:hint="eastAsia"/>
          <w:color w:val="000000"/>
          <w:sz w:val="24"/>
          <w:lang w:eastAsia="zh-CN"/>
        </w:rPr>
        <w:t>管理管控</w:t>
      </w:r>
      <w:r>
        <w:rPr>
          <w:rFonts w:ascii="宋体" w:eastAsia="宋体" w:hAnsi="宋体" w:hint="eastAsia"/>
          <w:color w:val="000000"/>
          <w:sz w:val="24"/>
        </w:rPr>
        <w:t>人员做到心中有数。</w:t>
      </w:r>
    </w:p>
    <w:p>
      <w:pPr>
        <w:pStyle w:val="ListParagraph"/>
        <w:widowControl/>
        <w:numPr>
          <w:ilvl w:val="2"/>
          <w:numId w:val="26"/>
        </w:numPr>
        <w:suppressAutoHyphens/>
        <w:spacing w:before="120" w:line="360" w:lineRule="auto"/>
        <w:ind w:left="0" w:firstLine="240" w:firstLineChars="100"/>
        <w:rPr>
          <w:rFonts w:ascii="宋体" w:eastAsia="宋体" w:hAnsi="宋体"/>
          <w:color w:val="000000"/>
          <w:sz w:val="24"/>
        </w:rPr>
      </w:pPr>
      <w:bookmarkStart w:id="224" w:name="_Toc94686866"/>
      <w:bookmarkStart w:id="225" w:name="_Toc161828522"/>
      <w:bookmarkStart w:id="226" w:name="_Toc131154063"/>
      <w:bookmarkStart w:id="227" w:name="_Toc130395126"/>
      <w:bookmarkStart w:id="228" w:name="_Toc187157079"/>
      <w:bookmarkStart w:id="229" w:name="_Toc264037394"/>
      <w:bookmarkStart w:id="230" w:name="_Toc340258843"/>
      <w:r>
        <w:rPr>
          <w:rFonts w:ascii="宋体" w:eastAsia="宋体" w:hAnsi="宋体" w:hint="eastAsia"/>
          <w:color w:val="000000"/>
          <w:sz w:val="24"/>
        </w:rPr>
        <w:t>劳动力</w:t>
      </w:r>
      <w:bookmarkEnd w:id="224"/>
      <w:bookmarkEnd w:id="225"/>
      <w:bookmarkEnd w:id="226"/>
      <w:bookmarkEnd w:id="227"/>
      <w:r>
        <w:rPr>
          <w:rFonts w:ascii="宋体" w:hAnsi="宋体" w:hint="eastAsia"/>
          <w:color w:val="000000"/>
          <w:sz w:val="24"/>
          <w:lang w:eastAsia="zh-CN"/>
        </w:rPr>
        <w:t>相关计划</w:t>
      </w:r>
      <w:r>
        <w:rPr>
          <w:rFonts w:ascii="宋体" w:eastAsia="宋体" w:hAnsi="宋体" w:hint="eastAsia"/>
          <w:color w:val="000000"/>
          <w:sz w:val="24"/>
        </w:rPr>
        <w:t>安排</w:t>
      </w:r>
      <w:bookmarkEnd w:id="228"/>
      <w:r>
        <w:rPr>
          <w:rFonts w:ascii="宋体" w:eastAsia="宋体" w:hAnsi="宋体" w:hint="eastAsia"/>
          <w:color w:val="000000"/>
          <w:sz w:val="24"/>
        </w:rPr>
        <w:t>及持证上岗保证</w:t>
      </w:r>
      <w:bookmarkEnd w:id="229"/>
      <w:bookmarkEnd w:id="230"/>
    </w:p>
    <w:p>
      <w:pPr>
        <w:pStyle w:val="ListParagraph"/>
        <w:widowControl/>
        <w:numPr>
          <w:ilvl w:val="2"/>
          <w:numId w:val="26"/>
        </w:numPr>
        <w:suppressAutoHyphens/>
        <w:spacing w:before="120" w:line="360" w:lineRule="auto"/>
        <w:ind w:left="0" w:firstLine="240" w:firstLineChars="100"/>
        <w:rPr>
          <w:rFonts w:ascii="宋体" w:eastAsia="宋体" w:hAnsi="宋体"/>
          <w:color w:val="000000"/>
          <w:sz w:val="24"/>
        </w:rPr>
        <w:sectPr>
          <w:headerReference w:type="default" r:id="rId61"/>
          <w:footerReference w:type="default" r:id="rId62"/>
          <w:pgSz w:w="11906" w:h="16838"/>
          <w:pgMar w:top="1440" w:right="1701" w:bottom="1440" w:left="1701" w:header="850" w:footer="992" w:gutter="0"/>
          <w:pgNumType w:start="26"/>
          <w:cols w:num="1" w:space="425"/>
          <w:docGrid w:type="lines" w:linePitch="312" w:charSpace="0"/>
        </w:sectPr>
      </w:pPr>
      <w:r>
        <w:rPr>
          <w:rFonts w:ascii="宋体" w:eastAsia="宋体" w:hAnsi="宋体" w:hint="eastAsia"/>
          <w:color w:val="000000"/>
          <w:sz w:val="24"/>
        </w:rPr>
        <w:t>劳动力需用量</w:t>
      </w:r>
      <w:r>
        <w:rPr>
          <w:rFonts w:ascii="宋体" w:hAnsi="宋体" w:hint="eastAsia"/>
          <w:color w:val="000000"/>
          <w:sz w:val="24"/>
          <w:lang w:eastAsia="zh-CN"/>
        </w:rPr>
        <w:t>相关计划</w:t>
      </w:r>
      <w:r>
        <w:rPr>
          <w:rFonts w:ascii="宋体" w:eastAsia="宋体" w:hAnsi="宋体" w:hint="eastAsia"/>
          <w:color w:val="000000"/>
          <w:sz w:val="24"/>
        </w:rPr>
        <w:t>根据施工进度、施工段划分、专业需要、劳动定额编制，并根据工程实际进展情况，由</w:t>
      </w:r>
      <w:r>
        <w:rPr>
          <w:rFonts w:ascii="宋体" w:hAnsi="宋体" w:hint="eastAsia"/>
          <w:color w:val="000000"/>
          <w:sz w:val="24"/>
          <w:lang w:eastAsia="zh-CN"/>
        </w:rPr>
        <w:t>相关项目</w:t>
      </w:r>
      <w:r>
        <w:rPr>
          <w:rFonts w:ascii="宋体" w:eastAsia="宋体" w:hAnsi="宋体" w:hint="eastAsia"/>
          <w:color w:val="000000"/>
          <w:sz w:val="24"/>
        </w:rPr>
        <w:t>经理部负责对各施工队劳动力进场时间，数量提出指导性</w:t>
      </w:r>
      <w:r>
        <w:rPr>
          <w:rFonts w:ascii="宋体" w:hAnsi="宋体" w:hint="eastAsia"/>
          <w:color w:val="000000"/>
          <w:sz w:val="24"/>
          <w:lang w:eastAsia="zh-CN"/>
        </w:rPr>
        <w:t>相关计划</w:t>
      </w:r>
      <w:r>
        <w:rPr>
          <w:rFonts w:ascii="宋体" w:eastAsia="宋体" w:hAnsi="宋体" w:hint="eastAsia"/>
          <w:color w:val="000000"/>
          <w:sz w:val="24"/>
        </w:rPr>
        <w:t>，及时调整，避免劳动力资源的浪费。</w:t>
      </w:r>
    </w:p>
    <w:p>
      <w:pPr>
        <w:pStyle w:val="ListParagraph"/>
        <w:widowControl/>
        <w:numPr>
          <w:ilvl w:val="2"/>
          <w:numId w:val="16"/>
        </w:numPr>
        <w:suppressAutoHyphens/>
        <w:spacing w:before="120" w:line="360" w:lineRule="auto"/>
        <w:ind w:left="0" w:firstLine="240" w:firstLineChars="100"/>
        <w:rPr>
          <w:rFonts w:ascii="宋体" w:eastAsia="宋体" w:hAnsi="宋体"/>
          <w:color w:val="000000"/>
          <w:sz w:val="24"/>
        </w:rPr>
      </w:pPr>
      <w:r>
        <w:rPr>
          <w:rFonts w:ascii="宋体" w:eastAsia="宋体" w:hAnsi="宋体" w:hint="eastAsia"/>
          <w:color w:val="000000"/>
          <w:sz w:val="24"/>
        </w:rPr>
        <w:t>施工现场生产操作人员保证持有国家劳动部颁发的《职业资格证书》，特种作业人员（电工、电焊工、操作工等）持证上岗率必须达到100%；砌筑工、抹灰工、油漆工等上岗率不少于80%。</w:t>
      </w:r>
    </w:p>
    <w:p>
      <w:pPr>
        <w:pStyle w:val="ListParagraph"/>
        <w:widowControl/>
        <w:numPr>
          <w:ilvl w:val="1"/>
          <w:numId w:val="16"/>
        </w:numPr>
        <w:suppressAutoHyphens/>
        <w:spacing w:before="120" w:line="360" w:lineRule="auto"/>
        <w:ind w:left="0" w:firstLine="240" w:firstLineChars="100"/>
        <w:rPr>
          <w:rFonts w:ascii="宋体" w:eastAsia="宋体" w:hAnsi="宋体"/>
          <w:color w:val="000000"/>
          <w:sz w:val="24"/>
        </w:rPr>
      </w:pPr>
      <w:bookmarkStart w:id="231" w:name="_Toc340258844"/>
      <w:r>
        <w:rPr>
          <w:rFonts w:ascii="宋体" w:eastAsia="宋体" w:hAnsi="宋体" w:hint="eastAsia"/>
          <w:color w:val="000000"/>
          <w:sz w:val="24"/>
        </w:rPr>
        <w:t>人员进场及劳动力进场表</w:t>
      </w:r>
      <w:bookmarkEnd w:id="231"/>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附录：劳动力</w:t>
      </w:r>
      <w:r>
        <w:rPr>
          <w:rFonts w:ascii="宋体" w:hAnsi="宋体" w:hint="eastAsia"/>
          <w:color w:val="000000"/>
          <w:sz w:val="24"/>
          <w:lang w:eastAsia="zh-CN"/>
        </w:rPr>
        <w:t>相关计划</w:t>
      </w:r>
      <w:r>
        <w:rPr>
          <w:rFonts w:ascii="宋体" w:eastAsia="宋体" w:hAnsi="宋体" w:hint="eastAsia"/>
          <w:color w:val="000000"/>
          <w:sz w:val="24"/>
        </w:rPr>
        <w:t xml:space="preserve">表 </w:t>
      </w:r>
    </w:p>
    <w:p>
      <w:pPr>
        <w:pStyle w:val="BZ2"/>
        <w:rPr>
          <w:rFonts w:ascii="宋体" w:eastAsia="宋体" w:hAnsi="宋体"/>
        </w:rPr>
      </w:pPr>
      <w:bookmarkStart w:id="232" w:name="_Toc340258845"/>
      <w:bookmarkStart w:id="233" w:name="_Toc491077899"/>
      <w:r>
        <w:rPr>
          <w:rFonts w:ascii="宋体" w:eastAsia="宋体" w:hAnsi="宋体" w:hint="eastAsia"/>
        </w:rPr>
        <w:t>违约承诺</w:t>
      </w:r>
      <w:bookmarkEnd w:id="232"/>
      <w:bookmarkEnd w:id="233"/>
    </w:p>
    <w:p>
      <w:pPr>
        <w:pStyle w:val="Normal0"/>
        <w:widowControl/>
        <w:suppressAutoHyphens/>
        <w:spacing w:before="240" w:line="300" w:lineRule="auto"/>
        <w:ind w:firstLine="480" w:firstLineChars="200"/>
        <w:rPr>
          <w:rFonts w:ascii="宋体" w:hAnsi="宋体"/>
          <w:b/>
          <w:color w:val="000000"/>
          <w:sz w:val="24"/>
        </w:rPr>
      </w:pPr>
      <w:r>
        <w:rPr>
          <w:rFonts w:ascii="宋体" w:eastAsia="宋体" w:hAnsi="宋体" w:hint="eastAsia"/>
          <w:b/>
          <w:color w:val="000000"/>
          <w:sz w:val="24"/>
        </w:rPr>
        <w:t>我司承诺严格按照施工组织设计的人员配备投入劳动力及各项资源。如违反上述约定处罚接受建设单位及监理处罚。</w:t>
      </w:r>
    </w:p>
    <w:p>
      <w:pPr>
        <w:pStyle w:val="Normal0"/>
        <w:widowControl/>
        <w:suppressAutoHyphens/>
        <w:spacing w:before="240" w:line="300" w:lineRule="auto"/>
        <w:ind w:firstLine="480" w:firstLineChars="200"/>
        <w:rPr>
          <w:rFonts w:ascii="宋体" w:hAnsi="宋体"/>
          <w:b/>
          <w:color w:val="000000"/>
          <w:sz w:val="24"/>
        </w:rPr>
      </w:pPr>
    </w:p>
    <w:p>
      <w:pPr>
        <w:pStyle w:val="BZ1"/>
        <w:rPr>
          <w:rFonts w:eastAsia="宋体"/>
        </w:rPr>
        <w:sectPr>
          <w:headerReference w:type="default" r:id="rId63"/>
          <w:footerReference w:type="default" r:id="rId64"/>
          <w:type w:val="nextPage"/>
          <w:pgSz w:w="11906" w:h="16838"/>
          <w:pgMar w:top="1440" w:right="1701" w:bottom="1440" w:left="1701" w:header="850" w:footer="992" w:gutter="0"/>
          <w:pgNumType w:start="27"/>
          <w:cols w:num="1" w:space="425"/>
          <w:titlePg w:val="0"/>
          <w:docGrid w:type="lines" w:linePitch="312" w:charSpace="0"/>
        </w:sectPr>
      </w:pPr>
    </w:p>
    <w:p>
      <w:pPr>
        <w:pStyle w:val="BZ1"/>
        <w:jc w:val="center"/>
        <w:rPr>
          <w:rFonts w:eastAsia="宋体"/>
        </w:rPr>
      </w:pPr>
      <w:bookmarkStart w:id="234" w:name="_Toc491077900"/>
      <w:r>
        <w:rPr>
          <w:rFonts w:ascii="宋体" w:eastAsia="宋体" w:hAnsi="宋体" w:hint="eastAsia"/>
        </w:rPr>
        <w:t>机械设备投入、办公设施及检测</w:t>
      </w:r>
      <w:bookmarkEnd w:id="234"/>
      <w:r>
        <w:rPr>
          <w:rFonts w:hint="eastAsia"/>
          <w:lang w:eastAsia="zh-CN"/>
        </w:rPr>
        <w:t>相关计划</w:t>
      </w:r>
    </w:p>
    <w:p>
      <w:pPr>
        <w:pStyle w:val="BZ2"/>
        <w:rPr>
          <w:rFonts w:ascii="宋体" w:eastAsia="宋体" w:hAnsi="宋体"/>
        </w:rPr>
      </w:pPr>
      <w:bookmarkStart w:id="235" w:name="_Toc491077901"/>
      <w:r>
        <w:rPr>
          <w:rFonts w:ascii="宋体" w:eastAsia="宋体" w:hAnsi="宋体" w:hint="eastAsia"/>
        </w:rPr>
        <w:t>本工程主要施工机械设备进场</w:t>
      </w:r>
      <w:bookmarkEnd w:id="235"/>
      <w:r>
        <w:rPr>
          <w:rFonts w:ascii="宋体" w:eastAsia="宋体" w:hAnsi="宋体" w:hint="eastAsia"/>
          <w:lang w:eastAsia="zh-CN"/>
        </w:rPr>
        <w:t>相关计划</w:t>
      </w:r>
    </w:p>
    <w:p>
      <w:pPr>
        <w:pStyle w:val="Normal0"/>
        <w:spacing w:line="360" w:lineRule="auto"/>
        <w:jc w:val="center"/>
        <w:rPr>
          <w:rFonts w:ascii="宋体" w:hAnsi="宋体"/>
          <w:spacing w:val="20"/>
          <w:sz w:val="24"/>
        </w:rPr>
      </w:pPr>
      <w:r>
        <w:rPr>
          <w:rFonts w:ascii="宋体" w:eastAsia="宋体" w:hAnsi="宋体" w:hint="eastAsia"/>
          <w:spacing w:val="20"/>
          <w:sz w:val="24"/>
        </w:rPr>
        <w:t>主要施工机械设备进场</w:t>
      </w:r>
      <w:r>
        <w:rPr>
          <w:rFonts w:ascii="宋体" w:hAnsi="宋体" w:hint="eastAsia"/>
          <w:spacing w:val="20"/>
          <w:sz w:val="24"/>
          <w:lang w:eastAsia="zh-CN"/>
        </w:rPr>
        <w:t>相关计划</w:t>
      </w:r>
      <w:r>
        <w:rPr>
          <w:rFonts w:ascii="宋体" w:eastAsia="宋体" w:hAnsi="宋体" w:hint="eastAsia"/>
          <w:spacing w:val="20"/>
          <w:sz w:val="24"/>
        </w:rPr>
        <w:t>表</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Grid>
        <w:gridCol w:w="1952"/>
        <w:gridCol w:w="3050"/>
        <w:gridCol w:w="1158"/>
        <w:gridCol w:w="1538"/>
        <w:gridCol w:w="1022"/>
      </w:tblGrid>
      <w:tr>
        <w:tblPrEx>
          <w:tblW w:w="5000" w:type="pct"/>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Ex>
        <w:trPr>
          <w:cantSplit/>
          <w:trHeight w:val="613"/>
        </w:trPr>
        <w:tc>
          <w:tcPr>
            <w:tcW w:w="111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机械名称</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规格型号或产地</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数量</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进场日期</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状态</w:t>
            </w:r>
          </w:p>
        </w:tc>
      </w:tr>
      <w:tr>
        <w:tblPrEx>
          <w:tblW w:w="5000" w:type="pct"/>
          <w:tblInd w:w="0" w:type="dxa"/>
          <w:tblCellMar>
            <w:top w:w="0" w:type="dxa"/>
            <w:left w:w="108" w:type="dxa"/>
            <w:bottom w:w="0" w:type="dxa"/>
            <w:right w:w="108" w:type="dxa"/>
          </w:tblCellMar>
        </w:tblPrEx>
        <w:trPr>
          <w:trHeight w:val="460"/>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喷播洒水车</w:t>
            </w:r>
          </w:p>
        </w:tc>
        <w:tc>
          <w:tcPr>
            <w:tcW w:w="1749" w:type="pct"/>
            <w:vAlign w:val="center"/>
          </w:tcPr>
          <w:p>
            <w:pPr>
              <w:pStyle w:val="Normal0"/>
              <w:widowControl w:val="0"/>
              <w:spacing w:line="360" w:lineRule="auto"/>
              <w:jc w:val="center"/>
              <w:rPr>
                <w:rFonts w:ascii="宋体" w:hAnsi="宋体" w:cs="Times New Roman"/>
                <w:spacing w:val="20"/>
                <w:sz w:val="24"/>
              </w:rPr>
            </w:pP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1辆</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475"/>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货运汽车</w:t>
            </w:r>
          </w:p>
        </w:tc>
        <w:tc>
          <w:tcPr>
            <w:tcW w:w="1749" w:type="pct"/>
            <w:vAlign w:val="center"/>
          </w:tcPr>
          <w:p>
            <w:pPr>
              <w:pStyle w:val="Normal0"/>
              <w:widowControl w:val="0"/>
              <w:spacing w:line="360" w:lineRule="auto"/>
              <w:jc w:val="center"/>
              <w:rPr>
                <w:rFonts w:ascii="宋体" w:hAnsi="宋体" w:cs="Times New Roman"/>
                <w:spacing w:val="20"/>
                <w:sz w:val="24"/>
              </w:rPr>
            </w:pP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1辆</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475"/>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喷播机</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湿喷机</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2台</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91"/>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剪草机</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国产</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2台</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82"/>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手推斗车</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大连</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10辆</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82"/>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多功能修剪机</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国产</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2台</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82"/>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气泵</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国产</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2台</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82"/>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发电机</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50KW</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1台</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82"/>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粉碎机</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国产</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2台</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82"/>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高压喷枪</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国产</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2把</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r>
        <w:tblPrEx>
          <w:tblW w:w="5000" w:type="pct"/>
          <w:tblInd w:w="0" w:type="dxa"/>
          <w:tblCellMar>
            <w:top w:w="0" w:type="dxa"/>
            <w:left w:w="108" w:type="dxa"/>
            <w:bottom w:w="0" w:type="dxa"/>
            <w:right w:w="108" w:type="dxa"/>
          </w:tblCellMar>
        </w:tblPrEx>
        <w:trPr>
          <w:trHeight w:val="582"/>
        </w:trPr>
        <w:tc>
          <w:tcPr>
            <w:tcW w:w="1119" w:type="pct"/>
          </w:tcPr>
          <w:p>
            <w:pPr>
              <w:pStyle w:val="Normal0"/>
              <w:widowControl w:val="0"/>
              <w:spacing w:line="360" w:lineRule="auto"/>
              <w:jc w:val="both"/>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风镐</w:t>
            </w:r>
          </w:p>
        </w:tc>
        <w:tc>
          <w:tcPr>
            <w:tcW w:w="1749"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ф14mm</w:t>
            </w:r>
          </w:p>
        </w:tc>
        <w:tc>
          <w:tcPr>
            <w:tcW w:w="664"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1台</w:t>
            </w:r>
          </w:p>
        </w:tc>
        <w:tc>
          <w:tcPr>
            <w:tcW w:w="882"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开工后</w:t>
            </w:r>
          </w:p>
        </w:tc>
        <w:tc>
          <w:tcPr>
            <w:tcW w:w="586" w:type="pct"/>
            <w:vAlign w:val="center"/>
          </w:tcPr>
          <w:p>
            <w:pPr>
              <w:pStyle w:val="Normal0"/>
              <w:widowControl w:val="0"/>
              <w:spacing w:line="360" w:lineRule="auto"/>
              <w:jc w:val="center"/>
              <w:rPr>
                <w:rFonts w:ascii="宋体" w:hAnsi="宋体" w:cs="Times New Roman"/>
                <w:spacing w:val="20"/>
                <w:sz w:val="24"/>
              </w:rPr>
            </w:pPr>
            <w:r>
              <w:rPr>
                <w:rFonts w:ascii="宋体" w:eastAsia="宋体" w:hAnsi="宋体" w:cs="Times New Roman" w:hint="eastAsia"/>
                <w:spacing w:val="20"/>
                <w:kern w:val="2"/>
                <w:sz w:val="24"/>
                <w:szCs w:val="22"/>
                <w:lang w:val="en-US" w:eastAsia="zh-CN" w:bidi="ar-SA"/>
              </w:rPr>
              <w:t>良好</w:t>
            </w:r>
          </w:p>
        </w:tc>
      </w:tr>
    </w:tbl>
    <w:p>
      <w:pPr>
        <w:pStyle w:val="BZ2"/>
        <w:rPr>
          <w:rFonts w:ascii="宋体" w:eastAsia="宋体" w:hAnsi="宋体"/>
        </w:rPr>
      </w:pPr>
      <w:bookmarkStart w:id="236" w:name="_Toc491077902"/>
      <w:r>
        <w:rPr>
          <w:rFonts w:ascii="宋体" w:eastAsia="宋体" w:hAnsi="宋体" w:hint="eastAsia"/>
        </w:rPr>
        <w:t>拟投入试验仪器</w:t>
      </w:r>
    </w:p>
    <w:tbl>
      <w:tblPr>
        <w:tblStyle w:val="TableNormal"/>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Grid>
        <w:gridCol w:w="780"/>
        <w:gridCol w:w="1828"/>
        <w:gridCol w:w="1475"/>
        <w:gridCol w:w="1111"/>
        <w:gridCol w:w="1174"/>
        <w:gridCol w:w="1177"/>
        <w:gridCol w:w="1175"/>
      </w:tblGrid>
      <w:tr>
        <w:tblPrEx>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Ex>
        <w:trPr>
          <w:trHeight w:val="767"/>
          <w:jc w:val="center"/>
        </w:trPr>
        <w:tc>
          <w:tcPr>
            <w:tcW w:w="447" w:type="pct"/>
            <w:vAlign w:val="center"/>
          </w:tcPr>
          <w:p>
            <w:pPr>
              <w:pStyle w:val="Normal0"/>
              <w:widowControl w:val="0"/>
              <w:spacing w:line="360" w:lineRule="auto"/>
              <w:jc w:val="both"/>
              <w:rPr>
                <w:rFonts w:ascii="宋体" w:hAnsi="宋体" w:cs="Times New Roman"/>
                <w:sz w:val="24"/>
                <w:szCs w:val="24"/>
              </w:rPr>
            </w:pPr>
            <w:bookmarkEnd w:id="236"/>
            <w:r>
              <w:rPr>
                <w:rFonts w:ascii="宋体" w:eastAsia="宋体" w:hAnsi="宋体" w:cs="Times New Roman" w:hint="eastAsia"/>
                <w:kern w:val="2"/>
                <w:sz w:val="21"/>
                <w:szCs w:val="22"/>
                <w:lang w:val="en-US" w:eastAsia="zh-CN" w:bidi="ar-SA"/>
              </w:rPr>
              <w:t>序号</w:t>
            </w:r>
          </w:p>
        </w:tc>
        <w:tc>
          <w:tcPr>
            <w:tcW w:w="1048" w:type="pct"/>
            <w:vAlign w:val="center"/>
          </w:tcPr>
          <w:p>
            <w:pPr>
              <w:pStyle w:val="Normal0"/>
              <w:widowControl w:val="0"/>
              <w:spacing w:line="360" w:lineRule="auto"/>
              <w:ind w:left="105" w:hanging="105" w:hangingChars="50"/>
              <w:jc w:val="both"/>
              <w:rPr>
                <w:rFonts w:ascii="宋体" w:hAnsi="宋体" w:cs="Times New Roman"/>
                <w:sz w:val="24"/>
                <w:szCs w:val="21"/>
              </w:rPr>
            </w:pPr>
            <w:r>
              <w:rPr>
                <w:rFonts w:ascii="宋体" w:eastAsia="宋体" w:hAnsi="宋体" w:cs="Times New Roman" w:hint="eastAsia"/>
                <w:kern w:val="2"/>
                <w:sz w:val="21"/>
                <w:szCs w:val="21"/>
                <w:lang w:val="en-US" w:eastAsia="zh-CN" w:bidi="ar-SA"/>
              </w:rPr>
              <w:t>办公和测设备名称</w:t>
            </w:r>
          </w:p>
        </w:tc>
        <w:tc>
          <w:tcPr>
            <w:tcW w:w="846" w:type="pct"/>
            <w:vAlign w:val="center"/>
          </w:tcPr>
          <w:p>
            <w:pPr>
              <w:pStyle w:val="Normal0"/>
              <w:widowControl w:val="0"/>
              <w:spacing w:line="360" w:lineRule="auto"/>
              <w:ind w:left="315" w:hanging="315" w:hangingChars="15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型号规格</w:t>
            </w:r>
          </w:p>
        </w:tc>
        <w:tc>
          <w:tcPr>
            <w:tcW w:w="637"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数量</w:t>
            </w:r>
          </w:p>
        </w:tc>
        <w:tc>
          <w:tcPr>
            <w:tcW w:w="673" w:type="pct"/>
            <w:vAlign w:val="center"/>
          </w:tcPr>
          <w:p>
            <w:pPr>
              <w:pStyle w:val="Normal0"/>
              <w:widowControl w:val="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国别</w:t>
            </w:r>
          </w:p>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产地</w:t>
            </w:r>
          </w:p>
        </w:tc>
        <w:tc>
          <w:tcPr>
            <w:tcW w:w="675" w:type="pct"/>
            <w:vAlign w:val="center"/>
          </w:tcPr>
          <w:p>
            <w:pPr>
              <w:pStyle w:val="Normal0"/>
              <w:widowControl w:val="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制造</w:t>
            </w:r>
          </w:p>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年份</w:t>
            </w:r>
          </w:p>
        </w:tc>
        <w:tc>
          <w:tcPr>
            <w:tcW w:w="674" w:type="pct"/>
            <w:vAlign w:val="center"/>
          </w:tcPr>
          <w:p>
            <w:pPr>
              <w:pStyle w:val="Normal0"/>
              <w:widowControl w:val="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主要</w:t>
            </w:r>
          </w:p>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性能</w:t>
            </w:r>
          </w:p>
        </w:tc>
      </w:tr>
      <w:tr>
        <w:tblPrEx>
          <w:tblW w:w="5000" w:type="pct"/>
          <w:jc w:val="center"/>
          <w:tblCellMar>
            <w:top w:w="0" w:type="dxa"/>
            <w:left w:w="108" w:type="dxa"/>
            <w:bottom w:w="0" w:type="dxa"/>
            <w:right w:w="108" w:type="dxa"/>
          </w:tblCellMar>
        </w:tblPrEx>
        <w:trPr>
          <w:trHeight w:val="615"/>
          <w:jc w:val="center"/>
        </w:trPr>
        <w:tc>
          <w:tcPr>
            <w:tcW w:w="44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w:t>
            </w:r>
          </w:p>
        </w:tc>
        <w:tc>
          <w:tcPr>
            <w:tcW w:w="1048" w:type="pct"/>
            <w:vAlign w:val="center"/>
          </w:tcPr>
          <w:p>
            <w:pPr>
              <w:pStyle w:val="Normal0"/>
              <w:widowControl w:val="0"/>
              <w:spacing w:line="360" w:lineRule="auto"/>
              <w:ind w:firstLine="420" w:firstLineChars="20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全站仪</w:t>
            </w:r>
          </w:p>
        </w:tc>
        <w:tc>
          <w:tcPr>
            <w:tcW w:w="846"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宾得_R-202N</w:t>
            </w:r>
          </w:p>
        </w:tc>
        <w:tc>
          <w:tcPr>
            <w:tcW w:w="637" w:type="pct"/>
            <w:vAlign w:val="center"/>
          </w:tcPr>
          <w:p>
            <w:pPr>
              <w:pStyle w:val="Normal0"/>
              <w:widowControl w:val="0"/>
              <w:spacing w:line="360" w:lineRule="auto"/>
              <w:ind w:right="240"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w:t>
            </w:r>
          </w:p>
        </w:tc>
        <w:tc>
          <w:tcPr>
            <w:tcW w:w="673" w:type="pct"/>
            <w:vAlign w:val="center"/>
          </w:tcPr>
          <w:p>
            <w:pPr>
              <w:pStyle w:val="Normal0"/>
              <w:widowControl w:val="0"/>
              <w:spacing w:line="360" w:lineRule="auto"/>
              <w:ind w:firstLine="105" w:firstLineChars="50"/>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中国</w:t>
            </w:r>
          </w:p>
        </w:tc>
        <w:tc>
          <w:tcPr>
            <w:tcW w:w="675"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20</w:t>
            </w:r>
            <w:r>
              <w:rPr>
                <w:rFonts w:ascii="宋体" w:eastAsia="宋体" w:hAnsi="宋体" w:cs="Times New Roman"/>
                <w:kern w:val="2"/>
                <w:sz w:val="21"/>
                <w:szCs w:val="22"/>
                <w:lang w:val="en-US" w:eastAsia="zh-CN" w:bidi="ar-SA"/>
              </w:rPr>
              <w:t>08</w:t>
            </w:r>
          </w:p>
        </w:tc>
        <w:tc>
          <w:tcPr>
            <w:tcW w:w="674" w:type="pct"/>
            <w:vAlign w:val="center"/>
          </w:tcPr>
          <w:p>
            <w:pPr>
              <w:pStyle w:val="Normal0"/>
              <w:widowControl w:val="0"/>
              <w:spacing w:line="360" w:lineRule="auto"/>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15"/>
          <w:jc w:val="center"/>
        </w:trPr>
        <w:tc>
          <w:tcPr>
            <w:tcW w:w="44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2</w:t>
            </w:r>
          </w:p>
        </w:tc>
        <w:tc>
          <w:tcPr>
            <w:tcW w:w="1048"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水准仪</w:t>
            </w:r>
          </w:p>
        </w:tc>
        <w:tc>
          <w:tcPr>
            <w:tcW w:w="846"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DSZ2</w:t>
            </w:r>
          </w:p>
        </w:tc>
        <w:tc>
          <w:tcPr>
            <w:tcW w:w="63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w:t>
            </w:r>
          </w:p>
        </w:tc>
        <w:tc>
          <w:tcPr>
            <w:tcW w:w="673" w:type="pct"/>
            <w:vAlign w:val="center"/>
          </w:tcPr>
          <w:p>
            <w:pPr>
              <w:pStyle w:val="Normal0"/>
              <w:widowControl w:val="0"/>
              <w:spacing w:line="360" w:lineRule="auto"/>
              <w:ind w:firstLine="105" w:firstLineChars="50"/>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中国</w:t>
            </w:r>
          </w:p>
        </w:tc>
        <w:tc>
          <w:tcPr>
            <w:tcW w:w="675"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20</w:t>
            </w:r>
            <w:r>
              <w:rPr>
                <w:rFonts w:ascii="宋体" w:eastAsia="宋体" w:hAnsi="宋体" w:cs="Times New Roman"/>
                <w:kern w:val="2"/>
                <w:sz w:val="21"/>
                <w:szCs w:val="22"/>
                <w:lang w:val="en-US" w:eastAsia="zh-CN" w:bidi="ar-SA"/>
              </w:rPr>
              <w:t>09</w:t>
            </w:r>
          </w:p>
        </w:tc>
        <w:tc>
          <w:tcPr>
            <w:tcW w:w="674" w:type="pct"/>
            <w:vAlign w:val="center"/>
          </w:tcPr>
          <w:p>
            <w:pPr>
              <w:pStyle w:val="Normal0"/>
              <w:widowControl w:val="0"/>
              <w:spacing w:line="360" w:lineRule="auto"/>
              <w:ind w:firstLine="480" w:firstLineChars="200"/>
              <w:jc w:val="center"/>
              <w:rPr>
                <w:rFonts w:ascii="宋体" w:hAnsi="宋体" w:cs="Times New Roman"/>
                <w:sz w:val="24"/>
                <w:szCs w:val="24"/>
              </w:rPr>
            </w:pPr>
          </w:p>
        </w:tc>
      </w:tr>
    </w:tbl>
    <w:p>
      <w:pPr>
        <w:sectPr>
          <w:headerReference w:type="default" r:id="rId65"/>
          <w:footerReference w:type="default" r:id="rId66"/>
          <w:pgSz w:w="11906" w:h="16838"/>
          <w:pgMar w:top="1440" w:right="1701" w:bottom="1440" w:left="1701" w:header="850" w:footer="992" w:gutter="0"/>
          <w:pgNumType w:start="28"/>
          <w:cols w:num="1" w:space="425"/>
          <w:docGrid w:type="lines" w:linePitch="312" w:charSpace="0"/>
        </w:sectPr>
      </w:pPr>
    </w:p>
    <w:tbl>
      <w:tblPr>
        <w:tblStyle w:val="TableNormal"/>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Grid>
        <w:gridCol w:w="780"/>
        <w:gridCol w:w="1828"/>
        <w:gridCol w:w="1475"/>
        <w:gridCol w:w="1111"/>
        <w:gridCol w:w="1174"/>
        <w:gridCol w:w="1177"/>
        <w:gridCol w:w="1175"/>
      </w:tblGrid>
      <w:tr>
        <w:tblPrEx>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Ex>
        <w:trPr>
          <w:trHeight w:val="615"/>
          <w:jc w:val="center"/>
        </w:trPr>
        <w:tc>
          <w:tcPr>
            <w:tcW w:w="44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3</w:t>
            </w:r>
          </w:p>
        </w:tc>
        <w:tc>
          <w:tcPr>
            <w:tcW w:w="1048" w:type="pct"/>
            <w:vAlign w:val="center"/>
          </w:tcPr>
          <w:p>
            <w:pPr>
              <w:pStyle w:val="Normal0"/>
              <w:widowControl w:val="0"/>
              <w:spacing w:line="360" w:lineRule="auto"/>
              <w:ind w:firstLine="594" w:firstLineChars="2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钢尺</w:t>
            </w:r>
          </w:p>
        </w:tc>
        <w:tc>
          <w:tcPr>
            <w:tcW w:w="846"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50M</w:t>
            </w:r>
          </w:p>
        </w:tc>
        <w:tc>
          <w:tcPr>
            <w:tcW w:w="63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2</w:t>
            </w:r>
          </w:p>
        </w:tc>
        <w:tc>
          <w:tcPr>
            <w:tcW w:w="673" w:type="pct"/>
            <w:vAlign w:val="center"/>
          </w:tcPr>
          <w:p>
            <w:pPr>
              <w:pStyle w:val="Normal0"/>
              <w:widowControl w:val="0"/>
              <w:spacing w:line="360" w:lineRule="auto"/>
              <w:ind w:firstLine="105" w:firstLineChars="50"/>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沈阳</w:t>
            </w:r>
          </w:p>
        </w:tc>
        <w:tc>
          <w:tcPr>
            <w:tcW w:w="675"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20</w:t>
            </w:r>
            <w:r>
              <w:rPr>
                <w:rFonts w:ascii="宋体" w:eastAsia="宋体" w:hAnsi="宋体" w:cs="Times New Roman"/>
                <w:kern w:val="2"/>
                <w:sz w:val="21"/>
                <w:szCs w:val="22"/>
                <w:lang w:val="en-US" w:eastAsia="zh-CN" w:bidi="ar-SA"/>
              </w:rPr>
              <w:t>14</w:t>
            </w:r>
          </w:p>
        </w:tc>
        <w:tc>
          <w:tcPr>
            <w:tcW w:w="674" w:type="pct"/>
            <w:vAlign w:val="center"/>
          </w:tcPr>
          <w:p>
            <w:pPr>
              <w:pStyle w:val="Normal0"/>
              <w:widowControl w:val="0"/>
              <w:spacing w:line="360" w:lineRule="auto"/>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15"/>
          <w:jc w:val="center"/>
        </w:trPr>
        <w:tc>
          <w:tcPr>
            <w:tcW w:w="44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4</w:t>
            </w:r>
          </w:p>
        </w:tc>
        <w:tc>
          <w:tcPr>
            <w:tcW w:w="1048" w:type="pct"/>
            <w:vAlign w:val="center"/>
          </w:tcPr>
          <w:p>
            <w:pPr>
              <w:pStyle w:val="Normal0"/>
              <w:widowControl w:val="0"/>
              <w:spacing w:line="360" w:lineRule="auto"/>
              <w:ind w:firstLine="174" w:firstLineChars="83"/>
              <w:jc w:val="center"/>
              <w:rPr>
                <w:rFonts w:ascii="宋体" w:hAnsi="宋体" w:cs="Times New Roman"/>
                <w:spacing w:val="-4"/>
                <w:sz w:val="24"/>
                <w:szCs w:val="24"/>
              </w:rPr>
            </w:pPr>
            <w:r>
              <w:rPr>
                <w:rFonts w:ascii="宋体" w:eastAsia="宋体" w:hAnsi="宋体" w:cs="Times New Roman" w:hint="eastAsia"/>
                <w:kern w:val="2"/>
                <w:sz w:val="21"/>
                <w:szCs w:val="22"/>
                <w:lang w:val="en-US" w:eastAsia="zh-CN" w:bidi="ar-SA"/>
              </w:rPr>
              <w:t>钢尺</w:t>
            </w:r>
          </w:p>
        </w:tc>
        <w:tc>
          <w:tcPr>
            <w:tcW w:w="846"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5M</w:t>
            </w:r>
          </w:p>
        </w:tc>
        <w:tc>
          <w:tcPr>
            <w:tcW w:w="63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5</w:t>
            </w:r>
          </w:p>
        </w:tc>
        <w:tc>
          <w:tcPr>
            <w:tcW w:w="673" w:type="pct"/>
            <w:vAlign w:val="center"/>
          </w:tcPr>
          <w:p>
            <w:pPr>
              <w:pStyle w:val="Normal0"/>
              <w:widowControl w:val="0"/>
              <w:spacing w:line="360" w:lineRule="auto"/>
              <w:ind w:firstLine="105" w:firstLineChars="5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沈阳</w:t>
            </w:r>
          </w:p>
        </w:tc>
        <w:tc>
          <w:tcPr>
            <w:tcW w:w="675"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20</w:t>
            </w:r>
            <w:r>
              <w:rPr>
                <w:rFonts w:ascii="宋体" w:eastAsia="宋体" w:hAnsi="宋体" w:cs="Times New Roman"/>
                <w:kern w:val="2"/>
                <w:sz w:val="21"/>
                <w:szCs w:val="22"/>
                <w:lang w:val="en-US" w:eastAsia="zh-CN" w:bidi="ar-SA"/>
              </w:rPr>
              <w:t>14</w:t>
            </w:r>
          </w:p>
        </w:tc>
        <w:tc>
          <w:tcPr>
            <w:tcW w:w="674" w:type="pct"/>
            <w:vAlign w:val="center"/>
          </w:tcPr>
          <w:p>
            <w:pPr>
              <w:pStyle w:val="Normal0"/>
              <w:widowControl w:val="0"/>
              <w:spacing w:line="360" w:lineRule="auto"/>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15"/>
          <w:jc w:val="center"/>
        </w:trPr>
        <w:tc>
          <w:tcPr>
            <w:tcW w:w="44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5</w:t>
            </w:r>
          </w:p>
        </w:tc>
        <w:tc>
          <w:tcPr>
            <w:tcW w:w="1048" w:type="pct"/>
            <w:vAlign w:val="center"/>
          </w:tcPr>
          <w:p>
            <w:pPr>
              <w:pStyle w:val="Normal0"/>
              <w:widowControl w:val="0"/>
              <w:spacing w:line="360" w:lineRule="auto"/>
              <w:ind w:firstLine="105" w:firstLineChars="50"/>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电脑</w:t>
            </w:r>
          </w:p>
        </w:tc>
        <w:tc>
          <w:tcPr>
            <w:tcW w:w="846"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kern w:val="2"/>
                <w:sz w:val="21"/>
                <w:szCs w:val="22"/>
                <w:lang w:val="en-US" w:eastAsia="zh-CN" w:bidi="ar-SA"/>
              </w:rPr>
              <w:t>Lenovo</w:t>
            </w:r>
          </w:p>
        </w:tc>
        <w:tc>
          <w:tcPr>
            <w:tcW w:w="63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w:t>
            </w:r>
          </w:p>
        </w:tc>
        <w:tc>
          <w:tcPr>
            <w:tcW w:w="673" w:type="pct"/>
            <w:vAlign w:val="center"/>
          </w:tcPr>
          <w:p>
            <w:pPr>
              <w:pStyle w:val="Normal0"/>
              <w:widowControl w:val="0"/>
              <w:spacing w:line="360" w:lineRule="auto"/>
              <w:ind w:firstLine="105" w:firstLineChars="5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中国</w:t>
            </w:r>
          </w:p>
        </w:tc>
        <w:tc>
          <w:tcPr>
            <w:tcW w:w="675"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20</w:t>
            </w:r>
            <w:r>
              <w:rPr>
                <w:rFonts w:ascii="宋体" w:eastAsia="宋体" w:hAnsi="宋体" w:cs="Times New Roman"/>
                <w:kern w:val="2"/>
                <w:sz w:val="21"/>
                <w:szCs w:val="22"/>
                <w:lang w:val="en-US" w:eastAsia="zh-CN" w:bidi="ar-SA"/>
              </w:rPr>
              <w:t>13</w:t>
            </w:r>
          </w:p>
        </w:tc>
        <w:tc>
          <w:tcPr>
            <w:tcW w:w="674" w:type="pct"/>
            <w:vAlign w:val="center"/>
          </w:tcPr>
          <w:p>
            <w:pPr>
              <w:pStyle w:val="Normal0"/>
              <w:widowControl w:val="0"/>
              <w:spacing w:line="360" w:lineRule="auto"/>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15"/>
          <w:jc w:val="center"/>
        </w:trPr>
        <w:tc>
          <w:tcPr>
            <w:tcW w:w="44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6</w:t>
            </w:r>
          </w:p>
        </w:tc>
        <w:tc>
          <w:tcPr>
            <w:tcW w:w="1048"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打印机</w:t>
            </w:r>
          </w:p>
        </w:tc>
        <w:tc>
          <w:tcPr>
            <w:tcW w:w="846"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kern w:val="2"/>
                <w:sz w:val="21"/>
                <w:szCs w:val="22"/>
                <w:lang w:val="en-US" w:eastAsia="zh-CN" w:bidi="ar-SA"/>
              </w:rPr>
              <w:t>Canon</w:t>
            </w:r>
          </w:p>
        </w:tc>
        <w:tc>
          <w:tcPr>
            <w:tcW w:w="63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w:t>
            </w:r>
          </w:p>
        </w:tc>
        <w:tc>
          <w:tcPr>
            <w:tcW w:w="673" w:type="pct"/>
            <w:vAlign w:val="center"/>
          </w:tcPr>
          <w:p>
            <w:pPr>
              <w:pStyle w:val="Normal0"/>
              <w:widowControl w:val="0"/>
              <w:spacing w:line="360" w:lineRule="auto"/>
              <w:ind w:firstLine="105" w:firstLineChars="5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中国</w:t>
            </w:r>
          </w:p>
        </w:tc>
        <w:tc>
          <w:tcPr>
            <w:tcW w:w="675"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20</w:t>
            </w:r>
            <w:r>
              <w:rPr>
                <w:rFonts w:ascii="宋体" w:eastAsia="宋体" w:hAnsi="宋体" w:cs="Times New Roman"/>
                <w:kern w:val="2"/>
                <w:sz w:val="21"/>
                <w:szCs w:val="22"/>
                <w:lang w:val="en-US" w:eastAsia="zh-CN" w:bidi="ar-SA"/>
              </w:rPr>
              <w:t>10</w:t>
            </w:r>
          </w:p>
        </w:tc>
        <w:tc>
          <w:tcPr>
            <w:tcW w:w="674" w:type="pct"/>
            <w:vAlign w:val="center"/>
          </w:tcPr>
          <w:p>
            <w:pPr>
              <w:pStyle w:val="Normal0"/>
              <w:widowControl w:val="0"/>
              <w:spacing w:line="360" w:lineRule="auto"/>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15"/>
          <w:jc w:val="center"/>
        </w:trPr>
        <w:tc>
          <w:tcPr>
            <w:tcW w:w="44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7</w:t>
            </w:r>
          </w:p>
        </w:tc>
        <w:tc>
          <w:tcPr>
            <w:tcW w:w="1048" w:type="pct"/>
            <w:vAlign w:val="center"/>
          </w:tcPr>
          <w:p>
            <w:pPr>
              <w:pStyle w:val="Normal0"/>
              <w:widowControl w:val="0"/>
              <w:spacing w:line="360" w:lineRule="auto"/>
              <w:ind w:firstLine="174" w:firstLineChars="83"/>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手机</w:t>
            </w:r>
          </w:p>
        </w:tc>
        <w:tc>
          <w:tcPr>
            <w:tcW w:w="846" w:type="pct"/>
            <w:vAlign w:val="center"/>
          </w:tcPr>
          <w:p>
            <w:pPr>
              <w:pStyle w:val="Normal0"/>
              <w:widowControl w:val="0"/>
              <w:spacing w:line="360" w:lineRule="auto"/>
              <w:jc w:val="both"/>
              <w:rPr>
                <w:rFonts w:ascii="宋体" w:hAnsi="宋体" w:cs="Times New Roman"/>
                <w:sz w:val="24"/>
                <w:szCs w:val="24"/>
              </w:rPr>
            </w:pPr>
            <w:r>
              <w:rPr>
                <w:rFonts w:ascii="宋体" w:eastAsia="宋体" w:hAnsi="宋体" w:cs="Times New Roman" w:hint="eastAsia"/>
                <w:kern w:val="2"/>
                <w:sz w:val="21"/>
                <w:szCs w:val="22"/>
                <w:lang w:val="en-US" w:eastAsia="zh-CN" w:bidi="ar-SA"/>
              </w:rPr>
              <w:t>移动、联通</w:t>
            </w:r>
          </w:p>
        </w:tc>
        <w:tc>
          <w:tcPr>
            <w:tcW w:w="637" w:type="pct"/>
            <w:vAlign w:val="center"/>
          </w:tcPr>
          <w:p>
            <w:pPr>
              <w:pStyle w:val="Normal0"/>
              <w:widowControl w:val="0"/>
              <w:spacing w:line="360" w:lineRule="auto"/>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6</w:t>
            </w:r>
          </w:p>
        </w:tc>
        <w:tc>
          <w:tcPr>
            <w:tcW w:w="673" w:type="pct"/>
            <w:vAlign w:val="center"/>
          </w:tcPr>
          <w:p>
            <w:pPr>
              <w:pStyle w:val="Normal0"/>
              <w:widowControl w:val="0"/>
              <w:spacing w:line="360" w:lineRule="auto"/>
              <w:ind w:firstLine="480" w:firstLineChars="200"/>
              <w:jc w:val="center"/>
              <w:rPr>
                <w:rFonts w:ascii="宋体" w:hAnsi="宋体" w:cs="Times New Roman"/>
                <w:sz w:val="24"/>
                <w:szCs w:val="24"/>
              </w:rPr>
            </w:pPr>
          </w:p>
        </w:tc>
        <w:tc>
          <w:tcPr>
            <w:tcW w:w="675" w:type="pct"/>
            <w:vAlign w:val="center"/>
          </w:tcPr>
          <w:p>
            <w:pPr>
              <w:pStyle w:val="Normal0"/>
              <w:widowControl w:val="0"/>
              <w:spacing w:line="360" w:lineRule="auto"/>
              <w:ind w:firstLine="480" w:firstLineChars="200"/>
              <w:jc w:val="center"/>
              <w:rPr>
                <w:rFonts w:ascii="宋体" w:hAnsi="宋体" w:cs="Times New Roman"/>
                <w:sz w:val="24"/>
                <w:szCs w:val="24"/>
              </w:rPr>
            </w:pPr>
          </w:p>
        </w:tc>
        <w:tc>
          <w:tcPr>
            <w:tcW w:w="674" w:type="pct"/>
            <w:vAlign w:val="center"/>
          </w:tcPr>
          <w:p>
            <w:pPr>
              <w:pStyle w:val="Normal0"/>
              <w:widowControl w:val="0"/>
              <w:spacing w:line="360" w:lineRule="auto"/>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20"/>
          <w:jc w:val="center"/>
        </w:trPr>
        <w:tc>
          <w:tcPr>
            <w:tcW w:w="447" w:type="pct"/>
            <w:vAlign w:val="center"/>
          </w:tcPr>
          <w:p>
            <w:pPr>
              <w:pStyle w:val="Normal0"/>
              <w:widowControl w:val="0"/>
              <w:spacing w:line="240" w:lineRule="exact"/>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8</w:t>
            </w:r>
          </w:p>
        </w:tc>
        <w:tc>
          <w:tcPr>
            <w:tcW w:w="1048" w:type="pct"/>
            <w:vAlign w:val="center"/>
          </w:tcPr>
          <w:p>
            <w:pPr>
              <w:pStyle w:val="Normal0"/>
              <w:widowControl w:val="0"/>
              <w:spacing w:line="240" w:lineRule="exact"/>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对讲机</w:t>
            </w:r>
          </w:p>
        </w:tc>
        <w:tc>
          <w:tcPr>
            <w:tcW w:w="846" w:type="pct"/>
            <w:vAlign w:val="center"/>
          </w:tcPr>
          <w:p>
            <w:pPr>
              <w:pStyle w:val="Normal0"/>
              <w:widowControl w:val="0"/>
              <w:spacing w:line="240" w:lineRule="exact"/>
              <w:jc w:val="both"/>
              <w:rPr>
                <w:rFonts w:ascii="宋体" w:hAnsi="宋体" w:cs="Times New Roman"/>
                <w:sz w:val="24"/>
                <w:szCs w:val="24"/>
              </w:rPr>
            </w:pPr>
            <w:r>
              <w:rPr>
                <w:rFonts w:ascii="宋体" w:eastAsia="宋体" w:hAnsi="宋体" w:cs="Times New Roman" w:hint="eastAsia"/>
                <w:kern w:val="2"/>
                <w:sz w:val="21"/>
                <w:szCs w:val="22"/>
                <w:lang w:val="en-US" w:eastAsia="zh-CN" w:bidi="ar-SA"/>
              </w:rPr>
              <w:t>九伯通网络型</w:t>
            </w:r>
          </w:p>
        </w:tc>
        <w:tc>
          <w:tcPr>
            <w:tcW w:w="637" w:type="pct"/>
            <w:vAlign w:val="center"/>
          </w:tcPr>
          <w:p>
            <w:pPr>
              <w:pStyle w:val="Normal0"/>
              <w:widowControl w:val="0"/>
              <w:spacing w:line="240" w:lineRule="exact"/>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5</w:t>
            </w:r>
          </w:p>
        </w:tc>
        <w:tc>
          <w:tcPr>
            <w:tcW w:w="673" w:type="pct"/>
            <w:vAlign w:val="center"/>
          </w:tcPr>
          <w:p>
            <w:pPr>
              <w:pStyle w:val="Normal0"/>
              <w:widowControl w:val="0"/>
              <w:spacing w:line="240" w:lineRule="exact"/>
              <w:ind w:firstLine="240" w:firstLineChars="100"/>
              <w:jc w:val="both"/>
              <w:rPr>
                <w:rFonts w:ascii="宋体" w:hAnsi="宋体" w:cs="Times New Roman"/>
                <w:sz w:val="24"/>
                <w:szCs w:val="24"/>
              </w:rPr>
            </w:pPr>
            <w:r>
              <w:rPr>
                <w:rFonts w:ascii="宋体" w:eastAsia="宋体" w:hAnsi="宋体" w:cs="Times New Roman" w:hint="eastAsia"/>
                <w:kern w:val="2"/>
                <w:sz w:val="24"/>
                <w:szCs w:val="24"/>
                <w:lang w:val="en-US" w:eastAsia="zh-CN" w:bidi="ar-SA"/>
              </w:rPr>
              <w:t>中国</w:t>
            </w:r>
          </w:p>
        </w:tc>
        <w:tc>
          <w:tcPr>
            <w:tcW w:w="675" w:type="pct"/>
            <w:vAlign w:val="center"/>
          </w:tcPr>
          <w:p>
            <w:pPr>
              <w:pStyle w:val="Normal0"/>
              <w:widowControl w:val="0"/>
              <w:spacing w:line="360" w:lineRule="auto"/>
              <w:jc w:val="center"/>
              <w:rPr>
                <w:rFonts w:ascii="宋体" w:hAnsi="宋体" w:cs="Times New Roman"/>
              </w:rPr>
            </w:pPr>
            <w:r>
              <w:rPr>
                <w:rFonts w:ascii="宋体" w:eastAsia="宋体" w:hAnsi="宋体" w:cs="Times New Roman" w:hint="eastAsia"/>
                <w:kern w:val="2"/>
                <w:sz w:val="21"/>
                <w:szCs w:val="22"/>
                <w:lang w:val="en-US" w:eastAsia="zh-CN" w:bidi="ar-SA"/>
              </w:rPr>
              <w:t>2013</w:t>
            </w:r>
          </w:p>
        </w:tc>
        <w:tc>
          <w:tcPr>
            <w:tcW w:w="674" w:type="pct"/>
            <w:vAlign w:val="center"/>
          </w:tcPr>
          <w:p>
            <w:pPr>
              <w:pStyle w:val="Normal0"/>
              <w:widowControl w:val="0"/>
              <w:spacing w:line="240" w:lineRule="exact"/>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20"/>
          <w:jc w:val="center"/>
        </w:trPr>
        <w:tc>
          <w:tcPr>
            <w:tcW w:w="447" w:type="pct"/>
            <w:vAlign w:val="center"/>
          </w:tcPr>
          <w:p>
            <w:pPr>
              <w:pStyle w:val="Normal0"/>
              <w:widowControl w:val="0"/>
              <w:spacing w:line="240" w:lineRule="exact"/>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9</w:t>
            </w:r>
          </w:p>
        </w:tc>
        <w:tc>
          <w:tcPr>
            <w:tcW w:w="1048" w:type="pct"/>
            <w:vAlign w:val="center"/>
          </w:tcPr>
          <w:p>
            <w:pPr>
              <w:pStyle w:val="Normal0"/>
              <w:widowControl w:val="0"/>
              <w:spacing w:line="240" w:lineRule="exact"/>
              <w:ind w:firstLine="105" w:firstLineChars="50"/>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照相机</w:t>
            </w:r>
          </w:p>
        </w:tc>
        <w:tc>
          <w:tcPr>
            <w:tcW w:w="846" w:type="pct"/>
            <w:vAlign w:val="center"/>
          </w:tcPr>
          <w:p>
            <w:pPr>
              <w:pStyle w:val="Normal0"/>
              <w:widowControl w:val="0"/>
              <w:spacing w:line="240" w:lineRule="exact"/>
              <w:jc w:val="both"/>
              <w:rPr>
                <w:rFonts w:ascii="宋体" w:hAnsi="宋体" w:cs="Times New Roman"/>
                <w:sz w:val="24"/>
                <w:szCs w:val="24"/>
              </w:rPr>
            </w:pPr>
            <w:r>
              <w:rPr>
                <w:rFonts w:ascii="宋体" w:eastAsia="宋体" w:hAnsi="宋体" w:cs="Times New Roman" w:hint="eastAsia"/>
                <w:kern w:val="2"/>
                <w:sz w:val="21"/>
                <w:szCs w:val="22"/>
                <w:lang w:val="en-US" w:eastAsia="zh-CN" w:bidi="ar-SA"/>
              </w:rPr>
              <w:t>卡西欧</w:t>
            </w:r>
          </w:p>
        </w:tc>
        <w:tc>
          <w:tcPr>
            <w:tcW w:w="637" w:type="pct"/>
            <w:vAlign w:val="center"/>
          </w:tcPr>
          <w:p>
            <w:pPr>
              <w:pStyle w:val="Normal0"/>
              <w:widowControl w:val="0"/>
              <w:spacing w:line="240" w:lineRule="exact"/>
              <w:ind w:right="480"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w:t>
            </w:r>
          </w:p>
        </w:tc>
        <w:tc>
          <w:tcPr>
            <w:tcW w:w="673" w:type="pct"/>
            <w:vAlign w:val="center"/>
          </w:tcPr>
          <w:p>
            <w:pPr>
              <w:pStyle w:val="Normal0"/>
              <w:widowControl w:val="0"/>
              <w:spacing w:line="240" w:lineRule="exact"/>
              <w:ind w:firstLine="210" w:firstLineChars="10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日本</w:t>
            </w:r>
          </w:p>
        </w:tc>
        <w:tc>
          <w:tcPr>
            <w:tcW w:w="675" w:type="pct"/>
            <w:vAlign w:val="center"/>
          </w:tcPr>
          <w:p>
            <w:pPr>
              <w:pStyle w:val="Normal0"/>
              <w:widowControl w:val="0"/>
              <w:spacing w:line="360" w:lineRule="auto"/>
              <w:jc w:val="center"/>
              <w:rPr>
                <w:rFonts w:ascii="宋体" w:hAnsi="宋体" w:cs="Times New Roman"/>
              </w:rPr>
            </w:pPr>
            <w:r>
              <w:rPr>
                <w:rFonts w:ascii="宋体" w:eastAsia="宋体" w:hAnsi="宋体" w:cs="Times New Roman" w:hint="eastAsia"/>
                <w:kern w:val="2"/>
                <w:sz w:val="21"/>
                <w:szCs w:val="22"/>
                <w:lang w:val="en-US" w:eastAsia="zh-CN" w:bidi="ar-SA"/>
              </w:rPr>
              <w:t>2013</w:t>
            </w:r>
          </w:p>
        </w:tc>
        <w:tc>
          <w:tcPr>
            <w:tcW w:w="674" w:type="pct"/>
            <w:vAlign w:val="center"/>
          </w:tcPr>
          <w:p>
            <w:pPr>
              <w:pStyle w:val="Normal0"/>
              <w:widowControl w:val="0"/>
              <w:spacing w:line="240" w:lineRule="exact"/>
              <w:ind w:firstLine="480" w:firstLineChars="200"/>
              <w:jc w:val="center"/>
              <w:rPr>
                <w:rFonts w:ascii="宋体" w:hAnsi="宋体" w:cs="Times New Roman"/>
                <w:sz w:val="24"/>
                <w:szCs w:val="24"/>
              </w:rPr>
            </w:pPr>
          </w:p>
        </w:tc>
      </w:tr>
      <w:tr>
        <w:tblPrEx>
          <w:tblW w:w="5000" w:type="pct"/>
          <w:jc w:val="center"/>
          <w:tblCellMar>
            <w:top w:w="0" w:type="dxa"/>
            <w:left w:w="108" w:type="dxa"/>
            <w:bottom w:w="0" w:type="dxa"/>
            <w:right w:w="108" w:type="dxa"/>
          </w:tblCellMar>
        </w:tblPrEx>
        <w:trPr>
          <w:trHeight w:val="621"/>
          <w:jc w:val="center"/>
        </w:trPr>
        <w:tc>
          <w:tcPr>
            <w:tcW w:w="447" w:type="pct"/>
            <w:vAlign w:val="center"/>
          </w:tcPr>
          <w:p>
            <w:pPr>
              <w:pStyle w:val="Normal0"/>
              <w:widowControl w:val="0"/>
              <w:spacing w:line="240" w:lineRule="exact"/>
              <w:ind w:firstLine="105" w:firstLineChars="5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10</w:t>
            </w:r>
          </w:p>
        </w:tc>
        <w:tc>
          <w:tcPr>
            <w:tcW w:w="1048" w:type="pct"/>
            <w:vAlign w:val="center"/>
          </w:tcPr>
          <w:p>
            <w:pPr>
              <w:pStyle w:val="Normal0"/>
              <w:widowControl w:val="0"/>
              <w:spacing w:line="240" w:lineRule="exact"/>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温度计</w:t>
            </w:r>
          </w:p>
        </w:tc>
        <w:tc>
          <w:tcPr>
            <w:tcW w:w="846" w:type="pct"/>
            <w:vAlign w:val="center"/>
          </w:tcPr>
          <w:p>
            <w:pPr>
              <w:pStyle w:val="Normal0"/>
              <w:widowControl w:val="0"/>
              <w:spacing w:line="240" w:lineRule="exact"/>
              <w:jc w:val="both"/>
              <w:rPr>
                <w:rFonts w:ascii="宋体" w:hAnsi="宋体" w:cs="Times New Roman"/>
                <w:sz w:val="24"/>
                <w:szCs w:val="24"/>
              </w:rPr>
            </w:pPr>
          </w:p>
        </w:tc>
        <w:tc>
          <w:tcPr>
            <w:tcW w:w="637" w:type="pct"/>
            <w:vAlign w:val="center"/>
          </w:tcPr>
          <w:p>
            <w:pPr>
              <w:pStyle w:val="Normal0"/>
              <w:widowControl w:val="0"/>
              <w:spacing w:line="240" w:lineRule="exact"/>
              <w:ind w:firstLine="210" w:firstLineChars="100"/>
              <w:jc w:val="both"/>
              <w:rPr>
                <w:rFonts w:ascii="宋体" w:hAnsi="宋体" w:cs="Times New Roman"/>
                <w:sz w:val="24"/>
                <w:szCs w:val="24"/>
              </w:rPr>
            </w:pPr>
            <w:r>
              <w:rPr>
                <w:rFonts w:ascii="宋体" w:eastAsia="宋体" w:hAnsi="宋体" w:cs="Times New Roman" w:hint="eastAsia"/>
                <w:kern w:val="2"/>
                <w:sz w:val="21"/>
                <w:szCs w:val="22"/>
                <w:lang w:val="en-US" w:eastAsia="zh-CN" w:bidi="ar-SA"/>
              </w:rPr>
              <w:t>10</w:t>
            </w:r>
          </w:p>
        </w:tc>
        <w:tc>
          <w:tcPr>
            <w:tcW w:w="673" w:type="pct"/>
            <w:vAlign w:val="center"/>
          </w:tcPr>
          <w:p>
            <w:pPr>
              <w:pStyle w:val="Normal0"/>
              <w:widowControl w:val="0"/>
              <w:spacing w:line="240" w:lineRule="exact"/>
              <w:ind w:firstLine="174" w:firstLineChars="83"/>
              <w:jc w:val="both"/>
              <w:rPr>
                <w:rFonts w:ascii="宋体" w:hAnsi="宋体" w:cs="Times New Roman"/>
                <w:sz w:val="24"/>
                <w:szCs w:val="24"/>
              </w:rPr>
            </w:pPr>
            <w:r>
              <w:rPr>
                <w:rFonts w:ascii="宋体" w:eastAsia="宋体" w:hAnsi="宋体" w:cs="Times New Roman" w:hint="eastAsia"/>
                <w:kern w:val="2"/>
                <w:sz w:val="21"/>
                <w:szCs w:val="22"/>
                <w:lang w:val="en-US" w:eastAsia="zh-CN" w:bidi="ar-SA"/>
              </w:rPr>
              <w:t>中国</w:t>
            </w:r>
          </w:p>
        </w:tc>
        <w:tc>
          <w:tcPr>
            <w:tcW w:w="675" w:type="pct"/>
            <w:vAlign w:val="center"/>
          </w:tcPr>
          <w:p>
            <w:pPr>
              <w:pStyle w:val="Normal0"/>
              <w:widowControl w:val="0"/>
              <w:spacing w:line="360" w:lineRule="auto"/>
              <w:jc w:val="center"/>
              <w:rPr>
                <w:rFonts w:ascii="宋体" w:hAnsi="宋体" w:cs="Times New Roman"/>
                <w:sz w:val="24"/>
                <w:szCs w:val="24"/>
              </w:rPr>
            </w:pPr>
            <w:r>
              <w:rPr>
                <w:rFonts w:ascii="宋体" w:eastAsia="宋体" w:hAnsi="宋体" w:cs="Times New Roman" w:hint="eastAsia"/>
                <w:kern w:val="2"/>
                <w:sz w:val="21"/>
                <w:szCs w:val="22"/>
                <w:lang w:val="en-US" w:eastAsia="zh-CN" w:bidi="ar-SA"/>
              </w:rPr>
              <w:t>201</w:t>
            </w:r>
            <w:r>
              <w:rPr>
                <w:rFonts w:ascii="宋体" w:eastAsia="宋体" w:hAnsi="宋体" w:cs="Times New Roman"/>
                <w:kern w:val="2"/>
                <w:sz w:val="21"/>
                <w:szCs w:val="22"/>
                <w:lang w:val="en-US" w:eastAsia="zh-CN" w:bidi="ar-SA"/>
              </w:rPr>
              <w:t>4</w:t>
            </w:r>
          </w:p>
        </w:tc>
        <w:tc>
          <w:tcPr>
            <w:tcW w:w="674" w:type="pct"/>
            <w:vAlign w:val="center"/>
          </w:tcPr>
          <w:p>
            <w:pPr>
              <w:pStyle w:val="Normal0"/>
              <w:widowControl w:val="0"/>
              <w:spacing w:line="240" w:lineRule="exact"/>
              <w:ind w:firstLine="199" w:firstLineChars="83"/>
              <w:jc w:val="both"/>
              <w:rPr>
                <w:rFonts w:ascii="宋体" w:hAnsi="宋体" w:cs="Times New Roman"/>
                <w:sz w:val="24"/>
                <w:szCs w:val="24"/>
              </w:rPr>
            </w:pPr>
          </w:p>
        </w:tc>
      </w:tr>
    </w:tbl>
    <w:p>
      <w:pPr>
        <w:pStyle w:val="Normal0"/>
        <w:rPr>
          <w:rFonts w:ascii="宋体" w:hAnsi="宋体"/>
        </w:rPr>
        <w:sectPr>
          <w:headerReference w:type="default" r:id="rId67"/>
          <w:footerReference w:type="default" r:id="rId68"/>
          <w:type w:val="nextPage"/>
          <w:pgSz w:w="11906" w:h="16838"/>
          <w:pgMar w:top="1440" w:right="1701" w:bottom="1440" w:left="1701" w:header="850" w:footer="992" w:gutter="0"/>
          <w:pgNumType w:start="29"/>
          <w:cols w:num="1" w:space="425"/>
          <w:titlePg w:val="0"/>
          <w:docGrid w:type="lines" w:linePitch="312" w:charSpace="0"/>
        </w:sectPr>
      </w:pPr>
    </w:p>
    <w:p>
      <w:pPr>
        <w:pStyle w:val="BZ1"/>
        <w:jc w:val="center"/>
        <w:rPr>
          <w:rFonts w:eastAsia="宋体"/>
        </w:rPr>
      </w:pPr>
      <w:bookmarkStart w:id="237" w:name="_Toc491077903"/>
      <w:r>
        <w:rPr>
          <w:rFonts w:ascii="宋体" w:eastAsia="宋体" w:hAnsi="宋体" w:hint="eastAsia"/>
        </w:rPr>
        <w:t>主要施工</w:t>
      </w:r>
      <w:r>
        <w:rPr>
          <w:rFonts w:hint="eastAsia"/>
          <w:lang w:eastAsia="zh-CN"/>
        </w:rPr>
        <w:t>合适的方案</w:t>
      </w:r>
      <w:r>
        <w:rPr>
          <w:rFonts w:ascii="宋体" w:eastAsia="宋体" w:hAnsi="宋体" w:hint="eastAsia"/>
        </w:rPr>
        <w:t>及技术措施</w:t>
      </w:r>
      <w:bookmarkEnd w:id="237"/>
    </w:p>
    <w:p>
      <w:pPr>
        <w:pStyle w:val="BZ2"/>
        <w:rPr>
          <w:rFonts w:ascii="宋体" w:eastAsia="宋体" w:hAnsi="宋体"/>
        </w:rPr>
      </w:pPr>
      <w:bookmarkStart w:id="238" w:name="_Toc491077904"/>
      <w:r>
        <w:rPr>
          <w:rFonts w:ascii="宋体" w:eastAsia="宋体" w:hAnsi="宋体" w:hint="eastAsia"/>
        </w:rPr>
        <w:t>测量放线</w:t>
      </w:r>
      <w:bookmarkEnd w:id="238"/>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一、建立轴线控制网和水准基点</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进场后，根据定位控制点，遵循“从整体到局部”的原则，建立基准轴线控制网。设置时满足稳定、可靠和通视三个要素。根据建设单位提供的水准基点和城市坐标控制点，采用往返水准或闭合水准测量，在受施工环境影响较小且便于观测的地方，引测若干个施工基准水准点。做好轴线控制点和水准控制点的保护工作。基础完成后，对控制点进行一次复核。对易产生移位的控制点，使用前应进行校核。</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二、轴线及标高测量</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(一)．±0．000下标高、轴线测设</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1．根据水准基点引测建筑物的±0．000 基准点，即黄海高程，并把该标高弓l 测到建筑物四周的控制桩上，且做好保护措施。</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2．基坑开挖过程中，距基坑底25OMM 标高处，用水准仪抄水平线，用Φ1 0圆钢作标签钉在基坑四角上，以便控制基坑挖土标高。</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3．基坑修整后，用中10 圆钢在基底精确标定出基础垫层标高，并经水准仪闭合。</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4．垫层浇好后，用上述方法定出底标高。</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5 基础施工时，通过基准轴线控制网，采用平面坐标测量法测量轴线。轴线投测完毕后，互相之间进行校核，对出现的偏差及时进行纠正。</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(二)．±O．000 以上标高、轴线测设</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1．将复测在龙门桩上的±0．000 标高引测到底层墙、柱上，在距±0．000点1M 高处设标高线，该线用墨斗在建筑物四周弹出。</w:t>
      </w:r>
    </w:p>
    <w:p>
      <w:pPr>
        <w:pStyle w:val="Normal0"/>
        <w:widowControl/>
        <w:suppressAutoHyphens/>
        <w:spacing w:before="240" w:line="300" w:lineRule="auto"/>
        <w:ind w:firstLine="480" w:firstLineChars="200"/>
        <w:rPr>
          <w:rFonts w:ascii="宋体" w:hAnsi="宋体"/>
          <w:color w:val="000000"/>
          <w:kern w:val="10"/>
          <w:sz w:val="24"/>
        </w:rPr>
        <w:sectPr>
          <w:headerReference w:type="default" r:id="rId69"/>
          <w:footerReference w:type="default" r:id="rId70"/>
          <w:pgSz w:w="11906" w:h="16838"/>
          <w:pgMar w:top="1440" w:right="1701" w:bottom="1440" w:left="1701" w:header="850" w:footer="992" w:gutter="0"/>
          <w:pgNumType w:start="30"/>
          <w:cols w:num="1" w:space="425"/>
          <w:docGrid w:type="lines" w:linePitch="312" w:charSpace="0"/>
        </w:sectPr>
      </w:pPr>
      <w:r>
        <w:rPr>
          <w:rFonts w:ascii="宋体" w:eastAsia="宋体" w:hAnsi="宋体" w:hint="eastAsia"/>
          <w:color w:val="000000"/>
          <w:kern w:val="10"/>
          <w:sz w:val="24"/>
        </w:rPr>
        <w:t>2．用钢卷尺沿垂直方向向上量至施工层，并划出正米数的水平线，各层的标高线都应以起始标高线为准，在轴线部位附近沿直线量取楼层标高。</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3．引测到施工层的标高误差控制在±5MM 以内，层问竖向测量偏差不超过+3MM，建筑物全高的竖向测量偏差不超过±10MM。</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4．上部结构施工时，使用全站仪进行测量，弹十字轴线，确认无误后，弹出各部位轴线。轴线投测完毕后，进行互相之间的校核。</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三、测量控制措施</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 xml:space="preserve">1．每天作业平面放好样后，测定标高，必须经施工队施工员复核，然后由项例’相关人员会同监理部门复核无误后，方可进入下道工序施工。 </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2．各作业面测量工作前，必须做好书面技术交底工作。</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3．各作业面测量作业完成并经审核无误后，及时做好资料签证工作，及时收集整理归档。</w:t>
      </w:r>
    </w:p>
    <w:p>
      <w:pPr>
        <w:pStyle w:val="BZ2"/>
        <w:rPr>
          <w:rFonts w:ascii="宋体" w:eastAsia="宋体" w:hAnsi="宋体"/>
        </w:rPr>
      </w:pPr>
      <w:bookmarkStart w:id="239" w:name="_Toc491077905"/>
      <w:r>
        <w:rPr>
          <w:rFonts w:ascii="宋体" w:eastAsia="宋体" w:hAnsi="宋体" w:hint="eastAsia"/>
        </w:rPr>
        <w:t>拆除工程</w:t>
      </w:r>
      <w:bookmarkEnd w:id="239"/>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1、 施工队伍进场后，应由</w:t>
      </w:r>
      <w:r>
        <w:rPr>
          <w:rFonts w:ascii="宋体" w:hAnsi="宋体" w:hint="eastAsia"/>
          <w:color w:val="000000"/>
          <w:kern w:val="10"/>
          <w:sz w:val="24"/>
          <w:lang w:eastAsia="zh-CN"/>
        </w:rPr>
        <w:t>相关项目</w:t>
      </w:r>
      <w:r>
        <w:rPr>
          <w:rFonts w:ascii="宋体" w:eastAsia="宋体" w:hAnsi="宋体" w:hint="eastAsia"/>
          <w:color w:val="000000"/>
          <w:kern w:val="10"/>
          <w:sz w:val="24"/>
        </w:rPr>
        <w:t xml:space="preserve">部实行分级安全技术交底制度，增强作业工人的安全操作意识，明确防噪声、防扬尘的要求，落实安全防护设施，确保施工安全。 </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2、 拆除作业应由上而下进行。</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3、 水电管线、电气设备及卫生洁具的拆除工作应由专业水电工人负责完成。施工前，由</w:t>
      </w:r>
      <w:r>
        <w:rPr>
          <w:rFonts w:ascii="宋体" w:hAnsi="宋体" w:hint="eastAsia"/>
          <w:color w:val="000000"/>
          <w:kern w:val="10"/>
          <w:sz w:val="24"/>
          <w:lang w:eastAsia="zh-CN"/>
        </w:rPr>
        <w:t>相关项目</w:t>
      </w:r>
      <w:r>
        <w:rPr>
          <w:rFonts w:ascii="宋体" w:eastAsia="宋体" w:hAnsi="宋体" w:hint="eastAsia"/>
          <w:color w:val="000000"/>
          <w:kern w:val="10"/>
          <w:sz w:val="24"/>
        </w:rPr>
        <w:t>部安全员与大厦物业</w:t>
      </w:r>
      <w:r>
        <w:rPr>
          <w:rFonts w:ascii="宋体" w:hAnsi="宋体" w:hint="eastAsia"/>
          <w:color w:val="000000"/>
          <w:kern w:val="10"/>
          <w:sz w:val="24"/>
          <w:lang w:eastAsia="zh-CN"/>
        </w:rPr>
        <w:t>管理管控</w:t>
      </w:r>
      <w:r>
        <w:rPr>
          <w:rFonts w:ascii="宋体" w:eastAsia="宋体" w:hAnsi="宋体" w:hint="eastAsia"/>
          <w:color w:val="000000"/>
          <w:kern w:val="10"/>
          <w:sz w:val="24"/>
        </w:rPr>
        <w:t>部门办妥施工楼层停电、停水的手续，施工照明采用低压灯，确保安全用电。</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 xml:space="preserve">4、 混凝土拆除使用风镐作业，对结构有影响的施工应先采取加固措施。 </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 xml:space="preserve">5、 拆除作业严禁野蛮施工，防止发生工伤事故和对原有结构安全造成影响的事故。 </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 xml:space="preserve">6、 对地面铺装、墙面等扬尘物的拆除时，应采取洒水吸尘的措施，防止扬尘。 </w:t>
      </w:r>
    </w:p>
    <w:p>
      <w:pPr>
        <w:pStyle w:val="Normal0"/>
        <w:widowControl/>
        <w:suppressAutoHyphens/>
        <w:spacing w:before="240" w:line="300" w:lineRule="auto"/>
        <w:ind w:firstLine="480" w:firstLineChars="200"/>
        <w:rPr>
          <w:rFonts w:ascii="宋体" w:hAnsi="宋体"/>
          <w:color w:val="000000"/>
          <w:kern w:val="10"/>
          <w:sz w:val="24"/>
        </w:rPr>
        <w:sectPr>
          <w:headerReference w:type="default" r:id="rId71"/>
          <w:footerReference w:type="default" r:id="rId72"/>
          <w:type w:val="nextPage"/>
          <w:pgSz w:w="11906" w:h="16838"/>
          <w:pgMar w:top="1440" w:right="1701" w:bottom="1440" w:left="1701" w:header="850" w:footer="992" w:gutter="0"/>
          <w:pgNumType w:start="31"/>
          <w:cols w:num="1" w:space="425"/>
          <w:titlePg w:val="0"/>
          <w:docGrid w:type="lines" w:linePitch="312" w:charSpace="0"/>
        </w:sectPr>
      </w:pPr>
      <w:r>
        <w:rPr>
          <w:rFonts w:ascii="宋体" w:eastAsia="宋体" w:hAnsi="宋体" w:hint="eastAsia"/>
          <w:color w:val="000000"/>
          <w:kern w:val="10"/>
          <w:sz w:val="24"/>
        </w:rPr>
        <w:t xml:space="preserve">7、 拆除过程中的建筑垃圾应及时清理，不得随意堆放，应集中堆放在业主指定的场所。 </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8、 渣土垃圾外运必须到建筑渣土办公室办理相关手续，运输渣土垃圾的车辆要有盖板，持证运输，保证不偷倒、不乱倒，对灰尘比较大的应先在车上洒水，运至渣土办指定的地方。</w:t>
      </w:r>
    </w:p>
    <w:p>
      <w:pPr>
        <w:pStyle w:val="BZ2"/>
        <w:rPr>
          <w:rFonts w:ascii="宋体" w:eastAsia="宋体" w:hAnsi="宋体"/>
        </w:rPr>
      </w:pPr>
      <w:bookmarkStart w:id="240" w:name="_Toc491077906"/>
      <w:r>
        <w:rPr>
          <w:rFonts w:ascii="宋体" w:eastAsia="宋体" w:hAnsi="宋体" w:hint="eastAsia"/>
        </w:rPr>
        <w:t>土方工程</w:t>
      </w:r>
      <w:bookmarkEnd w:id="240"/>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一、土方挖运施工</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1、根据土质情况及现场条件，土方开挖采取人工挖土，</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2、</w:t>
      </w:r>
      <w:r>
        <w:rPr>
          <w:rFonts w:ascii="宋体" w:eastAsia="宋体" w:hAnsi="宋体" w:hint="eastAsia"/>
          <w:color w:val="000000"/>
          <w:kern w:val="10"/>
          <w:sz w:val="24"/>
        </w:rPr>
        <w:t>运土车辆车斗为全封闭式，白天可以正常施工。</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3、</w:t>
      </w:r>
      <w:r>
        <w:rPr>
          <w:rFonts w:ascii="宋体" w:eastAsia="宋体" w:hAnsi="宋体" w:hint="eastAsia"/>
          <w:color w:val="000000"/>
          <w:kern w:val="10"/>
          <w:sz w:val="24"/>
        </w:rPr>
        <w:t>机械挖土时，要严格按测量人员所撒灰线挖。按放坡系数控制好，边坡坡度挖至槽底时，按控制标高，不准超挖及扰动基底，在挖土过程中平面位置、标高听从测量员的指挥。测量员要经常校核标高及位置线、边坡坡度。</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4、</w:t>
      </w:r>
      <w:r>
        <w:rPr>
          <w:rFonts w:ascii="宋体" w:eastAsia="宋体" w:hAnsi="宋体" w:hint="eastAsia"/>
          <w:color w:val="000000"/>
          <w:kern w:val="10"/>
          <w:sz w:val="24"/>
        </w:rPr>
        <w:t>人工挖土时严禁碰动测量桩位</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5、</w:t>
      </w:r>
      <w:r>
        <w:rPr>
          <w:rFonts w:ascii="宋体" w:eastAsia="宋体" w:hAnsi="宋体" w:hint="eastAsia"/>
          <w:color w:val="000000"/>
          <w:kern w:val="10"/>
          <w:sz w:val="24"/>
        </w:rPr>
        <w:t>车辆装土要均匀，不撒、不超载。</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6、</w:t>
      </w:r>
      <w:r>
        <w:rPr>
          <w:rFonts w:ascii="宋体" w:eastAsia="宋体" w:hAnsi="宋体" w:hint="eastAsia"/>
          <w:color w:val="000000"/>
          <w:kern w:val="10"/>
          <w:sz w:val="24"/>
        </w:rPr>
        <w:t>强化</w:t>
      </w:r>
      <w:r>
        <w:rPr>
          <w:rFonts w:ascii="宋体" w:hAnsi="宋体" w:hint="eastAsia"/>
          <w:color w:val="000000"/>
          <w:kern w:val="10"/>
          <w:sz w:val="24"/>
          <w:lang w:eastAsia="zh-CN"/>
        </w:rPr>
        <w:t>管理管控</w:t>
      </w:r>
      <w:r>
        <w:rPr>
          <w:rFonts w:ascii="宋体" w:eastAsia="宋体" w:hAnsi="宋体" w:hint="eastAsia"/>
          <w:color w:val="000000"/>
          <w:kern w:val="10"/>
          <w:sz w:val="24"/>
        </w:rPr>
        <w:t>，责任到人。现场设一名专职安全员，装土、倒车安排专人指挥。配合</w:t>
      </w:r>
      <w:r>
        <w:rPr>
          <w:rFonts w:ascii="宋体" w:hAnsi="宋体" w:hint="eastAsia"/>
          <w:color w:val="000000"/>
          <w:kern w:val="10"/>
          <w:sz w:val="24"/>
          <w:lang w:eastAsia="zh-CN"/>
        </w:rPr>
        <w:t>合约甲方</w:t>
      </w:r>
      <w:r>
        <w:rPr>
          <w:rFonts w:ascii="宋体" w:eastAsia="宋体" w:hAnsi="宋体" w:hint="eastAsia"/>
          <w:color w:val="000000"/>
          <w:kern w:val="10"/>
          <w:sz w:val="24"/>
        </w:rPr>
        <w:t>尽可能查明地下障碍物，以防止电缆、管道挖坏。施工中主动配合</w:t>
      </w:r>
      <w:r>
        <w:rPr>
          <w:rFonts w:ascii="宋体" w:hAnsi="宋体" w:hint="eastAsia"/>
          <w:color w:val="000000"/>
          <w:kern w:val="10"/>
          <w:sz w:val="24"/>
          <w:lang w:eastAsia="zh-CN"/>
        </w:rPr>
        <w:t>合约甲方</w:t>
      </w:r>
      <w:r>
        <w:rPr>
          <w:rFonts w:ascii="宋体" w:eastAsia="宋体" w:hAnsi="宋体" w:hint="eastAsia"/>
          <w:color w:val="000000"/>
          <w:kern w:val="10"/>
          <w:sz w:val="24"/>
        </w:rPr>
        <w:t>搞好周边环卫交管部门及居民的关系，减少噪声污染，做到文明施工。</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7、</w:t>
      </w:r>
      <w:r>
        <w:rPr>
          <w:rFonts w:ascii="宋体" w:eastAsia="宋体" w:hAnsi="宋体" w:hint="eastAsia"/>
          <w:color w:val="000000"/>
          <w:kern w:val="10"/>
          <w:sz w:val="24"/>
        </w:rPr>
        <w:t>严格按照北京市道路交通</w:t>
      </w:r>
      <w:r>
        <w:rPr>
          <w:rFonts w:ascii="宋体" w:hAnsi="宋体" w:hint="eastAsia"/>
          <w:color w:val="000000"/>
          <w:kern w:val="10"/>
          <w:sz w:val="24"/>
          <w:lang w:eastAsia="zh-CN"/>
        </w:rPr>
        <w:t>管理管控</w:t>
      </w:r>
      <w:r>
        <w:rPr>
          <w:rFonts w:ascii="宋体" w:eastAsia="宋体" w:hAnsi="宋体" w:hint="eastAsia"/>
          <w:color w:val="000000"/>
          <w:kern w:val="10"/>
          <w:sz w:val="24"/>
        </w:rPr>
        <w:t>规定市机动车驾驶员</w:t>
      </w:r>
      <w:r>
        <w:rPr>
          <w:rFonts w:ascii="宋体" w:hAnsi="宋体" w:hint="eastAsia"/>
          <w:color w:val="000000"/>
          <w:kern w:val="10"/>
          <w:sz w:val="24"/>
          <w:lang w:eastAsia="zh-CN"/>
        </w:rPr>
        <w:t>管理管控</w:t>
      </w:r>
      <w:r>
        <w:rPr>
          <w:rFonts w:ascii="宋体" w:eastAsia="宋体" w:hAnsi="宋体" w:hint="eastAsia"/>
          <w:color w:val="000000"/>
          <w:kern w:val="10"/>
          <w:sz w:val="24"/>
        </w:rPr>
        <w:t>办法要求，开文明车、开安全车，杜绝违章安全责任事故的发生。把不安全因素和损失降低到最低限度。</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8、</w:t>
      </w:r>
      <w:r>
        <w:rPr>
          <w:rFonts w:ascii="宋体" w:eastAsia="宋体" w:hAnsi="宋体" w:hint="eastAsia"/>
          <w:color w:val="000000"/>
          <w:kern w:val="10"/>
          <w:sz w:val="24"/>
        </w:rPr>
        <w:t>严密组织，办理好市容、环卫、渣土消纳、交通各部门的有效证件、手续，保证车辆机械的正常运行。所有车辆必须按规定路线行驶。</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二、回填土</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1</w:t>
      </w:r>
      <w:r>
        <w:rPr>
          <w:rFonts w:ascii="宋体" w:eastAsia="宋体" w:hAnsi="宋体" w:hint="eastAsia"/>
          <w:color w:val="000000"/>
          <w:kern w:val="10"/>
          <w:sz w:val="24"/>
        </w:rPr>
        <w:t>、回填前，应对基层进行检查验收，并要办好隐检手续，方可进行回填土。</w:t>
      </w:r>
    </w:p>
    <w:p>
      <w:pPr>
        <w:pStyle w:val="Normal0"/>
        <w:widowControl/>
        <w:suppressAutoHyphens/>
        <w:spacing w:before="240" w:line="300" w:lineRule="auto"/>
        <w:ind w:firstLine="480" w:firstLineChars="200"/>
        <w:rPr>
          <w:rFonts w:ascii="宋体" w:hAnsi="宋体"/>
          <w:color w:val="000000"/>
          <w:kern w:val="10"/>
          <w:sz w:val="24"/>
        </w:rPr>
        <w:sectPr>
          <w:headerReference w:type="default" r:id="rId73"/>
          <w:footerReference w:type="default" r:id="rId74"/>
          <w:type w:val="nextPage"/>
          <w:pgSz w:w="11906" w:h="16838"/>
          <w:pgMar w:top="1440" w:right="1701" w:bottom="1440" w:left="1701" w:header="850" w:footer="992" w:gutter="0"/>
          <w:pgNumType w:start="32"/>
          <w:cols w:num="1" w:space="425"/>
          <w:titlePg w:val="0"/>
          <w:docGrid w:type="lines" w:linePitch="312" w:charSpace="0"/>
        </w:sectPr>
      </w:pPr>
      <w:r>
        <w:rPr>
          <w:rFonts w:ascii="宋体" w:eastAsia="宋体" w:hAnsi="宋体"/>
          <w:color w:val="000000"/>
          <w:kern w:val="10"/>
          <w:sz w:val="24"/>
        </w:rPr>
        <w:t>2</w:t>
      </w:r>
      <w:r>
        <w:rPr>
          <w:rFonts w:ascii="宋体" w:eastAsia="宋体" w:hAnsi="宋体" w:hint="eastAsia"/>
          <w:color w:val="000000"/>
          <w:kern w:val="10"/>
          <w:sz w:val="24"/>
        </w:rPr>
        <w:t>、施工前应根据工程特点、填方土料种类、密实度要求、施工条件等，合理确定填方土料含水率控制范围、虚铺厚度和压实遍数等参数；并通过压实试验来确定。</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3</w:t>
      </w:r>
      <w:r>
        <w:rPr>
          <w:rFonts w:ascii="宋体" w:eastAsia="宋体" w:hAnsi="宋体" w:hint="eastAsia"/>
          <w:color w:val="000000"/>
          <w:kern w:val="10"/>
          <w:sz w:val="24"/>
        </w:rPr>
        <w:t>、施工前，应抄平做好水平标志。在地坪上钉上标高控制木桩。</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hint="eastAsia"/>
          <w:color w:val="000000"/>
          <w:kern w:val="10"/>
          <w:sz w:val="24"/>
        </w:rPr>
        <w:t>4、工艺流程：基层清理→检验土质→分层铺土、耙平→夯打密实→找平验收。</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5、</w:t>
      </w:r>
      <w:r>
        <w:rPr>
          <w:rFonts w:ascii="宋体" w:eastAsia="宋体" w:hAnsi="宋体" w:hint="eastAsia"/>
          <w:color w:val="000000"/>
          <w:kern w:val="10"/>
          <w:sz w:val="24"/>
        </w:rPr>
        <w:t>填土前应将基层的垃圾杂物等清理干净；将回落的松散土、砂浆、石子等清除干净。</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6、</w:t>
      </w:r>
      <w:r>
        <w:rPr>
          <w:rFonts w:ascii="宋体" w:eastAsia="宋体" w:hAnsi="宋体" w:hint="eastAsia"/>
          <w:color w:val="000000"/>
          <w:kern w:val="10"/>
          <w:sz w:val="24"/>
        </w:rPr>
        <w:t>检验回填土的含水率是否在控制范围内，含水率偏高土不得进入现场，含水率偏低时，可采用适量洒水润湿的措施。</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7、</w:t>
      </w:r>
      <w:r>
        <w:rPr>
          <w:rFonts w:ascii="宋体" w:eastAsia="宋体" w:hAnsi="宋体" w:hint="eastAsia"/>
          <w:color w:val="000000"/>
          <w:kern w:val="10"/>
          <w:sz w:val="24"/>
        </w:rPr>
        <w:t>回填土应分层铺摊。每层铺土厚度应根据土质、密实度要求和机具性能确定。一般蛙式打夯机每层铺土厚度为</w:t>
      </w:r>
      <w:r>
        <w:rPr>
          <w:rFonts w:ascii="宋体" w:eastAsia="宋体" w:hAnsi="宋体"/>
          <w:color w:val="000000"/>
          <w:kern w:val="10"/>
          <w:sz w:val="24"/>
        </w:rPr>
        <w:t>200</w:t>
      </w:r>
      <w:r>
        <w:rPr>
          <w:rFonts w:ascii="宋体" w:eastAsia="宋体" w:hAnsi="宋体" w:hint="eastAsia"/>
          <w:color w:val="000000"/>
          <w:kern w:val="10"/>
          <w:sz w:val="24"/>
        </w:rPr>
        <w:t>～</w:t>
      </w:r>
      <w:r>
        <w:rPr>
          <w:rFonts w:ascii="宋体" w:eastAsia="宋体" w:hAnsi="宋体"/>
          <w:color w:val="000000"/>
          <w:kern w:val="10"/>
          <w:sz w:val="24"/>
        </w:rPr>
        <w:t>250mm</w:t>
      </w:r>
      <w:r>
        <w:rPr>
          <w:rFonts w:ascii="宋体" w:eastAsia="宋体" w:hAnsi="宋体" w:hint="eastAsia"/>
          <w:color w:val="000000"/>
          <w:kern w:val="10"/>
          <w:sz w:val="24"/>
        </w:rPr>
        <w:t>；人工打夯不大于</w:t>
      </w:r>
      <w:r>
        <w:rPr>
          <w:rFonts w:ascii="宋体" w:eastAsia="宋体" w:hAnsi="宋体"/>
          <w:color w:val="000000"/>
          <w:kern w:val="10"/>
          <w:sz w:val="24"/>
        </w:rPr>
        <w:t>200m</w:t>
      </w:r>
      <w:r>
        <w:rPr>
          <w:rFonts w:ascii="宋体" w:eastAsia="宋体" w:hAnsi="宋体" w:hint="eastAsia"/>
          <w:color w:val="000000"/>
          <w:kern w:val="10"/>
          <w:sz w:val="24"/>
        </w:rPr>
        <w:t>。每层铺摊后，随之耙平。</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8、</w:t>
      </w:r>
      <w:r>
        <w:rPr>
          <w:rFonts w:ascii="宋体" w:eastAsia="宋体" w:hAnsi="宋体" w:hint="eastAsia"/>
          <w:color w:val="000000"/>
          <w:kern w:val="10"/>
          <w:sz w:val="24"/>
        </w:rPr>
        <w:t>回填土每层至少夯打三遍。打夯应一夯压半夯，夯夯相连，纵横交叉。并且严禁用水浇使土下沉的所谓</w:t>
      </w:r>
      <w:r>
        <w:rPr>
          <w:rFonts w:ascii="宋体" w:eastAsia="宋体" w:hAnsi="宋体"/>
          <w:color w:val="000000"/>
          <w:kern w:val="10"/>
          <w:sz w:val="24"/>
        </w:rPr>
        <w:t>“</w:t>
      </w:r>
      <w:r>
        <w:rPr>
          <w:rFonts w:ascii="宋体" w:eastAsia="宋体" w:hAnsi="宋体" w:hint="eastAsia"/>
          <w:color w:val="000000"/>
          <w:kern w:val="10"/>
          <w:sz w:val="24"/>
        </w:rPr>
        <w:t>水夯</w:t>
      </w:r>
      <w:r>
        <w:rPr>
          <w:rFonts w:ascii="宋体" w:eastAsia="宋体" w:hAnsi="宋体"/>
          <w:color w:val="000000"/>
          <w:kern w:val="10"/>
          <w:sz w:val="24"/>
        </w:rPr>
        <w:t>”</w:t>
      </w:r>
      <w:r>
        <w:rPr>
          <w:rFonts w:ascii="宋体" w:eastAsia="宋体" w:hAnsi="宋体" w:hint="eastAsia"/>
          <w:color w:val="000000"/>
          <w:kern w:val="10"/>
          <w:sz w:val="24"/>
        </w:rPr>
        <w:t>法。</w:t>
      </w:r>
    </w:p>
    <w:p>
      <w:pPr>
        <w:pStyle w:val="Normal0"/>
        <w:widowControl/>
        <w:suppressAutoHyphens/>
        <w:spacing w:before="240" w:line="300" w:lineRule="auto"/>
        <w:ind w:firstLine="480" w:firstLineChars="200"/>
        <w:rPr>
          <w:rFonts w:ascii="宋体" w:hAnsi="宋体"/>
          <w:color w:val="000000"/>
          <w:kern w:val="10"/>
          <w:sz w:val="24"/>
        </w:rPr>
      </w:pPr>
      <w:r>
        <w:rPr>
          <w:rFonts w:ascii="宋体" w:eastAsia="宋体" w:hAnsi="宋体"/>
          <w:color w:val="000000"/>
          <w:kern w:val="10"/>
          <w:sz w:val="24"/>
        </w:rPr>
        <w:t>9、</w:t>
      </w:r>
      <w:r>
        <w:rPr>
          <w:rFonts w:ascii="宋体" w:eastAsia="宋体" w:hAnsi="宋体" w:hint="eastAsia"/>
          <w:color w:val="000000"/>
          <w:kern w:val="10"/>
          <w:sz w:val="24"/>
        </w:rPr>
        <w:t>回填土每层夯实后，应按规范规定进行环刀取样，测出土的干密度，达到要求后再铺上一层的土。填土全部完成后，应进行表面拉线找平，凡高出允许偏差的地方，应及时依线铲平；凡低于规定高程的地方应补土夯实。</w:t>
      </w:r>
    </w:p>
    <w:p>
      <w:pPr>
        <w:pStyle w:val="BZ2"/>
        <w:rPr>
          <w:rFonts w:ascii="宋体" w:eastAsia="宋体" w:hAnsi="宋体"/>
        </w:rPr>
      </w:pPr>
      <w:bookmarkStart w:id="241" w:name="_Toc491077907"/>
      <w:r>
        <w:rPr>
          <w:rFonts w:ascii="宋体" w:eastAsia="宋体" w:hAnsi="宋体" w:hint="eastAsia"/>
        </w:rPr>
        <w:t>抹灰工程</w:t>
      </w:r>
      <w:bookmarkEnd w:id="241"/>
    </w:p>
    <w:p>
      <w:pPr>
        <w:pStyle w:val="Normal0"/>
        <w:widowControl/>
        <w:suppressAutoHyphens/>
        <w:spacing w:before="240" w:line="300" w:lineRule="auto"/>
        <w:rPr>
          <w:rFonts w:ascii="宋体" w:hAnsi="宋体"/>
          <w:color w:val="000000"/>
          <w:sz w:val="24"/>
        </w:rPr>
      </w:pPr>
      <w:r>
        <w:rPr>
          <w:rFonts w:ascii="宋体" w:eastAsia="宋体" w:hAnsi="宋体" w:hint="eastAsia"/>
          <w:color w:val="000000"/>
          <w:sz w:val="24"/>
        </w:rPr>
        <w:t>一、一般抹灰施工</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w:t>
      </w:r>
      <w:r>
        <w:rPr>
          <w:rFonts w:ascii="宋体" w:eastAsia="宋体" w:hAnsi="宋体" w:hint="eastAsia"/>
          <w:color w:val="000000"/>
          <w:sz w:val="24"/>
        </w:rPr>
        <w:t>、抹灰工程的砂浆等级应符合设计要求。</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2</w:t>
      </w:r>
      <w:r>
        <w:rPr>
          <w:rFonts w:ascii="宋体" w:eastAsia="宋体" w:hAnsi="宋体" w:hint="eastAsia"/>
          <w:color w:val="000000"/>
          <w:sz w:val="24"/>
        </w:rPr>
        <w:t>、抹灰工程所用的砂浆配比，材料品种，应按设计要求选用。</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3</w:t>
      </w:r>
      <w:r>
        <w:rPr>
          <w:rFonts w:ascii="宋体" w:eastAsia="宋体" w:hAnsi="宋体" w:hint="eastAsia"/>
          <w:color w:val="000000"/>
          <w:sz w:val="24"/>
        </w:rPr>
        <w:t>、抹灰砂浆的配合比和稠度等，应经检查合格后，方可使用，掺有水泥或石膏拌制的砂浆，应控制在初凝前用完。</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4</w:t>
      </w:r>
      <w:r>
        <w:rPr>
          <w:rFonts w:ascii="宋体" w:eastAsia="宋体" w:hAnsi="宋体" w:hint="eastAsia"/>
          <w:color w:val="000000"/>
          <w:sz w:val="24"/>
        </w:rPr>
        <w:t>、砂浆中掺用外加剂时，其掺入量应由试验确定。</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5</w:t>
      </w:r>
      <w:r>
        <w:rPr>
          <w:rFonts w:ascii="宋体" w:eastAsia="宋体" w:hAnsi="宋体" w:hint="eastAsia"/>
          <w:color w:val="000000"/>
          <w:sz w:val="24"/>
        </w:rPr>
        <w:t>、木结构与砖结构、混凝土结构等的相接处基本表面抹灰，内外墙应先铺钉金属网，并绷紧牢固，金属网与各基体的搭接宽度不应小于</w:t>
      </w:r>
      <w:r>
        <w:rPr>
          <w:rFonts w:ascii="宋体" w:eastAsia="宋体" w:hAnsi="宋体"/>
          <w:color w:val="000000"/>
          <w:sz w:val="24"/>
        </w:rPr>
        <w:t>70mm</w:t>
      </w:r>
      <w:r>
        <w:rPr>
          <w:rFonts w:ascii="宋体" w:eastAsia="宋体" w:hAnsi="宋体" w:hint="eastAsia"/>
          <w:color w:val="000000"/>
          <w:sz w:val="24"/>
        </w:rPr>
        <w:t>。混凝土面应先用</w:t>
      </w:r>
      <w:r>
        <w:rPr>
          <w:rFonts w:ascii="宋体" w:eastAsia="宋体" w:hAnsi="宋体"/>
          <w:color w:val="000000"/>
          <w:sz w:val="24"/>
        </w:rPr>
        <w:t>1:1:1</w:t>
      </w:r>
      <w:r>
        <w:rPr>
          <w:rFonts w:ascii="宋体" w:eastAsia="宋体" w:hAnsi="宋体" w:hint="eastAsia"/>
          <w:color w:val="000000"/>
          <w:sz w:val="24"/>
        </w:rPr>
        <w:t>水泥聚合物砂浆（水泥</w:t>
      </w:r>
      <w:r>
        <w:rPr>
          <w:rFonts w:ascii="宋体" w:eastAsia="宋体" w:hAnsi="宋体"/>
          <w:color w:val="000000"/>
          <w:sz w:val="24"/>
        </w:rPr>
        <w:t>:107</w:t>
      </w:r>
      <w:r>
        <w:rPr>
          <w:rFonts w:ascii="宋体" w:eastAsia="宋体" w:hAnsi="宋体" w:hint="eastAsia"/>
          <w:color w:val="000000"/>
          <w:sz w:val="24"/>
        </w:rPr>
        <w:t>胶</w:t>
      </w:r>
      <w:r>
        <w:rPr>
          <w:rFonts w:ascii="宋体" w:eastAsia="宋体" w:hAnsi="宋体"/>
          <w:color w:val="000000"/>
          <w:sz w:val="24"/>
        </w:rPr>
        <w:t>:</w:t>
      </w:r>
      <w:r>
        <w:rPr>
          <w:rFonts w:ascii="宋体" w:eastAsia="宋体" w:hAnsi="宋体" w:hint="eastAsia"/>
          <w:color w:val="000000"/>
          <w:sz w:val="24"/>
        </w:rPr>
        <w:t>细砂）甩浆做结合层。</w:t>
      </w:r>
    </w:p>
    <w:p>
      <w:pPr>
        <w:pStyle w:val="Normal0"/>
        <w:widowControl/>
        <w:suppressAutoHyphens/>
        <w:spacing w:before="240" w:line="300" w:lineRule="auto"/>
        <w:ind w:firstLine="480" w:firstLineChars="200"/>
        <w:rPr>
          <w:rFonts w:ascii="宋体" w:hAnsi="宋体"/>
          <w:color w:val="000000"/>
          <w:sz w:val="24"/>
        </w:rPr>
        <w:sectPr>
          <w:headerReference w:type="default" r:id="rId75"/>
          <w:footerReference w:type="default" r:id="rId76"/>
          <w:type w:val="nextPage"/>
          <w:pgSz w:w="11906" w:h="16838"/>
          <w:pgMar w:top="1440" w:right="1701" w:bottom="1440" w:left="1701" w:header="850" w:footer="992" w:gutter="0"/>
          <w:pgNumType w:start="33"/>
          <w:cols w:num="1" w:space="425"/>
          <w:titlePg w:val="0"/>
          <w:docGrid w:type="lines" w:linePitch="312" w:charSpace="0"/>
        </w:sectPr>
      </w:pPr>
      <w:r>
        <w:rPr>
          <w:rFonts w:ascii="宋体" w:eastAsia="宋体" w:hAnsi="宋体"/>
          <w:color w:val="000000"/>
          <w:sz w:val="24"/>
        </w:rPr>
        <w:t>6</w:t>
      </w:r>
      <w:r>
        <w:rPr>
          <w:rFonts w:ascii="宋体" w:eastAsia="宋体" w:hAnsi="宋体" w:hint="eastAsia"/>
          <w:color w:val="000000"/>
          <w:sz w:val="24"/>
        </w:rPr>
        <w:t>、室内墙面、柱面和门洞的阳角，宜用</w:t>
      </w:r>
      <w:r>
        <w:rPr>
          <w:rFonts w:ascii="宋体" w:eastAsia="宋体" w:hAnsi="宋体"/>
          <w:color w:val="000000"/>
          <w:sz w:val="24"/>
        </w:rPr>
        <w:t>1:2.5</w:t>
      </w:r>
      <w:r>
        <w:rPr>
          <w:rFonts w:ascii="宋体" w:eastAsia="宋体" w:hAnsi="宋体" w:hint="eastAsia"/>
          <w:color w:val="000000"/>
          <w:sz w:val="24"/>
        </w:rPr>
        <w:t>水泥砂浆做护角，其高度不应低于</w:t>
      </w:r>
      <w:r>
        <w:rPr>
          <w:rFonts w:ascii="宋体" w:eastAsia="宋体" w:hAnsi="宋体"/>
          <w:color w:val="000000"/>
          <w:sz w:val="24"/>
        </w:rPr>
        <w:t>1.8m</w:t>
      </w:r>
      <w:r>
        <w:rPr>
          <w:rFonts w:ascii="宋体" w:eastAsia="宋体" w:hAnsi="宋体" w:hint="eastAsia"/>
          <w:color w:val="000000"/>
          <w:sz w:val="24"/>
        </w:rPr>
        <w:t>，每侧宽度不小于</w:t>
      </w:r>
      <w:r>
        <w:rPr>
          <w:rFonts w:ascii="宋体" w:eastAsia="宋体" w:hAnsi="宋体"/>
          <w:color w:val="000000"/>
          <w:sz w:val="24"/>
        </w:rPr>
        <w:t xml:space="preserve">50mm </w:t>
      </w:r>
      <w:r>
        <w:rPr>
          <w:rFonts w:ascii="宋体" w:eastAsia="宋体" w:hAnsi="宋体" w:hint="eastAsia"/>
          <w:color w:val="000000"/>
          <w:sz w:val="24"/>
        </w:rPr>
        <w:t>。</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7</w:t>
      </w:r>
      <w:r>
        <w:rPr>
          <w:rFonts w:ascii="宋体" w:eastAsia="宋体" w:hAnsi="宋体" w:hint="eastAsia"/>
          <w:color w:val="000000"/>
          <w:sz w:val="24"/>
        </w:rPr>
        <w:t>、外墙抹灰工程施工前，应安装好门窗。阳台栏杆和预埋铁件等，并将墙上的施工孔用膨胀砂浆堵塞密实。</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8</w:t>
      </w:r>
      <w:r>
        <w:rPr>
          <w:rFonts w:ascii="宋体" w:eastAsia="宋体" w:hAnsi="宋体" w:hint="eastAsia"/>
          <w:color w:val="000000"/>
          <w:sz w:val="24"/>
        </w:rPr>
        <w:t>、外墙窗台、窗眉、雨篷、阳台，压顶和突出腰线等，上面应做流水坡度，下面应做滴水线或滴水槽，滴水槽的深度和宽度均不应小于</w:t>
      </w:r>
      <w:r>
        <w:rPr>
          <w:rFonts w:ascii="宋体" w:eastAsia="宋体" w:hAnsi="宋体"/>
          <w:color w:val="000000"/>
          <w:sz w:val="24"/>
        </w:rPr>
        <w:t>10mm</w:t>
      </w:r>
      <w:r>
        <w:rPr>
          <w:rFonts w:ascii="宋体" w:eastAsia="宋体" w:hAnsi="宋体" w:hint="eastAsia"/>
          <w:color w:val="000000"/>
          <w:sz w:val="24"/>
        </w:rPr>
        <w:t>，并整齐一致。</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9</w:t>
      </w:r>
      <w:r>
        <w:rPr>
          <w:rFonts w:ascii="宋体" w:eastAsia="宋体" w:hAnsi="宋体" w:hint="eastAsia"/>
          <w:color w:val="000000"/>
          <w:sz w:val="24"/>
        </w:rPr>
        <w:t>、水泥砂浆的抹灰层应在湿润的条件下养护。</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10</w:t>
      </w:r>
      <w:r>
        <w:rPr>
          <w:rFonts w:ascii="宋体" w:eastAsia="宋体" w:hAnsi="宋体" w:hint="eastAsia"/>
          <w:color w:val="000000"/>
          <w:sz w:val="24"/>
        </w:rPr>
        <w:t>、大面积的石膏抹面应事先经试验室试验后，得出既保证质量又便于操作的稠度及凝结时间才能施工。</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11</w:t>
      </w:r>
      <w:r>
        <w:rPr>
          <w:rFonts w:ascii="宋体" w:eastAsia="宋体" w:hAnsi="宋体" w:hint="eastAsia"/>
          <w:color w:val="000000"/>
          <w:sz w:val="24"/>
        </w:rPr>
        <w:t>、厨厕、浴室天面等凡有坡水需要的地面抹灰应做成倾向出水口的坡水坡度。</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12</w:t>
      </w:r>
      <w:r>
        <w:rPr>
          <w:rFonts w:ascii="宋体" w:eastAsia="宋体" w:hAnsi="宋体" w:hint="eastAsia"/>
          <w:color w:val="000000"/>
          <w:sz w:val="24"/>
        </w:rPr>
        <w:t>、凡面层灰浆要压光的，最后一次压光，应在灰浆初凝后（即经过铁抹子压磨而灰浆表层不会变成糊状）及时进行。</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13</w:t>
      </w:r>
      <w:r>
        <w:rPr>
          <w:rFonts w:ascii="宋体" w:eastAsia="宋体" w:hAnsi="宋体" w:hint="eastAsia"/>
          <w:color w:val="000000"/>
          <w:sz w:val="24"/>
        </w:rPr>
        <w:t>、为了防止雨水溅射使污垢散播在外墙面，因此，外墙完成抹灰工序后应拆去外平桥板，或将平桥部位的墙面加以遮护。</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14</w:t>
      </w:r>
      <w:r>
        <w:rPr>
          <w:rFonts w:ascii="宋体" w:eastAsia="宋体" w:hAnsi="宋体" w:hint="eastAsia"/>
          <w:color w:val="000000"/>
          <w:sz w:val="24"/>
        </w:rPr>
        <w:t>、抹灰用砂宜用中砂，使用前应过筛，不宜采用特细砂。</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15</w:t>
      </w:r>
      <w:r>
        <w:rPr>
          <w:rFonts w:ascii="宋体" w:eastAsia="宋体" w:hAnsi="宋体" w:hint="eastAsia"/>
          <w:color w:val="000000"/>
          <w:sz w:val="24"/>
        </w:rPr>
        <w:t>、抹灰用石灰膏，用块状生石灰淋制，淋制时必须用孔径不大于</w:t>
      </w:r>
      <w:r>
        <w:rPr>
          <w:rFonts w:ascii="宋体" w:eastAsia="宋体" w:hAnsi="宋体"/>
          <w:color w:val="000000"/>
          <w:sz w:val="24"/>
        </w:rPr>
        <w:t>3mm*3mm</w:t>
      </w:r>
      <w:r>
        <w:rPr>
          <w:rFonts w:ascii="宋体" w:eastAsia="宋体" w:hAnsi="宋体" w:hint="eastAsia"/>
          <w:color w:val="000000"/>
          <w:sz w:val="24"/>
        </w:rPr>
        <w:t>的筛过筛，并贮存在沉淀池中。熟化时间：常温下一般不少于</w:t>
      </w:r>
      <w:r>
        <w:rPr>
          <w:rFonts w:ascii="宋体" w:eastAsia="宋体" w:hAnsi="宋体"/>
          <w:color w:val="000000"/>
          <w:sz w:val="24"/>
        </w:rPr>
        <w:t>15</w:t>
      </w:r>
      <w:r>
        <w:rPr>
          <w:rFonts w:ascii="宋体" w:eastAsia="宋体" w:hAnsi="宋体" w:hint="eastAsia"/>
          <w:color w:val="000000"/>
          <w:sz w:val="24"/>
        </w:rPr>
        <w:t>天。用于罩面时，不应少于</w:t>
      </w:r>
      <w:r>
        <w:rPr>
          <w:rFonts w:ascii="宋体" w:eastAsia="宋体" w:hAnsi="宋体"/>
          <w:color w:val="000000"/>
          <w:sz w:val="24"/>
        </w:rPr>
        <w:t>30</w:t>
      </w:r>
      <w:r>
        <w:rPr>
          <w:rFonts w:ascii="宋体" w:eastAsia="宋体" w:hAnsi="宋体" w:hint="eastAsia"/>
          <w:color w:val="000000"/>
          <w:sz w:val="24"/>
        </w:rPr>
        <w:t>天。使用时，石灰膏内不得含有未熟化的颗粒和其他杂质。</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16</w:t>
      </w:r>
      <w:r>
        <w:rPr>
          <w:rFonts w:ascii="宋体" w:eastAsia="宋体" w:hAnsi="宋体" w:hint="eastAsia"/>
          <w:color w:val="000000"/>
          <w:sz w:val="24"/>
        </w:rPr>
        <w:t>、施工前，应预先做样板，并经有关单位认可后，方可进行。</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二、墙面抹水泥砂浆施工</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w:t>
      </w:r>
      <w:r>
        <w:rPr>
          <w:rFonts w:ascii="宋体" w:eastAsia="宋体" w:hAnsi="宋体" w:hint="eastAsia"/>
          <w:color w:val="000000"/>
          <w:sz w:val="24"/>
        </w:rPr>
        <w:t>、基层处理：吊直、套方、灰饼、墙面冲筋。抹底层灰和中层灰等工序的做法与墙面抹纸筋灰浆时基本相同，但底灰和中层灰用</w:t>
      </w:r>
      <w:r>
        <w:rPr>
          <w:rFonts w:ascii="宋体" w:eastAsia="宋体" w:hAnsi="宋体"/>
          <w:color w:val="000000"/>
          <w:sz w:val="24"/>
        </w:rPr>
        <w:t>1:2.5</w:t>
      </w:r>
      <w:r>
        <w:rPr>
          <w:rFonts w:ascii="宋体" w:eastAsia="宋体" w:hAnsi="宋体" w:hint="eastAsia"/>
          <w:color w:val="000000"/>
          <w:sz w:val="24"/>
        </w:rPr>
        <w:t>水泥砂浆涂抹，施工前湿润墙面，并用木抹子搓平带毛面，在砂浆凝固之前，表面用扫帚扫毛。</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2</w:t>
      </w:r>
      <w:r>
        <w:rPr>
          <w:rFonts w:ascii="宋体" w:eastAsia="宋体" w:hAnsi="宋体" w:hint="eastAsia"/>
          <w:color w:val="000000"/>
          <w:sz w:val="24"/>
        </w:rPr>
        <w:t>、抹水泥砂浆面层：中层砂浆抹好后第二天，用</w:t>
      </w:r>
      <w:r>
        <w:rPr>
          <w:rFonts w:ascii="宋体" w:eastAsia="宋体" w:hAnsi="宋体"/>
          <w:color w:val="000000"/>
          <w:sz w:val="24"/>
        </w:rPr>
        <w:t>1:2.5</w:t>
      </w:r>
      <w:r>
        <w:rPr>
          <w:rFonts w:ascii="宋体" w:eastAsia="宋体" w:hAnsi="宋体" w:hint="eastAsia"/>
          <w:color w:val="000000"/>
          <w:sz w:val="24"/>
        </w:rPr>
        <w:t>水泥砂浆或按计要求的水泥混合砂浆抹面层，厚度</w:t>
      </w:r>
      <w:r>
        <w:rPr>
          <w:rFonts w:ascii="宋体" w:eastAsia="宋体" w:hAnsi="宋体"/>
          <w:color w:val="000000"/>
          <w:sz w:val="24"/>
        </w:rPr>
        <w:t>5~8mm</w:t>
      </w:r>
      <w:r>
        <w:rPr>
          <w:rFonts w:ascii="宋体" w:eastAsia="宋体" w:hAnsi="宋体" w:hint="eastAsia"/>
          <w:color w:val="000000"/>
          <w:sz w:val="24"/>
        </w:rPr>
        <w:t>。操作时先将墙面湿润，然后用砂浆薄刮一道使其与中层灰粘牢，紧跟着抹第二遍，达到要求的厚度，用压尺刮平找直后，用铁抹子压实压光。</w:t>
      </w:r>
    </w:p>
    <w:p>
      <w:pPr>
        <w:pStyle w:val="Normal0"/>
        <w:widowControl/>
        <w:suppressAutoHyphens/>
        <w:spacing w:before="240" w:line="300" w:lineRule="auto"/>
        <w:ind w:firstLine="480" w:firstLineChars="200"/>
        <w:rPr>
          <w:rFonts w:ascii="宋体" w:hAnsi="宋体"/>
          <w:color w:val="000000"/>
          <w:sz w:val="24"/>
        </w:rPr>
        <w:sectPr>
          <w:headerReference w:type="default" r:id="rId77"/>
          <w:footerReference w:type="default" r:id="rId78"/>
          <w:type w:val="nextPage"/>
          <w:pgSz w:w="11906" w:h="16838"/>
          <w:pgMar w:top="1440" w:right="1701" w:bottom="1440" w:left="1701" w:header="850" w:footer="992" w:gutter="0"/>
          <w:pgNumType w:start="34"/>
          <w:cols w:num="1" w:space="425"/>
          <w:titlePg w:val="0"/>
          <w:docGrid w:type="lines" w:linePitch="312" w:charSpace="0"/>
        </w:sectPr>
      </w:pPr>
      <w:r>
        <w:rPr>
          <w:rFonts w:ascii="宋体" w:eastAsia="宋体" w:hAnsi="宋体" w:hint="eastAsia"/>
          <w:color w:val="000000"/>
          <w:sz w:val="24"/>
        </w:rPr>
        <w:t>三、顶棚抹灰施工</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w:t>
      </w:r>
      <w:r>
        <w:rPr>
          <w:rFonts w:ascii="宋体" w:eastAsia="宋体" w:hAnsi="宋体" w:hint="eastAsia"/>
          <w:color w:val="000000"/>
          <w:sz w:val="24"/>
        </w:rPr>
        <w:t>、基层处理：对板底清理干净，并用钢丝刷满刷一遍后浇水湿润。再用</w:t>
      </w:r>
      <w:r>
        <w:rPr>
          <w:rFonts w:ascii="宋体" w:eastAsia="宋体" w:hAnsi="宋体"/>
          <w:color w:val="000000"/>
          <w:sz w:val="24"/>
        </w:rPr>
        <w:t>1:1:1</w:t>
      </w:r>
      <w:r>
        <w:rPr>
          <w:rFonts w:ascii="宋体" w:eastAsia="宋体" w:hAnsi="宋体" w:hint="eastAsia"/>
          <w:color w:val="000000"/>
          <w:sz w:val="24"/>
        </w:rPr>
        <w:t>水泥聚合物砂浆（水泥</w:t>
      </w:r>
      <w:r>
        <w:rPr>
          <w:rFonts w:ascii="宋体" w:eastAsia="宋体" w:hAnsi="宋体"/>
          <w:color w:val="000000"/>
          <w:sz w:val="24"/>
        </w:rPr>
        <w:t>:107</w:t>
      </w:r>
      <w:r>
        <w:rPr>
          <w:rFonts w:ascii="宋体" w:eastAsia="宋体" w:hAnsi="宋体" w:hint="eastAsia"/>
          <w:color w:val="000000"/>
          <w:sz w:val="24"/>
        </w:rPr>
        <w:t>胶</w:t>
      </w:r>
      <w:r>
        <w:rPr>
          <w:rFonts w:ascii="宋体" w:eastAsia="宋体" w:hAnsi="宋体"/>
          <w:color w:val="000000"/>
          <w:sz w:val="24"/>
        </w:rPr>
        <w:t>:</w:t>
      </w:r>
      <w:r>
        <w:rPr>
          <w:rFonts w:ascii="宋体" w:eastAsia="宋体" w:hAnsi="宋体" w:hint="eastAsia"/>
          <w:color w:val="000000"/>
          <w:sz w:val="24"/>
        </w:rPr>
        <w:t>细砂），喷洒或用毛刷（横扫）将砂浆甩到基面上。甩点要均匀，终凝后再浇水养护，直至水泥砂浆疙瘩有较高的强度，用手掰不动为止。</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2</w:t>
      </w:r>
      <w:r>
        <w:rPr>
          <w:rFonts w:ascii="宋体" w:eastAsia="宋体" w:hAnsi="宋体" w:hint="eastAsia"/>
          <w:color w:val="000000"/>
          <w:sz w:val="24"/>
        </w:rPr>
        <w:t>、根据墙柱上弹出的水平墨线，用粉线在四周墙面上（顶板下</w:t>
      </w:r>
      <w:r>
        <w:rPr>
          <w:rFonts w:ascii="宋体" w:eastAsia="宋体" w:hAnsi="宋体"/>
          <w:color w:val="000000"/>
          <w:sz w:val="24"/>
        </w:rPr>
        <w:t>100mm</w:t>
      </w:r>
      <w:r>
        <w:rPr>
          <w:rFonts w:ascii="宋体" w:eastAsia="宋体" w:hAnsi="宋体" w:hint="eastAsia"/>
          <w:color w:val="000000"/>
          <w:sz w:val="24"/>
        </w:rPr>
        <w:t>）弹出一条水平线，作为顶板抹灰的水平控制线。对于面积较大的楼盖顶棚或质量要求较高的顶棚，宜通线设置灰饼。</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3</w:t>
      </w:r>
      <w:r>
        <w:rPr>
          <w:rFonts w:ascii="宋体" w:eastAsia="宋体" w:hAnsi="宋体" w:hint="eastAsia"/>
          <w:color w:val="000000"/>
          <w:sz w:val="24"/>
        </w:rPr>
        <w:t>、抹底灰：在顶板混凝土湿润的情况下，先刷素水泥浆一道，随刷随打底，打底采用</w:t>
      </w:r>
      <w:r>
        <w:rPr>
          <w:rFonts w:ascii="宋体" w:eastAsia="宋体" w:hAnsi="宋体"/>
          <w:color w:val="000000"/>
          <w:sz w:val="24"/>
        </w:rPr>
        <w:t>1:1:6</w:t>
      </w:r>
      <w:r>
        <w:rPr>
          <w:rFonts w:ascii="宋体" w:eastAsia="宋体" w:hAnsi="宋体" w:hint="eastAsia"/>
          <w:color w:val="000000"/>
          <w:sz w:val="24"/>
        </w:rPr>
        <w:t>水泥混合砂浆。对顶板凹度较大的部位，先大致找平并压实，待其干后，再抹大面底层灰，其厚度每遍不宜超过</w:t>
      </w:r>
      <w:r>
        <w:rPr>
          <w:rFonts w:ascii="宋体" w:eastAsia="宋体" w:hAnsi="宋体"/>
          <w:color w:val="000000"/>
          <w:sz w:val="24"/>
        </w:rPr>
        <w:t>8mm</w:t>
      </w:r>
      <w:r>
        <w:rPr>
          <w:rFonts w:ascii="宋体" w:eastAsia="宋体" w:hAnsi="宋体" w:hint="eastAsia"/>
          <w:color w:val="000000"/>
          <w:sz w:val="24"/>
        </w:rPr>
        <w:t>，操作时需用力抹压，然后用压尺刮抹顺平，再用抹子抹平，要求平整稍毛，不必光滑，但不得过于粗糙，不许有凹陷深痕。</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4</w:t>
      </w:r>
      <w:r>
        <w:rPr>
          <w:rFonts w:ascii="宋体" w:eastAsia="宋体" w:hAnsi="宋体" w:hint="eastAsia"/>
          <w:color w:val="000000"/>
          <w:sz w:val="24"/>
        </w:rPr>
        <w:t>、抹罩面灰：待底灰约六、七成干时，即可抹面层纸筋灰。如停歇时间长，底层过分干燥则应用水润湿。涂抹时先分两遍抹平，压实，其厚度不应大于</w:t>
      </w:r>
      <w:r>
        <w:rPr>
          <w:rFonts w:ascii="宋体" w:eastAsia="宋体" w:hAnsi="宋体"/>
          <w:color w:val="000000"/>
          <w:sz w:val="24"/>
        </w:rPr>
        <w:t>2mm</w:t>
      </w:r>
      <w:r>
        <w:rPr>
          <w:rFonts w:ascii="宋体" w:eastAsia="宋体" w:hAnsi="宋体" w:hint="eastAsia"/>
          <w:color w:val="000000"/>
          <w:sz w:val="24"/>
        </w:rPr>
        <w:t>，待面层经过铁抹子抹面，灰浆表面不会变为糊状时要及时压光，不得有抹痕、气泡、接缝不平等现象。天棚与墙边或梁边相交的阴角应成一条水平直线，梁端与墙面梁边丁交处应成垂直线。</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四、质量标准</w:t>
      </w:r>
    </w:p>
    <w:p>
      <w:pPr>
        <w:pStyle w:val="Normal0"/>
        <w:widowControl/>
        <w:suppressAutoHyphens/>
        <w:spacing w:before="240" w:line="300" w:lineRule="auto"/>
        <w:ind w:firstLine="480" w:firstLineChars="200"/>
        <w:rPr>
          <w:rFonts w:ascii="宋体" w:hAnsi="宋体" w:hint="eastAsia"/>
          <w:color w:val="000000"/>
          <w:sz w:val="24"/>
        </w:rPr>
      </w:pPr>
      <w:r>
        <w:rPr>
          <w:rFonts w:ascii="宋体" w:eastAsia="宋体" w:hAnsi="宋体"/>
          <w:color w:val="000000"/>
          <w:sz w:val="24"/>
        </w:rPr>
        <w:t>1</w:t>
      </w:r>
      <w:r>
        <w:rPr>
          <w:rFonts w:ascii="宋体" w:eastAsia="宋体" w:hAnsi="宋体" w:hint="eastAsia"/>
          <w:color w:val="000000"/>
          <w:sz w:val="24"/>
        </w:rPr>
        <w:t>、保证</w:t>
      </w:r>
      <w:r>
        <w:rPr>
          <w:rFonts w:ascii="宋体" w:hAnsi="宋体" w:hint="eastAsia"/>
          <w:color w:val="000000"/>
          <w:sz w:val="24"/>
          <w:lang w:eastAsia="zh-CN"/>
        </w:rPr>
        <w:t>相关项目</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w:t>
      </w:r>
      <w:r>
        <w:rPr>
          <w:rFonts w:ascii="宋体" w:eastAsia="宋体" w:hAnsi="宋体" w:hint="eastAsia"/>
          <w:color w:val="000000"/>
          <w:sz w:val="24"/>
        </w:rPr>
        <w:t>、所用材料品种。质量必须符合设计要求和现行材料标准的规定。</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(2)</w:t>
      </w:r>
      <w:r>
        <w:rPr>
          <w:rFonts w:ascii="宋体" w:eastAsia="宋体" w:hAnsi="宋体" w:hint="eastAsia"/>
          <w:color w:val="000000"/>
          <w:sz w:val="24"/>
        </w:rPr>
        <w:t>、各抹灰层之间及抹灰层与基体之间必须粘结牢固，无脱层，空鼓，面层无爆灰和裂缝等缺陷（空鼓而不裂的面积不大于</w:t>
      </w:r>
      <w:r>
        <w:rPr>
          <w:rFonts w:ascii="宋体" w:eastAsia="宋体" w:hAnsi="宋体"/>
          <w:color w:val="000000"/>
          <w:sz w:val="24"/>
        </w:rPr>
        <w:t>200CM2</w:t>
      </w:r>
      <w:r>
        <w:rPr>
          <w:rFonts w:ascii="宋体" w:eastAsia="宋体" w:hAnsi="宋体" w:hint="eastAsia"/>
          <w:color w:val="000000"/>
          <w:sz w:val="24"/>
        </w:rPr>
        <w:t>者可不计）。</w:t>
      </w:r>
    </w:p>
    <w:p>
      <w:pPr>
        <w:pStyle w:val="Normal0"/>
        <w:widowControl/>
        <w:suppressAutoHyphens/>
        <w:spacing w:before="240" w:line="300" w:lineRule="auto"/>
        <w:ind w:firstLine="480" w:firstLineChars="200"/>
        <w:rPr>
          <w:rFonts w:ascii="宋体" w:hAnsi="宋体" w:hint="eastAsia"/>
          <w:color w:val="000000"/>
          <w:sz w:val="24"/>
        </w:rPr>
      </w:pPr>
      <w:r>
        <w:rPr>
          <w:rFonts w:ascii="宋体" w:eastAsia="宋体" w:hAnsi="宋体"/>
          <w:color w:val="000000"/>
          <w:sz w:val="24"/>
        </w:rPr>
        <w:t>2</w:t>
      </w:r>
      <w:r>
        <w:rPr>
          <w:rFonts w:ascii="宋体" w:eastAsia="宋体" w:hAnsi="宋体" w:hint="eastAsia"/>
          <w:color w:val="000000"/>
          <w:sz w:val="24"/>
        </w:rPr>
        <w:t>、基本</w:t>
      </w:r>
      <w:r>
        <w:rPr>
          <w:rFonts w:ascii="宋体" w:hAnsi="宋体" w:hint="eastAsia"/>
          <w:color w:val="000000"/>
          <w:sz w:val="24"/>
          <w:lang w:eastAsia="zh-CN"/>
        </w:rPr>
        <w:t>相关项目</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(1).</w:t>
      </w:r>
      <w:r>
        <w:rPr>
          <w:rFonts w:ascii="宋体" w:eastAsia="宋体" w:hAnsi="宋体" w:hint="eastAsia"/>
          <w:color w:val="000000"/>
          <w:sz w:val="24"/>
        </w:rPr>
        <w:t>一般抹灰层表面应符合下列规定：</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合格：表面光滑、洁净，颜色均匀，线角和灰线平直方正。</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优良：表面光滑、洁净，颜色均匀，线角和灰线平直方正，清晰美观。</w:t>
      </w:r>
    </w:p>
    <w:p>
      <w:pPr>
        <w:pStyle w:val="Normal0"/>
        <w:widowControl/>
        <w:suppressAutoHyphens/>
        <w:spacing w:before="240" w:line="300" w:lineRule="auto"/>
        <w:ind w:firstLine="480" w:firstLineChars="200"/>
        <w:rPr>
          <w:rFonts w:ascii="宋体" w:hAnsi="宋体"/>
          <w:color w:val="000000"/>
          <w:sz w:val="24"/>
        </w:rPr>
        <w:sectPr>
          <w:headerReference w:type="default" r:id="rId79"/>
          <w:footerReference w:type="default" r:id="rId80"/>
          <w:type w:val="nextPage"/>
          <w:pgSz w:w="11906" w:h="16838"/>
          <w:pgMar w:top="1440" w:right="1701" w:bottom="1440" w:left="1701" w:header="850" w:footer="992" w:gutter="0"/>
          <w:pgNumType w:start="35"/>
          <w:cols w:num="1" w:space="425"/>
          <w:titlePg w:val="0"/>
          <w:docGrid w:type="lines" w:linePitch="312" w:charSpace="0"/>
        </w:sectPr>
      </w:pPr>
      <w:r>
        <w:rPr>
          <w:rFonts w:ascii="宋体" w:eastAsia="宋体" w:hAnsi="宋体"/>
          <w:color w:val="000000"/>
          <w:sz w:val="24"/>
        </w:rPr>
        <w:t>(2)</w:t>
      </w:r>
      <w:r>
        <w:rPr>
          <w:rFonts w:ascii="宋体" w:eastAsia="宋体" w:hAnsi="宋体" w:hint="eastAsia"/>
          <w:color w:val="000000"/>
          <w:sz w:val="24"/>
        </w:rPr>
        <w:t>、孔洞、槽、盒和管道后面的抹灰表面应符合以下规定。</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合格：尺寸正确，边缘整齐、管道后面平顺。</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优良：尺寸正确、边缘整齐、光滑；管道后面平整。</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(3)</w:t>
      </w:r>
      <w:r>
        <w:rPr>
          <w:rFonts w:ascii="宋体" w:eastAsia="宋体" w:hAnsi="宋体" w:hint="eastAsia"/>
          <w:color w:val="000000"/>
          <w:sz w:val="24"/>
        </w:rPr>
        <w:t>、护角和门窗框与墙体间缝隙的填塞质量应符合以下规定：</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合格：护角材料、高度符合施工规范规定；门窗框与墙体间缝隙填塞密实。</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优良：护角符合施工规范规定、表面光滑平顺；门窗框与墙体间缝隙填塞密实，表面平整。</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(4)</w:t>
      </w:r>
      <w:r>
        <w:rPr>
          <w:rFonts w:ascii="宋体" w:eastAsia="宋体" w:hAnsi="宋体" w:hint="eastAsia"/>
          <w:color w:val="000000"/>
          <w:sz w:val="24"/>
        </w:rPr>
        <w:t>、分格条（缝）的质量应符合以下规定：</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合格：宽度、深度基本均匀，楞角整齐，横平竖直。</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优良：宽度、深度均匀，平整光滑，楞角整齐。横平竖直、通顺。</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(5)</w:t>
      </w:r>
      <w:r>
        <w:rPr>
          <w:rFonts w:ascii="宋体" w:eastAsia="宋体" w:hAnsi="宋体" w:hint="eastAsia"/>
          <w:color w:val="000000"/>
          <w:sz w:val="24"/>
        </w:rPr>
        <w:t>、滴水线和滴水槽的质量应符合以下规定：</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合格：滴水线顺直；滴水槽深度、宽度均不少于</w:t>
      </w:r>
      <w:r>
        <w:rPr>
          <w:rFonts w:ascii="宋体" w:eastAsia="宋体" w:hAnsi="宋体"/>
          <w:color w:val="000000"/>
          <w:sz w:val="24"/>
        </w:rPr>
        <w:t>10mm</w:t>
      </w:r>
      <w:r>
        <w:rPr>
          <w:rFonts w:ascii="宋体" w:eastAsia="宋体" w:hAnsi="宋体" w:hint="eastAsia"/>
          <w:color w:val="000000"/>
          <w:sz w:val="24"/>
        </w:rPr>
        <w:t>。</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hint="eastAsia"/>
          <w:color w:val="000000"/>
          <w:sz w:val="24"/>
        </w:rPr>
        <w:t>优良：流水坡向正确；滴水线顺直；滴水槽深度、宽度均不少于</w:t>
      </w:r>
      <w:r>
        <w:rPr>
          <w:rFonts w:ascii="宋体" w:eastAsia="宋体" w:hAnsi="宋体"/>
          <w:color w:val="000000"/>
          <w:sz w:val="24"/>
        </w:rPr>
        <w:t>10mm</w:t>
      </w:r>
      <w:r>
        <w:rPr>
          <w:rFonts w:ascii="宋体" w:eastAsia="宋体" w:hAnsi="宋体" w:hint="eastAsia"/>
          <w:color w:val="000000"/>
          <w:sz w:val="24"/>
        </w:rPr>
        <w:t>，整齐一致。</w:t>
      </w:r>
    </w:p>
    <w:p>
      <w:pPr>
        <w:pStyle w:val="Normal0"/>
        <w:widowControl/>
        <w:suppressAutoHyphens/>
        <w:spacing w:before="240" w:line="300" w:lineRule="auto"/>
        <w:ind w:firstLine="480" w:firstLineChars="200"/>
        <w:rPr>
          <w:rFonts w:ascii="宋体" w:hAnsi="宋体"/>
          <w:color w:val="000000"/>
          <w:sz w:val="24"/>
        </w:rPr>
      </w:pPr>
      <w:r>
        <w:rPr>
          <w:rFonts w:ascii="宋体" w:eastAsia="宋体" w:hAnsi="宋体"/>
          <w:color w:val="000000"/>
          <w:sz w:val="24"/>
        </w:rPr>
        <w:t>3</w:t>
      </w:r>
      <w:r>
        <w:rPr>
          <w:rFonts w:ascii="宋体" w:eastAsia="宋体" w:hAnsi="宋体" w:hint="eastAsia"/>
          <w:color w:val="000000"/>
          <w:sz w:val="24"/>
        </w:rPr>
        <w:t>、允许偏差：</w:t>
      </w:r>
    </w:p>
    <w:p>
      <w:pPr>
        <w:pStyle w:val="Normal0"/>
        <w:widowControl/>
        <w:suppressAutoHyphens/>
        <w:spacing w:before="240" w:line="300" w:lineRule="auto"/>
        <w:ind w:firstLine="480" w:firstLineChars="200"/>
        <w:rPr>
          <w:rFonts w:ascii="宋体" w:hAnsi="宋体" w:cs="宋体"/>
          <w:kern w:val="0"/>
          <w:sz w:val="24"/>
          <w:lang w:val="zh-CN"/>
        </w:rPr>
      </w:pPr>
      <w:r>
        <w:rPr>
          <w:rFonts w:ascii="宋体" w:eastAsia="宋体" w:hAnsi="宋体" w:hint="eastAsia"/>
          <w:color w:val="000000"/>
          <w:sz w:val="24"/>
        </w:rPr>
        <w:t xml:space="preserve"> 一般抹灰的允许偏差和检验方法应符合验收规范的规定。</w:t>
      </w:r>
    </w:p>
    <w:p>
      <w:pPr>
        <w:pStyle w:val="BZ2"/>
        <w:rPr>
          <w:rFonts w:ascii="宋体" w:eastAsia="宋体" w:hAnsi="宋体"/>
        </w:rPr>
      </w:pPr>
      <w:bookmarkStart w:id="242" w:name="_Toc491077908"/>
      <w:r>
        <w:rPr>
          <w:rFonts w:ascii="宋体" w:eastAsia="宋体" w:hAnsi="宋体" w:hint="eastAsia"/>
        </w:rPr>
        <w:t>铺装工程</w:t>
      </w:r>
      <w:bookmarkEnd w:id="242"/>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透水砖铺装：</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A、 施工准备</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1.铺砌前检查方砖是否合格。方砖表面颜色一致，无蜂窝、露石、脱皮、裂缝等现象。方砖的外形尺寸偏差在允许范围之内。对角线允许偏差2mm、边长允许偏差2mm。</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２.镶贴用水泥采用标号不低于325#的普通硅酸盐水泥，砂采用中粗砂或中砂，其含泥量小于3%。</w:t>
      </w:r>
    </w:p>
    <w:p>
      <w:pPr>
        <w:pStyle w:val="Normal0"/>
        <w:widowControl/>
        <w:suppressAutoHyphens/>
        <w:spacing w:line="360" w:lineRule="auto"/>
        <w:ind w:firstLine="240" w:firstLineChars="100"/>
        <w:jc w:val="left"/>
        <w:rPr>
          <w:rFonts w:ascii="宋体" w:hAnsi="宋体"/>
          <w:color w:val="000000"/>
          <w:sz w:val="24"/>
        </w:rPr>
        <w:sectPr>
          <w:headerReference w:type="default" r:id="rId81"/>
          <w:footerReference w:type="default" r:id="rId82"/>
          <w:type w:val="nextPage"/>
          <w:pgSz w:w="11906" w:h="16838"/>
          <w:pgMar w:top="1440" w:right="1701" w:bottom="1440" w:left="1701" w:header="850" w:footer="992" w:gutter="0"/>
          <w:pgNumType w:start="36"/>
          <w:cols w:num="1" w:space="425"/>
          <w:titlePg w:val="0"/>
          <w:docGrid w:type="lines" w:linePitch="312" w:charSpace="0"/>
        </w:sectPr>
      </w:pPr>
      <w:r>
        <w:rPr>
          <w:rFonts w:ascii="宋体" w:eastAsia="宋体" w:hAnsi="宋体" w:hint="eastAsia"/>
          <w:color w:val="000000"/>
          <w:sz w:val="24"/>
        </w:rPr>
        <w:t>３.对有裂纹、缺棱掉角翘曲和表现有缺陷的方砖，应予剔除。</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４.在要铺设的区域弹出施工大样图。</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B、方砖铺砌</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1.测量放线:方砖铺砌前，按预先测量好的桩点拉线控制铺砌位置和高程。为确保人行步道方砖的纵横缝的直顺美观，铺砌时，采用纵横拉线的双控办法，对纵横砖缝的直顺进行满幅控制。</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2.块砖装卸：装运时注意强度和外观质量，要求颜色一致、无裂缝、不缺棱角。要轻装轻卸以免损坏。卸车时应确定卸车地点和数量，尽量减少小搬运。</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3.基层准备：方砖铺砌时，先用人工将基层面清扫干净，用水泥砂浆按设计厚度进行找平，并立即在找平的砂浆上铺砌步道方砖。</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4.铺砌：外购方砖应符合外观尺寸、强度设计要求。铺砖前按控制点定出方格坐标，并挂线，分段冲筋（铺装样板条）随时检查位置与高程。方砖铺装要轻拿轻放，用橡皮锤敲定，但不得损伤砖的边角，所铺设的方砖不得有活动及凹凸不平现象，接缝宽度均匀一致，缝内用钢渣粉贯实。</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 xml:space="preserve">C、 检查 </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1.跟班检查：在铺筑整个过程中，设专人检查缝距、缝的直顺度、宽窄均匀以及砖的平整度，发现不平整，及时进行更换。</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2.方砖铺砌后，随时检查方砖是否稳固，层面是否平整，纵横缝是否直顺，缝宽是否均匀，有无空鼓，砂浆是否饱满，发现问题及时修正。</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3.铺好后用粗砂扫缝。</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 xml:space="preserve">4. 清理：每日班后，应将分散各处的物料堆放整齐，保持工地整洁。  </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5. 人行步道养生人行步道方砖面层的养生采用人工洒水养生，养生时间不得少于5 天，在此期间，严禁行人、车辆等上板走动和碰触。</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6.面砖砌好后各项检查</w:t>
      </w:r>
      <w:r>
        <w:rPr>
          <w:rFonts w:ascii="宋体" w:hAnsi="宋体" w:hint="eastAsia"/>
          <w:color w:val="000000"/>
          <w:sz w:val="24"/>
          <w:lang w:eastAsia="zh-CN"/>
        </w:rPr>
        <w:t>相关项目</w:t>
      </w:r>
      <w:r>
        <w:rPr>
          <w:rFonts w:ascii="宋体" w:eastAsia="宋体" w:hAnsi="宋体" w:hint="eastAsia"/>
          <w:color w:val="000000"/>
          <w:sz w:val="24"/>
        </w:rPr>
        <w:t>应符合规范及图纸设计要求。</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石材铺装：</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A、施工准备</w:t>
      </w:r>
    </w:p>
    <w:p>
      <w:pPr>
        <w:pStyle w:val="Normal0"/>
        <w:widowControl/>
        <w:suppressAutoHyphens/>
        <w:spacing w:line="360" w:lineRule="auto"/>
        <w:ind w:firstLine="240" w:firstLineChars="100"/>
        <w:jc w:val="left"/>
        <w:rPr>
          <w:rFonts w:ascii="宋体" w:hAnsi="宋体"/>
          <w:color w:val="000000"/>
          <w:sz w:val="24"/>
        </w:rPr>
        <w:sectPr>
          <w:headerReference w:type="default" r:id="rId83"/>
          <w:footerReference w:type="default" r:id="rId84"/>
          <w:type w:val="nextPage"/>
          <w:pgSz w:w="11906" w:h="16838"/>
          <w:pgMar w:top="1440" w:right="1701" w:bottom="1440" w:left="1701" w:header="850" w:footer="992" w:gutter="0"/>
          <w:pgNumType w:start="37"/>
          <w:cols w:num="1" w:space="425"/>
          <w:titlePg w:val="0"/>
          <w:docGrid w:type="lines" w:linePitch="312" w:charSpace="0"/>
        </w:sectPr>
      </w:pPr>
      <w:r>
        <w:rPr>
          <w:rFonts w:ascii="宋体" w:eastAsia="宋体" w:hAnsi="宋体" w:hint="eastAsia"/>
          <w:color w:val="000000"/>
          <w:sz w:val="24"/>
        </w:rPr>
        <w:t>1.由建设单位对进场的石材需进行慎重验收，石材的品种、规格、颜色应符合设计要求，板石材的技术等级、光泽度、外观质量均应按照国家标准的有关规定进行验收确认合格后方能入库。</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２.镶贴用水泥采用标号不低于325#的普通硅酸盐水泥，砂采用中粗砂或中砂，其含泥量小于3%。</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３. 石材进场后应侧立堆放，光面相对，背面隔垫小的松木条，板材下应垫木方。对有裂纹、缺棱掉角翘曲和表现有缺陷的石材，应予剔除。</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４.在要铺设石材的区域弹出施工大样图。</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B、操作工艺</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1工作--以施工图和加工翻样单为依据。熟悉了解各部位尺寸和具体的施工要求，弄清楚各相关部位的相互关系，转角阴、阳角之间的相互关系。</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2 试拼--在正式铺设石材前，对每一区域的石材板块，应按设计施工图中反映的图案、颜色、纹理进行试拼，试拼后应编号，然后按编号将试拼后的石材放整齐。</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 弹线、定标高，为了控制石材的板块位置，在试排前在每个铺设区域，按设计施工图的要求，先在铺设垫层上将控制线弹好，同时用水准仪测好石材面层标高，做好标高标记，并设法保护好标记，以确保石材面的施工达到设计标高的要求，同时也确保平整度。</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4．基层套浆并铺设砂浆结合层--做好上述工作后，对清扫干净的基层用清水湿润，然后用水灰比为0.4的素水泥浆刷一层套浆，套浆面积一次不要过大，应随铺砂浆随刷，根据测定的板面标高线控制结合层砂浆的铺设厚度，根据上述弹好的控制线，拉好十字控制线，然后开始铺设结合层干硬性水泥砂浆（干硬性水泥砂浆一般采用1:2.5的级配，干硬程度以手捏成团，松手落地即散为宜），厚度控制在放上石材板块时高出层面标高线3mm为宜，铺好后用长直尺刮平，再用木蟹拍实找平。结合层砂浆一次不宜铺设面积过大，以免干结，影响质量。</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5.铺石材板块--板块事先用水浸湿，待擦干、晾干后方可铺设。</w:t>
      </w:r>
    </w:p>
    <w:p>
      <w:pPr>
        <w:pStyle w:val="Normal0"/>
        <w:widowControl/>
        <w:suppressAutoHyphens/>
        <w:spacing w:line="360" w:lineRule="auto"/>
        <w:ind w:firstLine="240" w:firstLineChars="100"/>
        <w:jc w:val="left"/>
        <w:rPr>
          <w:rFonts w:ascii="宋体" w:hAnsi="宋体"/>
          <w:color w:val="000000"/>
          <w:sz w:val="24"/>
        </w:rPr>
        <w:sectPr>
          <w:headerReference w:type="default" r:id="rId85"/>
          <w:footerReference w:type="default" r:id="rId86"/>
          <w:type w:val="nextPage"/>
          <w:pgSz w:w="11906" w:h="16838"/>
          <w:pgMar w:top="1440" w:right="1701" w:bottom="1440" w:left="1701" w:header="850" w:footer="992" w:gutter="0"/>
          <w:pgNumType w:start="38"/>
          <w:cols w:num="1" w:space="425"/>
          <w:titlePg w:val="0"/>
          <w:docGrid w:type="lines" w:linePitch="312" w:charSpace="0"/>
        </w:sectPr>
      </w:pP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6.根据拉好的十字控制线，纵横各铺一行，作为大面积铺设的标筋用。依据试拼、试排时的编号或记号，按设计施工图图案的要求，在十字控制线的交点开始铺砌。先将板块对好纵横控制线角落在已铺好的干硬性砂浆结合层上，用橡皮锤敲击木垫板，振实砂浆至铺设高度后，将板块掀起移至一旁，检查砂浆表面与板块之间是否相吻合，如发现有空虚之处，应用砂浆填补，然后正式镶铺。正式镶铺是先在水泥砂浆结合层上满浇一层水灰比为0.5的素水泥浆（用壶使浆浇均匀），然后再铺板块，安放时四角同时往下落，用橡皮锤轻击木垫板，根据标高线找平，铺完第一块，向两侧和后退方向顺序渐退铺砌。铺完纵、横行之后有了标准，可分段、分区域、分块依次铺砌。一般从中间向两边、向外逐步退至出口，以便于成品的保护。必须注意的是各道口要呼应好口卸接好，镶边外应紧密砌合，不得留有空隙。</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7.灌缝、擦缝--在板块铺砌好48小时内，人员不能在板块上走动。待48小时后，根据石材的颜色，选择相同颜色矿物颜料和水泥，按1:1的级配，拌合均匀，调成水泥浆，进行灌缝、灌满为止，灌浆2小时时用棉纱困蘸原稀水泥浆擦缝，与板面擦干，同时将板面上水泥浆擦干净，使石材面层的表面洁净、平整、坚实。</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C、石材施工的质量标准：</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1.保证</w:t>
      </w:r>
      <w:r>
        <w:rPr>
          <w:rFonts w:ascii="宋体" w:hAnsi="宋体" w:hint="eastAsia"/>
          <w:color w:val="000000"/>
          <w:sz w:val="24"/>
          <w:lang w:eastAsia="zh-CN"/>
        </w:rPr>
        <w:t>相关项目</w:t>
      </w:r>
      <w:r>
        <w:rPr>
          <w:rFonts w:ascii="宋体" w:eastAsia="宋体" w:hAnsi="宋体" w:hint="eastAsia"/>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石材的品种、规格、颜色、图案必须符合设计要求和有关标准的规定。</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石材的安装必须牢固，严禁空鼓，无歪斜、缺楞掉角和裂缝等缺陷。</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２.基本</w:t>
      </w:r>
      <w:r>
        <w:rPr>
          <w:rFonts w:ascii="宋体" w:hAnsi="宋体" w:hint="eastAsia"/>
          <w:color w:val="000000"/>
          <w:sz w:val="24"/>
          <w:lang w:eastAsia="zh-CN"/>
        </w:rPr>
        <w:t>相关项目</w:t>
      </w:r>
      <w:r>
        <w:rPr>
          <w:rFonts w:ascii="宋体" w:eastAsia="宋体" w:hAnsi="宋体" w:hint="eastAsia"/>
          <w:color w:val="000000"/>
          <w:sz w:val="24"/>
        </w:rPr>
        <w:t>：</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表面：必须平整、洁净，颜色协调一致。</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接缝：必然填嵌密实，平直、宽窄一致，颜色一致。</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套割：用整板套割吻合，边缘整齐，突出墙面的厚度要一致。</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 石材面层允许误差：</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1）表面平正度：     1.0mm    用2米靠尺检查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2）缝格平直：       2.0mm    用5米线和钢尺检查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3）接缝高低差       0.5mm    用钢尺和楔形塞尺检查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4）踢脚线上口平直    1.0mm    用5米线和钢尺检查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5）板块间隙宽度     1.0mm    用钢尺检查</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4.应注意的质量问题：石材的铺设经常会发生和质量问题不外乎以下4个问题，施工时应切实控制杜绝出现质量隐患：</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1）面碰损污染：主要是由于板材在搬动和操作中被砂浆等脏物污染，未及时清洗，或安装后成品保护不好所致。</w:t>
      </w:r>
    </w:p>
    <w:p>
      <w:pPr>
        <w:pStyle w:val="Normal0"/>
        <w:widowControl/>
        <w:suppressAutoHyphens/>
        <w:spacing w:line="360" w:lineRule="auto"/>
        <w:ind w:firstLine="240" w:firstLineChars="100"/>
        <w:jc w:val="left"/>
        <w:rPr>
          <w:rFonts w:ascii="宋体" w:hAnsi="宋体"/>
          <w:color w:val="000000"/>
          <w:sz w:val="24"/>
        </w:rPr>
        <w:sectPr>
          <w:headerReference w:type="default" r:id="rId87"/>
          <w:footerReference w:type="default" r:id="rId88"/>
          <w:type w:val="nextPage"/>
          <w:pgSz w:w="11906" w:h="16838"/>
          <w:pgMar w:top="1440" w:right="1701" w:bottom="1440" w:left="1701" w:header="850" w:footer="992" w:gutter="0"/>
          <w:pgNumType w:start="39"/>
          <w:cols w:num="1" w:space="425"/>
          <w:titlePg w:val="0"/>
          <w:docGrid w:type="lines" w:linePitch="312" w:charSpace="0"/>
        </w:sectPr>
      </w:pP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2）空鼓：地面石材空鼓在于垫层清理不干净，或浇水湿润不够刷素水泥浆不均匀或刷的面积过大，时间过长已风干，干硬水泥砂浆任意加水，或者是石材板材未认真浸水湿润。板面有浮土。石材镶贴出现空鼓，主要是灌浆不饱满不密实所致，有时灌浆稠度大，使砂浆流动性差，或者因钢筋网阻挡造成该处灌浆不密实而空鼓；有时因清理石膏时，剔凿用力过大，使板材在粘结前因振动过大而空鼓；同样缺乏养护，脱水过早，也会产生空鼓。</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3）开裂：有的板材材质较差，受外力影响会在色纹暗缝或隐蔽处出现裂缝。有时镶贴在墙面，柱面的板材，因结构受压变形而开裂。因此，安装时应适当的留有一定的缝隙，以防结构压缩。</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4）接缝不平，高低差过大超过0.3mm：造成的原因主要是</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基层处理不好，对板材的质量进货时没有严格把关或挑选，安装前试拼不认真，施工操作不当造成，分次灌浆时一次灌浆过高，也容易造成石材板面外移或板面错动，以致出现接缝不平，高低差超过规定值</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路牙石安装</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道路完成后，开沟进行路缘石安装，路缘石采用1：3水泥砂浆座底和安装勾缝。安装时挂线，按线码砌。要求顺直圆滑、顶面平整。</w:t>
      </w:r>
    </w:p>
    <w:p>
      <w:pPr>
        <w:pStyle w:val="BZ2"/>
        <w:rPr>
          <w:rFonts w:ascii="宋体" w:eastAsia="宋体" w:hAnsi="宋体"/>
        </w:rPr>
      </w:pPr>
      <w:r>
        <w:rPr>
          <w:rFonts w:ascii="宋体" w:eastAsia="宋体" w:hAnsi="宋体" w:hint="eastAsia"/>
        </w:rPr>
        <w:t xml:space="preserve"> </w:t>
      </w:r>
      <w:bookmarkStart w:id="243" w:name="_Toc491077909"/>
      <w:r>
        <w:rPr>
          <w:rFonts w:ascii="宋体" w:eastAsia="宋体" w:hAnsi="宋体" w:hint="eastAsia"/>
        </w:rPr>
        <w:t>绿化种植</w:t>
      </w:r>
      <w:bookmarkEnd w:id="243"/>
    </w:p>
    <w:p>
      <w:pPr>
        <w:pStyle w:val="Heading4"/>
        <w:spacing w:line="360" w:lineRule="auto"/>
        <w:ind w:firstLine="284"/>
        <w:rPr>
          <w:rFonts w:ascii="宋体" w:hAnsi="宋体"/>
          <w:b w:val="0"/>
          <w:bCs w:val="0"/>
          <w:color w:val="000000"/>
          <w:sz w:val="24"/>
          <w:szCs w:val="24"/>
        </w:rPr>
      </w:pPr>
      <w:r>
        <w:rPr>
          <w:rFonts w:ascii="宋体" w:hAnsi="宋体" w:hint="eastAsia"/>
          <w:b w:val="0"/>
          <w:bCs w:val="0"/>
          <w:color w:val="000000"/>
          <w:sz w:val="24"/>
          <w:szCs w:val="24"/>
        </w:rPr>
        <w:t>1、</w:t>
      </w:r>
      <w:r>
        <w:rPr>
          <w:rFonts w:ascii="宋体" w:hAnsi="宋体" w:cs="Times New Roman" w:hint="eastAsia"/>
          <w:b w:val="0"/>
          <w:bCs w:val="0"/>
          <w:color w:val="000000"/>
          <w:sz w:val="24"/>
          <w:szCs w:val="22"/>
        </w:rPr>
        <w:t>物料要求</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所用材料，除符合图纸的要求外，尚须符合下列规定：</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w:t>
      </w:r>
      <w:r>
        <w:rPr>
          <w:rFonts w:ascii="宋体" w:eastAsia="宋体" w:hAnsi="宋体"/>
          <w:color w:val="000000"/>
          <w:sz w:val="24"/>
        </w:rPr>
        <w:t>1</w:t>
      </w:r>
      <w:r>
        <w:rPr>
          <w:rFonts w:ascii="宋体" w:eastAsia="宋体" w:hAnsi="宋体" w:hint="eastAsia"/>
          <w:color w:val="000000"/>
          <w:sz w:val="24"/>
        </w:rPr>
        <w:t>、绿化土方应符合设计规定，且不含有盐、碱及垃圾等对植物生长有害的物质。</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w:t>
      </w:r>
      <w:r>
        <w:rPr>
          <w:rFonts w:ascii="宋体" w:eastAsia="宋体" w:hAnsi="宋体"/>
          <w:color w:val="000000"/>
          <w:sz w:val="24"/>
        </w:rPr>
        <w:t>2</w:t>
      </w:r>
      <w:r>
        <w:rPr>
          <w:rFonts w:ascii="宋体" w:eastAsia="宋体" w:hAnsi="宋体" w:hint="eastAsia"/>
          <w:color w:val="000000"/>
          <w:sz w:val="24"/>
        </w:rPr>
        <w:t>、用于植物生长和养护的水，应不含有任何有害植物生长的酸、碱、盐等物质。</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1.</w:t>
      </w:r>
      <w:r>
        <w:rPr>
          <w:rFonts w:ascii="宋体" w:eastAsia="宋体" w:hAnsi="宋体"/>
          <w:color w:val="000000"/>
          <w:sz w:val="24"/>
        </w:rPr>
        <w:t>3</w:t>
      </w:r>
      <w:r>
        <w:rPr>
          <w:rFonts w:ascii="宋体" w:eastAsia="宋体" w:hAnsi="宋体" w:hint="eastAsia"/>
          <w:color w:val="000000"/>
          <w:sz w:val="24"/>
        </w:rPr>
        <w:t>、绿化植物除符合设计规定外，应达到以下质量标准：</w:t>
      </w:r>
      <w:r>
        <w:rPr>
          <w:rFonts w:ascii="宋体" w:eastAsia="宋体" w:hAnsi="宋体"/>
          <w:color w:val="000000"/>
          <w:sz w:val="24"/>
        </w:rPr>
        <w:t xml:space="preserve"> </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⑴乔木</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①生长健壮、树冠开展，树枝根系发育正常，根系茁壮，无病虫害。</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②不得有直径为</w:t>
      </w:r>
      <w:r>
        <w:rPr>
          <w:rFonts w:ascii="宋体" w:eastAsia="宋体" w:hAnsi="宋体"/>
          <w:color w:val="000000"/>
          <w:sz w:val="24"/>
        </w:rPr>
        <w:t>2cm</w:t>
      </w:r>
      <w:r>
        <w:rPr>
          <w:rFonts w:ascii="宋体" w:eastAsia="宋体" w:hAnsi="宋体" w:hint="eastAsia"/>
          <w:color w:val="000000"/>
          <w:sz w:val="24"/>
        </w:rPr>
        <w:t>以上的未愈合的伤痕和截枝。</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⑵灌木</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①高度应符合设计规定。</w:t>
      </w:r>
    </w:p>
    <w:p>
      <w:pPr>
        <w:pStyle w:val="Normal0"/>
        <w:widowControl/>
        <w:suppressAutoHyphens/>
        <w:spacing w:line="360" w:lineRule="auto"/>
        <w:ind w:firstLine="240" w:firstLineChars="100"/>
        <w:jc w:val="left"/>
        <w:rPr>
          <w:rFonts w:ascii="宋体" w:hAnsi="宋体"/>
          <w:color w:val="000000"/>
          <w:sz w:val="24"/>
        </w:rPr>
      </w:pPr>
      <w:r>
        <w:rPr>
          <w:rFonts w:ascii="宋体" w:eastAsia="宋体" w:hAnsi="宋体" w:hint="eastAsia"/>
          <w:color w:val="000000"/>
          <w:sz w:val="24"/>
        </w:rPr>
        <w:t>②所有灌木应是生长健壮，并且有本地区的生长特性。</w:t>
      </w:r>
      <w:r>
        <w:rPr>
          <w:rFonts w:ascii="宋体" w:hAnsi="宋体"/>
          <w:color w:val="000000"/>
          <w:sz w:val="24"/>
        </w:rPr>
        <w:br/>
      </w:r>
      <w:r>
        <w:rPr>
          <w:rFonts w:ascii="宋体" w:hAnsi="宋体"/>
          <w:color w:val="00000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9" w:history="1">
        <w:r>
          <w:rPr>
            <w:rFonts w:ascii="SimSun" w:eastAsia="SimSun" w:hAnsi="SimSun" w:cs="SimSun"/>
            <w:b/>
            <w:bCs/>
            <w:color w:val="0000EE"/>
            <w:kern w:val="0"/>
            <w:sz w:val="30"/>
            <w:szCs w:val="30"/>
            <w:u w:val="single" w:color="0000EE"/>
          </w:rPr>
          <w:t>https://d.book118.com/108036051000006045</w:t>
        </w:r>
      </w:hyperlink>
    </w:p>
    <w:p>
      <w:pPr>
        <w:pStyle w:val="Normal0"/>
        <w:widowControl/>
        <w:suppressAutoHyphens/>
        <w:spacing w:line="360" w:lineRule="auto"/>
        <w:ind w:firstLine="240" w:firstLineChars="100"/>
        <w:jc w:val="left"/>
        <w:rPr>
          <w:rFonts w:ascii="宋体" w:hAnsi="宋体"/>
          <w:color w:val="000000"/>
          <w:sz w:val="24"/>
        </w:rPr>
      </w:pPr>
    </w:p>
    <w:sectPr>
      <w:headerReference w:type="default" r:id="rId90"/>
      <w:footerReference w:type="default" r:id="rId91"/>
      <w:type w:val="nextPage"/>
      <w:pgSz w:w="11906" w:h="16838"/>
      <w:pgMar w:top="1440" w:right="1701" w:bottom="1440" w:left="1701" w:header="850"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Batang">
    <w:altName w:val="Malgun Gothic"/>
    <w:panose1 w:val="02030600000101010101"/>
    <w:charset w:val="81"/>
    <w:family w:val="auto"/>
    <w:pitch w:val="default"/>
    <w:sig w:usb0="00000000" w:usb1="00000000" w:usb2="00000010" w:usb3="00000000" w:csb0="0008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r>
      <w:fldChar w:fldCharType="begin"/>
    </w:r>
    <w:r>
      <w:instrText xml:space="preserve"> PAGE  \* MERGEFORMAT </w:instrText>
    </w:r>
    <w:r>
      <w:fldChar w:fldCharType="separate"/>
    </w:r>
    <w:r>
      <w:t>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9</w:t>
    </w:r>
    <w:r>
      <w:rPr>
        <w:rFonts w:ascii="宋体" w:hAnsi="宋体"/>
        <w:color w:val="000000"/>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9</w:t>
    </w:r>
    <w:r>
      <w:rPr>
        <w:rFonts w:ascii="宋体" w:hAnsi="宋体"/>
        <w:color w:val="000000"/>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10</w:t>
    </w:r>
    <w:r>
      <w:rPr>
        <w:rFonts w:ascii="宋体" w:hAnsi="宋体"/>
        <w:color w:val="000000"/>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11</w:t>
    </w:r>
    <w:r>
      <w:rPr>
        <w:rFonts w:ascii="宋体" w:hAnsi="宋体"/>
        <w:color w:val="000000"/>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12</w:t>
    </w:r>
    <w:r>
      <w:rPr>
        <w:rFonts w:ascii="宋体" w:hAnsi="宋体"/>
        <w:color w:val="000000"/>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13</w:t>
    </w:r>
    <w:r>
      <w:rPr>
        <w:rFonts w:ascii="宋体" w:hAnsi="宋体"/>
        <w:color w:val="000000"/>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14</w:t>
    </w:r>
    <w:r>
      <w:rPr>
        <w:rFonts w:ascii="宋体" w:hAnsi="宋体"/>
        <w:color w:val="000000"/>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15</w:t>
    </w:r>
    <w:r>
      <w:rPr>
        <w:rFonts w:ascii="宋体" w:hAnsi="宋体"/>
        <w:color w:val="000000"/>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16</w:t>
    </w:r>
    <w:r>
      <w:rPr>
        <w:rFonts w:ascii="宋体" w:hAnsi="宋体"/>
        <w:color w:val="000000"/>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17</w:t>
    </w:r>
    <w:r>
      <w:rPr>
        <w:rFonts w:ascii="宋体" w:hAnsi="宋体"/>
        <w:color w:val="00000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r>
      <w:fldChar w:fldCharType="begin"/>
    </w:r>
    <w:r>
      <w:instrText xml:space="preserve"> PAGE  \* MERGEFORMAT </w:instrText>
    </w:r>
    <w:r>
      <w:fldChar w:fldCharType="separate"/>
    </w:r>
    <w:r>
      <w:t>2</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18</w:t>
    </w:r>
    <w:r>
      <w:rPr>
        <w:rFonts w:ascii="宋体" w:hAnsi="宋体"/>
        <w:color w:val="000000"/>
        <w:sz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19</w:t>
    </w:r>
    <w:r>
      <w:rPr>
        <w:rFonts w:ascii="宋体" w:hAnsi="宋体"/>
        <w:color w:val="000000"/>
        <w:sz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20</w:t>
    </w:r>
    <w:r>
      <w:rPr>
        <w:rFonts w:ascii="宋体" w:hAnsi="宋体"/>
        <w:color w:val="000000"/>
        <w:sz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22</w:t>
    </w:r>
    <w:r>
      <w:rPr>
        <w:rFonts w:ascii="宋体" w:hAnsi="宋体"/>
        <w:color w:val="000000"/>
        <w:sz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22</w:t>
    </w:r>
    <w:r>
      <w:rPr>
        <w:rFonts w:ascii="宋体" w:hAnsi="宋体"/>
        <w:color w:val="000000"/>
        <w:sz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23</w:t>
    </w:r>
    <w:r>
      <w:rPr>
        <w:rFonts w:ascii="宋体" w:hAnsi="宋体"/>
        <w:color w:val="000000"/>
        <w:sz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24</w:t>
    </w:r>
    <w:r>
      <w:rPr>
        <w:rFonts w:ascii="宋体" w:hAnsi="宋体"/>
        <w:color w:val="000000"/>
        <w:sz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25</w:t>
    </w:r>
    <w:r>
      <w:rPr>
        <w:rFonts w:ascii="宋体" w:hAnsi="宋体"/>
        <w:color w:val="000000"/>
        <w:sz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26</w:t>
    </w:r>
    <w:r>
      <w:rPr>
        <w:rFonts w:ascii="宋体" w:hAnsi="宋体"/>
        <w:color w:val="000000"/>
        <w:sz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27</w:t>
    </w:r>
    <w:r>
      <w:rPr>
        <w:rFonts w:ascii="宋体" w:hAnsi="宋体"/>
        <w:color w:val="00000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1</w:t>
    </w:r>
    <w:r>
      <w:rPr>
        <w:rFonts w:ascii="宋体" w:hAnsi="宋体"/>
        <w:color w:val="000000"/>
        <w:sz w:val="18"/>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28</w:t>
    </w:r>
    <w:r>
      <w:rPr>
        <w:rFonts w:ascii="宋体" w:hAnsi="宋体"/>
        <w:color w:val="000000"/>
        <w:sz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29</w:t>
    </w:r>
    <w:r>
      <w:rPr>
        <w:rFonts w:ascii="宋体" w:hAnsi="宋体"/>
        <w:color w:val="000000"/>
        <w:sz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30</w:t>
    </w:r>
    <w:r>
      <w:rPr>
        <w:rFonts w:ascii="宋体" w:hAnsi="宋体"/>
        <w:color w:val="000000"/>
        <w:sz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31</w:t>
    </w:r>
    <w:r>
      <w:rPr>
        <w:rFonts w:ascii="宋体" w:hAnsi="宋体"/>
        <w:color w:val="000000"/>
        <w:sz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32</w:t>
    </w:r>
    <w:r>
      <w:rPr>
        <w:rFonts w:ascii="宋体" w:hAnsi="宋体"/>
        <w:color w:val="000000"/>
        <w:sz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34</w:t>
    </w:r>
    <w:r>
      <w:rPr>
        <w:rFonts w:ascii="宋体" w:hAnsi="宋体"/>
        <w:color w:val="000000"/>
        <w:sz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34</w:t>
    </w:r>
    <w:r>
      <w:rPr>
        <w:rFonts w:ascii="宋体" w:hAnsi="宋体"/>
        <w:color w:val="000000"/>
        <w:sz w:val="18"/>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35</w:t>
    </w:r>
    <w:r>
      <w:rPr>
        <w:rFonts w:ascii="宋体" w:hAnsi="宋体"/>
        <w:color w:val="000000"/>
        <w:sz w:val="18"/>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36</w:t>
    </w:r>
    <w:r>
      <w:rPr>
        <w:rFonts w:ascii="宋体" w:hAnsi="宋体"/>
        <w:color w:val="000000"/>
        <w:sz w:val="18"/>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37</w:t>
    </w:r>
    <w:r>
      <w:rPr>
        <w:rFonts w:ascii="宋体" w:hAnsi="宋体"/>
        <w:color w:val="000000"/>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2</w:t>
    </w:r>
    <w:r>
      <w:rPr>
        <w:rFonts w:ascii="宋体" w:hAnsi="宋体"/>
        <w:color w:val="000000"/>
        <w:sz w:val="18"/>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38</w:t>
    </w:r>
    <w:r>
      <w:rPr>
        <w:rFonts w:ascii="宋体" w:hAnsi="宋体"/>
        <w:color w:val="000000"/>
        <w:sz w:val="18"/>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40</w:t>
    </w:r>
    <w:r>
      <w:rPr>
        <w:rFonts w:ascii="宋体" w:hAnsi="宋体"/>
        <w:color w:val="000000"/>
        <w:sz w:val="18"/>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41</w:t>
    </w:r>
    <w:r>
      <w:rPr>
        <w:rFonts w:ascii="宋体" w:hAnsi="宋体"/>
        <w:color w:val="000000"/>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3</w:t>
    </w:r>
    <w:r>
      <w:rPr>
        <w:rFonts w:ascii="宋体" w:hAnsi="宋体"/>
        <w:color w:val="000000"/>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4</w:t>
    </w:r>
    <w:r>
      <w:rPr>
        <w:rFonts w:ascii="宋体" w:hAnsi="宋体"/>
        <w:color w:val="000000"/>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5</w:t>
    </w:r>
    <w:r>
      <w:rPr>
        <w:rFonts w:ascii="宋体" w:hAnsi="宋体"/>
        <w:color w:val="000000"/>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6</w:t>
    </w:r>
    <w:r>
      <w:rPr>
        <w:rFonts w:ascii="宋体" w:hAnsi="宋体"/>
        <w:color w:val="000000"/>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jc w:val="center"/>
      <w:rPr>
        <w:rFonts w:ascii="宋体" w:hAnsi="宋体"/>
        <w:color w:val="000000"/>
        <w:sz w:val="18"/>
      </w:rPr>
    </w:pPr>
    <w:r>
      <w:rPr>
        <w:rFonts w:ascii="宋体" w:hAnsi="宋体"/>
        <w:color w:val="000000"/>
        <w:sz w:val="18"/>
      </w:rPr>
      <w:fldChar w:fldCharType="begin"/>
    </w:r>
    <w:r>
      <w:rPr>
        <w:rFonts w:ascii="宋体" w:hAnsi="宋体"/>
        <w:color w:val="000000"/>
        <w:sz w:val="18"/>
      </w:rPr>
      <w:instrText xml:space="preserve"> PAGE  \* Arabic  \* MERGEFORMAT </w:instrText>
    </w:r>
    <w:r>
      <w:rPr>
        <w:rFonts w:ascii="宋体" w:hAnsi="宋体"/>
        <w:color w:val="000000"/>
        <w:sz w:val="18"/>
      </w:rPr>
      <w:fldChar w:fldCharType="separate"/>
    </w:r>
    <w:r>
      <w:rPr>
        <w:rFonts w:ascii="宋体" w:hAnsi="宋体"/>
        <w:color w:val="000000"/>
        <w:sz w:val="18"/>
      </w:rPr>
      <w:t>7</w:t>
    </w:r>
    <w:r>
      <w:rPr>
        <w:rFonts w:ascii="宋体" w:hAnsi="宋体"/>
        <w:color w:val="000000"/>
        <w:sz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r>
      <w:rPr>
        <w:rFonts w:ascii="宋体" w:hAnsi="宋体"/>
        <w:i/>
        <w:color w:val="000000"/>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r>
      <w:rPr>
        <w:rFonts w:ascii="宋体" w:hAnsi="宋体"/>
        <w:i/>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r>
      <w:rPr>
        <w:rFonts w:ascii="宋体" w:hAnsi="宋体"/>
        <w:i/>
        <w:color w:val="000000"/>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r>
      <w:rPr>
        <w:rFonts w:ascii="宋体" w:hAnsi="宋体"/>
        <w:i/>
        <w:color w:val="000000"/>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left"/>
      <w:rPr>
        <w:rFonts w:ascii="宋体" w:hAnsi="宋体"/>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41507"/>
    <w:multiLevelType w:val="multilevel"/>
    <w:tmpl w:val="01041507"/>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nsid w:val="0737DCF9"/>
    <w:multiLevelType w:val="multilevel"/>
    <w:tmpl w:val="3B67230F"/>
    <w:lvl w:ilvl="0">
      <w:start w:val="3"/>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074BA34F"/>
    <w:multiLevelType w:val="multilevel"/>
    <w:tmpl w:val="65BA5513"/>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0C4D19CF"/>
    <w:multiLevelType w:val="multilevel"/>
    <w:tmpl w:val="0C4D19CF"/>
    <w:lvl w:ilvl="0">
      <w:start w:val="5"/>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0FEC798F"/>
    <w:multiLevelType w:val="multilevel"/>
    <w:tmpl w:val="0FEC798F"/>
    <w:lvl w:ilvl="0">
      <w:start w:val="7"/>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11A21C6E"/>
    <w:multiLevelType w:val="multilevel"/>
    <w:tmpl w:val="11A21C6E"/>
    <w:lvl w:ilvl="0">
      <w:start w:val="1"/>
      <w:numFmt w:val="japaneseCounting"/>
      <w:lvlText w:val="%1、"/>
      <w:lvlJc w:val="left"/>
      <w:pPr>
        <w:ind w:left="622" w:hanging="48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6">
    <w:nsid w:val="1C624A24"/>
    <w:multiLevelType w:val="multilevel"/>
    <w:tmpl w:val="7F3A387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1E9F5280"/>
    <w:multiLevelType w:val="multilevel"/>
    <w:tmpl w:val="74A664A9"/>
    <w:lvl w:ilvl="0">
      <w:start w:val="4"/>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nsid w:val="285B5CB9"/>
    <w:multiLevelType w:val="multilevel"/>
    <w:tmpl w:val="285B5CB9"/>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F463C29"/>
    <w:multiLevelType w:val="multilevel"/>
    <w:tmpl w:val="2F463C29"/>
    <w:lvl w:ilvl="0">
      <w:start w:val="4"/>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2F8CEA6F"/>
    <w:multiLevelType w:val="multilevel"/>
    <w:tmpl w:val="0FEC798F"/>
    <w:lvl w:ilvl="0">
      <w:start w:val="7"/>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32C4558E"/>
    <w:multiLevelType w:val="multilevel"/>
    <w:tmpl w:val="32C4558E"/>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b w:val="0"/>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35FD8A0B"/>
    <w:multiLevelType w:val="multilevel"/>
    <w:tmpl w:val="5F5763D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3AF87EF0"/>
    <w:multiLevelType w:val="multilevel"/>
    <w:tmpl w:val="3AF87EF0"/>
    <w:lvl w:ilvl="0">
      <w:start w:val="6"/>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3B67230F"/>
    <w:multiLevelType w:val="multilevel"/>
    <w:tmpl w:val="3B67230F"/>
    <w:lvl w:ilvl="0">
      <w:start w:val="3"/>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3F5F6C65"/>
    <w:multiLevelType w:val="multilevel"/>
    <w:tmpl w:val="3F5F6C65"/>
    <w:lvl w:ilvl="0">
      <w:start w:val="5"/>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4762C6CE"/>
    <w:multiLevelType w:val="multilevel"/>
    <w:tmpl w:val="01041507"/>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49D36381"/>
    <w:multiLevelType w:val="multilevel"/>
    <w:tmpl w:val="49D3638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993"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nsid w:val="4B6E7620"/>
    <w:multiLevelType w:val="multilevel"/>
    <w:tmpl w:val="4B6E762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b w:val="0"/>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4FB77082"/>
    <w:multiLevelType w:val="multilevel"/>
    <w:tmpl w:val="4FB77082"/>
    <w:lvl w:ilvl="0">
      <w:start w:val="1"/>
      <w:numFmt w:val="decimal"/>
      <w:pStyle w:val="BZ1"/>
      <w:lvlText w:val="第%1章"/>
      <w:lvlJc w:val="left"/>
      <w:pPr>
        <w:tabs>
          <w:tab w:val="left" w:pos="425"/>
        </w:tabs>
        <w:ind w:left="425" w:hanging="425"/>
      </w:pPr>
      <w:rPr>
        <w:rFonts w:ascii="宋体" w:eastAsia="宋体" w:hAnsi="宋体" w:hint="eastAsia"/>
        <w:b/>
        <w:i w:val="0"/>
        <w:color w:val="000000"/>
        <w:sz w:val="44"/>
      </w:rPr>
    </w:lvl>
    <w:lvl w:ilvl="1">
      <w:start w:val="1"/>
      <w:numFmt w:val="decimal"/>
      <w:pStyle w:val="BZ2"/>
      <w:lvlText w:val="第%2节"/>
      <w:lvlJc w:val="left"/>
      <w:pPr>
        <w:tabs>
          <w:tab w:val="left" w:pos="425"/>
        </w:tabs>
        <w:ind w:left="425" w:hanging="425"/>
      </w:pPr>
      <w:rPr>
        <w:rFonts w:ascii="黑体" w:eastAsia="黑体" w:hint="eastAsia"/>
        <w:b/>
        <w:i w:val="0"/>
        <w:color w:val="000000"/>
        <w:sz w:val="32"/>
      </w:rPr>
    </w:lvl>
    <w:lvl w:ilvl="2">
      <w:start w:val="1"/>
      <w:numFmt w:val="decimal"/>
      <w:pStyle w:val="BZ3"/>
      <w:lvlText w:val="第%3小节"/>
      <w:lvlJc w:val="left"/>
      <w:pPr>
        <w:tabs>
          <w:tab w:val="left" w:pos="425"/>
        </w:tabs>
        <w:ind w:left="425" w:hanging="425"/>
      </w:pPr>
      <w:rPr>
        <w:rFonts w:ascii="宋体" w:eastAsia="宋体" w:hAnsi="宋体" w:hint="eastAsia"/>
        <w:b/>
        <w:i w:val="0"/>
        <w:color w:val="000000"/>
        <w:sz w:val="32"/>
      </w:rPr>
    </w:lvl>
    <w:lvl w:ilvl="3">
      <w:start w:val="1"/>
      <w:numFmt w:val="upperRoman"/>
      <w:pStyle w:val="BZ4"/>
      <w:lvlText w:val="%1.%2.%3.%4"/>
      <w:lvlJc w:val="left"/>
      <w:pPr>
        <w:tabs>
          <w:tab w:val="left" w:pos="425"/>
        </w:tabs>
        <w:ind w:left="425" w:hanging="425"/>
      </w:pPr>
      <w:rPr>
        <w:rFonts w:ascii="黑体" w:eastAsia="黑体" w:hint="eastAsia"/>
        <w:b/>
        <w:i w:val="0"/>
        <w:color w:val="000000"/>
        <w:sz w:val="28"/>
      </w:rPr>
    </w:lvl>
    <w:lvl w:ilvl="4">
      <w:start w:val="1"/>
      <w:numFmt w:val="decimal"/>
      <w:pStyle w:val="BZ5"/>
      <w:lvlJc w:val="left"/>
      <w:pPr>
        <w:tabs>
          <w:tab w:val="left" w:pos="425"/>
        </w:tabs>
        <w:ind w:left="425" w:hanging="425"/>
      </w:pPr>
      <w:rPr>
        <w:rFonts w:ascii="黑体" w:eastAsia="黑体" w:hint="eastAsia"/>
        <w:b/>
        <w:i w:val="0"/>
        <w:color w:val="auto"/>
        <w:sz w:val="28"/>
      </w:rPr>
    </w:lvl>
    <w:lvl w:ilvl="5">
      <w:start w:val="1"/>
      <w:numFmt w:val="decimal"/>
      <w:pStyle w:val="BZ6"/>
      <w:lvlJc w:val="left"/>
      <w:pPr>
        <w:tabs>
          <w:tab w:val="left" w:pos="425"/>
        </w:tabs>
        <w:ind w:left="425" w:hanging="425"/>
      </w:pPr>
      <w:rPr>
        <w:rFonts w:ascii="黑体" w:eastAsia="黑体" w:hint="eastAsia"/>
        <w:b/>
        <w:i w:val="0"/>
        <w:color w:val="auto"/>
        <w:sz w:val="24"/>
      </w:rPr>
    </w:lvl>
    <w:lvl w:ilvl="6">
      <w:start w:val="1"/>
      <w:numFmt w:val="decimal"/>
      <w:pStyle w:val="BZ7"/>
      <w:lvlJc w:val="left"/>
      <w:pPr>
        <w:tabs>
          <w:tab w:val="left" w:pos="425"/>
        </w:tabs>
        <w:ind w:left="425" w:hanging="425"/>
      </w:pPr>
      <w:rPr>
        <w:rFonts w:ascii="黑体" w:eastAsia="黑体" w:hint="eastAsia"/>
        <w:b/>
        <w:i w:val="0"/>
        <w:color w:val="auto"/>
        <w:sz w:val="24"/>
      </w:rPr>
    </w:lvl>
    <w:lvl w:ilvl="7">
      <w:start w:val="1"/>
      <w:numFmt w:val="decimal"/>
      <w:pStyle w:val="BZ8"/>
      <w:lvlJc w:val="left"/>
      <w:pPr>
        <w:tabs>
          <w:tab w:val="left" w:pos="425"/>
        </w:tabs>
        <w:ind w:left="425" w:hanging="425"/>
      </w:pPr>
      <w:rPr>
        <w:rFonts w:ascii="黑体" w:eastAsia="黑体" w:hint="eastAsia"/>
        <w:b w:val="0"/>
        <w:i w:val="0"/>
        <w:color w:val="auto"/>
        <w:sz w:val="24"/>
      </w:rPr>
    </w:lvl>
    <w:lvl w:ilvl="8">
      <w:start w:val="1"/>
      <w:numFmt w:val="decimal"/>
      <w:pStyle w:val="BZ9"/>
      <w:lvlJc w:val="left"/>
      <w:pPr>
        <w:tabs>
          <w:tab w:val="left" w:pos="425"/>
        </w:tabs>
        <w:ind w:left="425" w:hanging="425"/>
      </w:pPr>
      <w:rPr>
        <w:rFonts w:ascii="黑体" w:eastAsia="黑体" w:hint="eastAsia"/>
        <w:b w:val="0"/>
        <w:i w:val="0"/>
        <w:color w:val="auto"/>
        <w:sz w:val="21"/>
      </w:rPr>
    </w:lvl>
  </w:abstractNum>
  <w:abstractNum w:abstractNumId="20">
    <w:nsid w:val="5F5763D1"/>
    <w:multiLevelType w:val="multilevel"/>
    <w:tmpl w:val="5F5763D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nsid w:val="651B0C8B"/>
    <w:multiLevelType w:val="multilevel"/>
    <w:tmpl w:val="49D3638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993"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nsid w:val="65BA5513"/>
    <w:multiLevelType w:val="multilevel"/>
    <w:tmpl w:val="65BA5513"/>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74A664A9"/>
    <w:multiLevelType w:val="multilevel"/>
    <w:tmpl w:val="74A664A9"/>
    <w:lvl w:ilvl="0">
      <w:start w:val="4"/>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772175E7"/>
    <w:multiLevelType w:val="multilevel"/>
    <w:tmpl w:val="772175E7"/>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7F3A387C"/>
    <w:multiLevelType w:val="multilevel"/>
    <w:tmpl w:val="7F3A387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19"/>
  </w:num>
  <w:num w:numId="2">
    <w:abstractNumId w:val="22"/>
  </w:num>
  <w:num w:numId="3">
    <w:abstractNumId w:val="25"/>
  </w:num>
  <w:num w:numId="4">
    <w:abstractNumId w:val="18"/>
  </w:num>
  <w:num w:numId="5">
    <w:abstractNumId w:val="11"/>
  </w:num>
  <w:num w:numId="6">
    <w:abstractNumId w:val="23"/>
  </w:num>
  <w:num w:numId="7">
    <w:abstractNumId w:val="15"/>
  </w:num>
  <w:num w:numId="8">
    <w:abstractNumId w:val="13"/>
  </w:num>
  <w:num w:numId="9">
    <w:abstractNumId w:val="4"/>
  </w:num>
  <w:num w:numId="10">
    <w:abstractNumId w:val="20"/>
  </w:num>
  <w:num w:numId="11">
    <w:abstractNumId w:val="24"/>
  </w:num>
  <w:num w:numId="12">
    <w:abstractNumId w:val="14"/>
  </w:num>
  <w:num w:numId="13">
    <w:abstractNumId w:val="9"/>
  </w:num>
  <w:num w:numId="14">
    <w:abstractNumId w:val="3"/>
  </w:num>
  <w:num w:numId="15">
    <w:abstractNumId w:val="0"/>
  </w:num>
  <w:num w:numId="16">
    <w:abstractNumId w:val="17"/>
  </w:num>
  <w:num w:numId="17">
    <w:abstractNumId w:val="8"/>
  </w:num>
  <w:num w:numId="18">
    <w:abstractNumId w:val="5"/>
  </w:num>
  <w:num w:numId="19">
    <w:abstractNumId w:val="2"/>
  </w:num>
  <w:num w:numId="20">
    <w:abstractNumId w:val="6"/>
  </w:num>
  <w:num w:numId="21">
    <w:abstractNumId w:val="7"/>
  </w:num>
  <w:num w:numId="22">
    <w:abstractNumId w:val="10"/>
  </w:num>
  <w:num w:numId="23">
    <w:abstractNumId w:val="12"/>
  </w:num>
  <w:num w:numId="24">
    <w:abstractNumId w:val="1"/>
  </w:num>
  <w:num w:numId="25">
    <w:abstractNumId w:val="16"/>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0A3C6C"/>
    <w:rsid w:val="00126EED"/>
    <w:rsid w:val="001C119B"/>
    <w:rsid w:val="0020210C"/>
    <w:rsid w:val="00217220"/>
    <w:rsid w:val="002414B1"/>
    <w:rsid w:val="00252B25"/>
    <w:rsid w:val="002A30E7"/>
    <w:rsid w:val="00316248"/>
    <w:rsid w:val="00361A12"/>
    <w:rsid w:val="00365C7F"/>
    <w:rsid w:val="00370B00"/>
    <w:rsid w:val="003A0349"/>
    <w:rsid w:val="00483A30"/>
    <w:rsid w:val="004B0E70"/>
    <w:rsid w:val="005026D4"/>
    <w:rsid w:val="00525404"/>
    <w:rsid w:val="00533B43"/>
    <w:rsid w:val="005B57D4"/>
    <w:rsid w:val="005E3590"/>
    <w:rsid w:val="005F217A"/>
    <w:rsid w:val="005F6473"/>
    <w:rsid w:val="0066452D"/>
    <w:rsid w:val="006C09F3"/>
    <w:rsid w:val="006C2E71"/>
    <w:rsid w:val="006D2267"/>
    <w:rsid w:val="007439C2"/>
    <w:rsid w:val="007B6F63"/>
    <w:rsid w:val="007C6587"/>
    <w:rsid w:val="007D1BB9"/>
    <w:rsid w:val="007E4492"/>
    <w:rsid w:val="008265D3"/>
    <w:rsid w:val="00835F2F"/>
    <w:rsid w:val="00874705"/>
    <w:rsid w:val="00894AF2"/>
    <w:rsid w:val="008D7EC2"/>
    <w:rsid w:val="008F10A5"/>
    <w:rsid w:val="00926C75"/>
    <w:rsid w:val="00964279"/>
    <w:rsid w:val="0096447B"/>
    <w:rsid w:val="00976AA5"/>
    <w:rsid w:val="00983F12"/>
    <w:rsid w:val="00997A9A"/>
    <w:rsid w:val="009B4F4B"/>
    <w:rsid w:val="009B62FF"/>
    <w:rsid w:val="00A018BD"/>
    <w:rsid w:val="00AA7DD8"/>
    <w:rsid w:val="00AC062F"/>
    <w:rsid w:val="00B3730E"/>
    <w:rsid w:val="00B951C8"/>
    <w:rsid w:val="00BE1EF0"/>
    <w:rsid w:val="00BE651B"/>
    <w:rsid w:val="00C1729B"/>
    <w:rsid w:val="00C345D2"/>
    <w:rsid w:val="00C3480A"/>
    <w:rsid w:val="00C91BA1"/>
    <w:rsid w:val="00CF5863"/>
    <w:rsid w:val="00D16826"/>
    <w:rsid w:val="00D452BA"/>
    <w:rsid w:val="00D546E0"/>
    <w:rsid w:val="00D6724C"/>
    <w:rsid w:val="00E15F15"/>
    <w:rsid w:val="00E55EB6"/>
    <w:rsid w:val="00E73211"/>
    <w:rsid w:val="00E964C0"/>
    <w:rsid w:val="00EB40E3"/>
    <w:rsid w:val="00EF33AE"/>
    <w:rsid w:val="00EF34AA"/>
    <w:rsid w:val="00F072AA"/>
    <w:rsid w:val="00F31BDA"/>
    <w:rsid w:val="00F3664C"/>
    <w:rsid w:val="00F640C6"/>
    <w:rsid w:val="00FB747A"/>
    <w:rsid w:val="00FC25C7"/>
    <w:rsid w:val="00FC2F0D"/>
    <w:rsid w:val="1B775F20"/>
    <w:rsid w:val="49B755B6"/>
    <w:rsid w:val="53D629E8"/>
    <w:rsid w:val="5E280D51"/>
    <w:rsid w:val="6F5A3C93"/>
    <w:rsid w:val="79DA35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semiHidden="0" w:uiPriority="0" w:qFormat="1"/>
    <w:lsdException w:name="heading 6" w:uiPriority="9" w:qFormat="1"/>
    <w:lsdException w:name="heading 7" w:uiPriority="9" w:qFormat="1"/>
    <w:lsdException w:name="heading 8" w:uiPriority="9" w:qFormat="1"/>
    <w:lsdException w:name="heading 9" w:uiPriority="9"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lsdException w:name="toc 2" w:semiHidden="0" w:uiPriority="39"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link w:val="1Char"/>
    <w:autoRedefine/>
    <w:uiPriority w:val="9"/>
    <w:qFormat/>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0"/>
    <w:link w:val="2Char"/>
    <w:autoRedefine/>
    <w:unhideWhenUsed/>
    <w:qFormat/>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0"/>
    <w:link w:val="3Char"/>
    <w:autoRedefine/>
    <w:uiPriority w:val="9"/>
    <w:semiHidden/>
    <w:unhideWhenUsed/>
    <w:qFormat/>
    <w:pPr>
      <w:keepNext/>
      <w:keepLines/>
      <w:spacing w:before="260" w:after="260" w:line="416" w:lineRule="auto"/>
      <w:outlineLvl w:val="2"/>
    </w:pPr>
    <w:rPr>
      <w:rFonts w:ascii="Times New Roman" w:hAnsi="Times New Roman"/>
      <w:b/>
      <w:bCs/>
      <w:sz w:val="32"/>
      <w:szCs w:val="32"/>
    </w:rPr>
  </w:style>
  <w:style w:type="paragraph" w:styleId="Heading4">
    <w:name w:val="heading 4"/>
    <w:basedOn w:val="Normal"/>
    <w:next w:val="Normal0"/>
    <w:link w:val="4Char"/>
    <w:autoRedefine/>
    <w:uiPriority w:val="9"/>
    <w:semiHidden/>
    <w:unhideWhenUsed/>
    <w:qFormat/>
    <w:pPr>
      <w:keepNext/>
      <w:keepLines/>
      <w:spacing w:before="280" w:after="290" w:line="376" w:lineRule="auto"/>
      <w:outlineLvl w:val="3"/>
    </w:pPr>
    <w:rPr>
      <w:rFonts w:ascii="Cambria" w:hAnsi="Cambria"/>
      <w:b/>
      <w:bCs/>
      <w:sz w:val="28"/>
      <w:szCs w:val="28"/>
    </w:rPr>
  </w:style>
  <w:style w:type="paragraph" w:styleId="Heading5">
    <w:name w:val="heading 5"/>
    <w:basedOn w:val="Normal"/>
    <w:next w:val="Normal0"/>
    <w:link w:val="5Char"/>
    <w:autoRedefine/>
    <w:unhideWhenUsed/>
    <w:qFormat/>
    <w:pPr>
      <w:keepNext/>
      <w:keepLines/>
      <w:spacing w:before="280" w:after="290" w:line="376" w:lineRule="auto"/>
      <w:outlineLvl w:val="4"/>
    </w:pPr>
    <w:rPr>
      <w:rFonts w:ascii="Times New Roman" w:hAnsi="Times New Roman"/>
      <w:b/>
      <w:bCs/>
      <w:sz w:val="28"/>
      <w:szCs w:val="28"/>
    </w:rPr>
  </w:style>
  <w:style w:type="paragraph" w:styleId="Heading6">
    <w:name w:val="heading 6"/>
    <w:basedOn w:val="Normal"/>
    <w:next w:val="Normal0"/>
    <w:link w:val="6Char"/>
    <w:autoRedefine/>
    <w:uiPriority w:val="9"/>
    <w:semiHidden/>
    <w:unhideWhenUsed/>
    <w:qFormat/>
    <w:pPr>
      <w:keepNext/>
      <w:keepLines/>
      <w:spacing w:before="240" w:after="64" w:line="320" w:lineRule="auto"/>
      <w:outlineLvl w:val="5"/>
    </w:pPr>
    <w:rPr>
      <w:rFonts w:ascii="Cambria" w:hAnsi="Cambria"/>
      <w:b/>
      <w:bCs/>
      <w:sz w:val="24"/>
      <w:szCs w:val="24"/>
    </w:rPr>
  </w:style>
  <w:style w:type="paragraph" w:styleId="Heading7">
    <w:name w:val="heading 7"/>
    <w:basedOn w:val="Normal"/>
    <w:next w:val="Normal0"/>
    <w:link w:val="7Char"/>
    <w:autoRedefine/>
    <w:uiPriority w:val="9"/>
    <w:semiHidden/>
    <w:unhideWhenUsed/>
    <w:qFormat/>
    <w:pPr>
      <w:keepNext/>
      <w:keepLines/>
      <w:spacing w:before="240" w:after="64" w:line="320" w:lineRule="auto"/>
      <w:outlineLvl w:val="6"/>
    </w:pPr>
    <w:rPr>
      <w:rFonts w:ascii="Times New Roman" w:hAnsi="Times New Roman"/>
      <w:b/>
      <w:bCs/>
      <w:sz w:val="24"/>
      <w:szCs w:val="24"/>
    </w:rPr>
  </w:style>
  <w:style w:type="paragraph" w:styleId="Heading8">
    <w:name w:val="heading 8"/>
    <w:basedOn w:val="Normal"/>
    <w:next w:val="Normal0"/>
    <w:link w:val="8Char"/>
    <w:autoRedefine/>
    <w:uiPriority w:val="9"/>
    <w:semiHidden/>
    <w:unhideWhenUsed/>
    <w:qFormat/>
    <w:pPr>
      <w:keepNext/>
      <w:keepLines/>
      <w:spacing w:before="240" w:after="64" w:line="320" w:lineRule="auto"/>
      <w:outlineLvl w:val="7"/>
    </w:pPr>
    <w:rPr>
      <w:rFonts w:ascii="Cambria" w:hAnsi="Cambria"/>
      <w:sz w:val="24"/>
      <w:szCs w:val="24"/>
    </w:rPr>
  </w:style>
  <w:style w:type="paragraph" w:styleId="Heading9">
    <w:name w:val="heading 9"/>
    <w:basedOn w:val="Normal"/>
    <w:next w:val="Normal0"/>
    <w:link w:val="9Char"/>
    <w:autoRedefine/>
    <w:uiPriority w:val="9"/>
    <w:semiHidden/>
    <w:unhideWhenUsed/>
    <w:qFormat/>
    <w:pPr>
      <w:keepNext/>
      <w:keepLines/>
      <w:spacing w:before="240" w:after="64" w:line="320" w:lineRule="auto"/>
      <w:outlineLvl w:val="8"/>
    </w:pPr>
    <w:rPr>
      <w:rFonts w:ascii="Cambria" w:hAnsi="Cambria"/>
      <w:szCs w:val="21"/>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jc w:val="both"/>
    </w:pPr>
    <w:rPr>
      <w:rFonts w:ascii="Times New Roman" w:eastAsia="宋体" w:hAnsi="Times New Roman" w:cstheme="minorBidi"/>
      <w:kern w:val="2"/>
      <w:sz w:val="21"/>
      <w:szCs w:val="22"/>
      <w:lang w:val="en-US" w:eastAsia="zh-CN" w:bidi="ar-SA"/>
    </w:rPr>
  </w:style>
  <w:style w:type="paragraph" w:styleId="CommentText">
    <w:name w:val="annotation text"/>
    <w:basedOn w:val="Normal"/>
    <w:link w:val="Char2"/>
    <w:unhideWhenUsed/>
    <w:pPr>
      <w:spacing w:line="360" w:lineRule="auto"/>
      <w:ind w:firstLine="200" w:firstLineChars="200"/>
      <w:jc w:val="left"/>
    </w:pPr>
    <w:rPr>
      <w:rFonts w:ascii="Arial" w:hAnsi="Arial"/>
      <w:sz w:val="24"/>
      <w:szCs w:val="24"/>
    </w:rPr>
  </w:style>
  <w:style w:type="paragraph" w:styleId="PlainText">
    <w:name w:val="Plain Text"/>
    <w:basedOn w:val="Normal"/>
    <w:link w:val="Char1"/>
    <w:rPr>
      <w:rFonts w:ascii="宋体" w:hAnsi="Courier New" w:cs="Courier New"/>
      <w:szCs w:val="21"/>
    </w:r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uiPriority w:val="39"/>
    <w:unhideWhenUsed/>
    <w:rPr>
      <w:rFonts w:ascii="Times New Roman" w:hAnsi="Times New Roman"/>
    </w:rPr>
  </w:style>
  <w:style w:type="paragraph" w:styleId="TOC2">
    <w:name w:val="toc 2"/>
    <w:basedOn w:val="Normal"/>
    <w:next w:val="Normal0"/>
    <w:autoRedefine/>
    <w:uiPriority w:val="39"/>
    <w:unhideWhenUsed/>
    <w:qFormat/>
    <w:pPr>
      <w:tabs>
        <w:tab w:val="left" w:pos="1260"/>
        <w:tab w:val="right" w:leader="dot" w:pos="8296"/>
      </w:tabs>
      <w:ind w:firstLine="210" w:firstLineChars="100"/>
    </w:pPr>
    <w:rPr>
      <w:rFonts w:ascii="Times New Roman" w:hAnsi="Times New Roman"/>
    </w:rPr>
  </w:style>
  <w:style w:type="paragraph" w:styleId="BodyText2">
    <w:name w:val="Body Text 2"/>
    <w:basedOn w:val="Normal"/>
    <w:link w:val="2Char0"/>
    <w:pPr>
      <w:spacing w:after="120" w:line="480" w:lineRule="auto"/>
      <w:ind w:firstLine="200" w:firstLineChars="200"/>
      <w:jc w:val="left"/>
    </w:pPr>
    <w:rPr>
      <w:rFonts w:ascii="Arial" w:hAnsi="Arial"/>
      <w:sz w:val="24"/>
      <w:szCs w:val="24"/>
    </w:rPr>
  </w:style>
  <w:style w:type="table" w:styleId="TableGrid">
    <w:name w:val="Table Grid"/>
    <w:basedOn w:val="TableNormal"/>
    <w:uiPriority w:val="59"/>
    <w:rPr>
      <w:rFonts w:ascii="Calibri" w:hAnsi="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customStyle="1" w:styleId="Header0">
    <w:name w:val="Header_0"/>
    <w:basedOn w:val="Normal0"/>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0"/>
    <w:uiPriority w:val="99"/>
    <w:rPr>
      <w:rFonts w:ascii="Calibri" w:hAnsi="Calibri"/>
      <w:kern w:val="2"/>
      <w:sz w:val="18"/>
      <w:szCs w:val="18"/>
    </w:rPr>
  </w:style>
  <w:style w:type="paragraph" w:customStyle="1" w:styleId="Footer0">
    <w:name w:val="Footer_0"/>
    <w:basedOn w:val="Normal0"/>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DefaultParagraphFont"/>
    <w:link w:val="Footer0"/>
    <w:autoRedefine/>
    <w:uiPriority w:val="99"/>
    <w:qFormat/>
    <w:rPr>
      <w:rFonts w:ascii="Calibri" w:hAnsi="Calibri"/>
      <w:kern w:val="2"/>
      <w:sz w:val="18"/>
      <w:szCs w:val="18"/>
    </w:rPr>
  </w:style>
  <w:style w:type="paragraph" w:customStyle="1" w:styleId="BZ1">
    <w:name w:val="BZ标题1"/>
    <w:basedOn w:val="Heading1"/>
    <w:next w:val="Normal0"/>
    <w:link w:val="BZ1Char"/>
    <w:autoRedefine/>
    <w:qFormat/>
    <w:pPr>
      <w:numPr>
        <w:ilvl w:val="0"/>
        <w:numId w:val="1"/>
      </w:numPr>
      <w:ind w:left="425" w:hanging="425"/>
      <w:jc w:val="left"/>
    </w:pPr>
    <w:rPr>
      <w:rFonts w:ascii="宋体" w:hAnsi="宋体"/>
      <w:color w:val="000000"/>
    </w:rPr>
  </w:style>
  <w:style w:type="paragraph" w:customStyle="1" w:styleId="BZ2">
    <w:name w:val="BZ标题2"/>
    <w:basedOn w:val="Heading2"/>
    <w:next w:val="Normal0"/>
    <w:link w:val="BZ2Char"/>
    <w:autoRedefine/>
    <w:qFormat/>
    <w:pPr>
      <w:numPr>
        <w:ilvl w:val="1"/>
        <w:numId w:val="1"/>
      </w:numPr>
      <w:ind w:left="425" w:hanging="425"/>
      <w:jc w:val="left"/>
    </w:pPr>
    <w:rPr>
      <w:rFonts w:ascii="黑体" w:eastAsia="黑体" w:hAnsi="黑体"/>
      <w:color w:val="000000"/>
    </w:rPr>
  </w:style>
  <w:style w:type="character" w:customStyle="1" w:styleId="2Char">
    <w:name w:val="标题 2 Char"/>
    <w:basedOn w:val="DefaultParagraphFont"/>
    <w:link w:val="Heading2"/>
    <w:autoRedefine/>
    <w:qFormat/>
    <w:rPr>
      <w:rFonts w:ascii="Cambria" w:hAnsi="Cambria"/>
      <w:b/>
      <w:bCs/>
      <w:kern w:val="2"/>
      <w:sz w:val="32"/>
      <w:szCs w:val="32"/>
    </w:rPr>
  </w:style>
  <w:style w:type="character" w:customStyle="1" w:styleId="BZ2Char">
    <w:name w:val="BZ标题2 Char"/>
    <w:basedOn w:val="DefaultParagraphFont"/>
    <w:link w:val="BZ2"/>
    <w:rPr>
      <w:rFonts w:ascii="黑体" w:eastAsia="黑体" w:hAnsi="黑体"/>
      <w:b/>
      <w:bCs/>
      <w:color w:val="000000"/>
      <w:kern w:val="2"/>
      <w:sz w:val="32"/>
      <w:szCs w:val="32"/>
    </w:rPr>
  </w:style>
  <w:style w:type="paragraph" w:customStyle="1" w:styleId="BZ3">
    <w:name w:val="BZ标题3"/>
    <w:basedOn w:val="Heading3"/>
    <w:next w:val="Normal0"/>
    <w:link w:val="BZ3Char"/>
    <w:autoRedefine/>
    <w:qFormat/>
    <w:pPr>
      <w:numPr>
        <w:ilvl w:val="2"/>
        <w:numId w:val="1"/>
      </w:numPr>
      <w:ind w:left="425" w:hanging="425"/>
      <w:jc w:val="left"/>
    </w:pPr>
  </w:style>
  <w:style w:type="character" w:customStyle="1" w:styleId="3Char">
    <w:name w:val="标题 3 Char"/>
    <w:basedOn w:val="DefaultParagraphFont"/>
    <w:link w:val="Heading3"/>
    <w:autoRedefine/>
    <w:uiPriority w:val="9"/>
    <w:semiHidden/>
    <w:qFormat/>
    <w:rPr>
      <w:rFonts w:ascii="Calibri" w:hAnsi="Calibri"/>
      <w:b/>
      <w:bCs/>
      <w:kern w:val="2"/>
      <w:sz w:val="32"/>
      <w:szCs w:val="32"/>
    </w:rPr>
  </w:style>
  <w:style w:type="character" w:customStyle="1" w:styleId="BZ3Char">
    <w:name w:val="BZ标题3 Char"/>
    <w:basedOn w:val="DefaultParagraphFont"/>
    <w:link w:val="BZ3"/>
    <w:rPr>
      <w:rFonts w:ascii="Calibri" w:hAnsi="Calibri"/>
      <w:b/>
      <w:bCs/>
      <w:kern w:val="2"/>
      <w:sz w:val="32"/>
      <w:szCs w:val="32"/>
    </w:rPr>
  </w:style>
  <w:style w:type="paragraph" w:customStyle="1" w:styleId="BZ4">
    <w:name w:val="BZ标题4"/>
    <w:basedOn w:val="Heading4"/>
    <w:next w:val="Normal0"/>
    <w:link w:val="BZ4Char"/>
    <w:autoRedefine/>
    <w:qFormat/>
    <w:pPr>
      <w:numPr>
        <w:ilvl w:val="3"/>
        <w:numId w:val="1"/>
      </w:numPr>
      <w:ind w:left="425" w:hanging="425"/>
      <w:jc w:val="left"/>
    </w:pPr>
  </w:style>
  <w:style w:type="character" w:customStyle="1" w:styleId="4Char">
    <w:name w:val="标题 4 Char"/>
    <w:basedOn w:val="DefaultParagraphFont"/>
    <w:link w:val="Heading4"/>
    <w:autoRedefine/>
    <w:uiPriority w:val="9"/>
    <w:semiHidden/>
    <w:qFormat/>
    <w:rPr>
      <w:rFonts w:ascii="Cambria" w:hAnsi="Cambria"/>
      <w:b/>
      <w:bCs/>
      <w:kern w:val="2"/>
      <w:sz w:val="28"/>
      <w:szCs w:val="28"/>
    </w:rPr>
  </w:style>
  <w:style w:type="character" w:customStyle="1" w:styleId="BZ4Char">
    <w:name w:val="BZ标题4 Char"/>
    <w:basedOn w:val="DefaultParagraphFont"/>
    <w:link w:val="BZ4"/>
    <w:rPr>
      <w:rFonts w:ascii="Cambria" w:hAnsi="Cambria"/>
      <w:b/>
      <w:bCs/>
      <w:kern w:val="2"/>
      <w:sz w:val="28"/>
      <w:szCs w:val="28"/>
    </w:rPr>
  </w:style>
  <w:style w:type="paragraph" w:customStyle="1" w:styleId="BZ5">
    <w:name w:val="BZ标题5"/>
    <w:basedOn w:val="Heading5"/>
    <w:next w:val="Normal0"/>
    <w:link w:val="BZ5Char"/>
    <w:pPr>
      <w:numPr>
        <w:ilvl w:val="4"/>
        <w:numId w:val="1"/>
      </w:numPr>
      <w:ind w:left="425" w:hanging="425"/>
      <w:jc w:val="left"/>
    </w:pPr>
  </w:style>
  <w:style w:type="character" w:customStyle="1" w:styleId="5Char">
    <w:name w:val="标题 5 Char"/>
    <w:basedOn w:val="DefaultParagraphFont"/>
    <w:link w:val="Heading5"/>
    <w:autoRedefine/>
    <w:qFormat/>
    <w:rPr>
      <w:rFonts w:ascii="Calibri" w:hAnsi="Calibri"/>
      <w:b/>
      <w:bCs/>
      <w:kern w:val="2"/>
      <w:sz w:val="28"/>
      <w:szCs w:val="28"/>
    </w:rPr>
  </w:style>
  <w:style w:type="character" w:customStyle="1" w:styleId="BZ5Char">
    <w:name w:val="BZ标题5 Char"/>
    <w:basedOn w:val="DefaultParagraphFont"/>
    <w:link w:val="BZ5"/>
    <w:rPr>
      <w:rFonts w:ascii="Calibri" w:hAnsi="Calibri"/>
      <w:b/>
      <w:bCs/>
      <w:kern w:val="2"/>
      <w:sz w:val="28"/>
      <w:szCs w:val="28"/>
    </w:rPr>
  </w:style>
  <w:style w:type="paragraph" w:customStyle="1" w:styleId="BZ6">
    <w:name w:val="BZ标题6"/>
    <w:basedOn w:val="Heading6"/>
    <w:next w:val="Normal0"/>
    <w:link w:val="BZ6Char"/>
    <w:autoRedefine/>
    <w:qFormat/>
    <w:pPr>
      <w:numPr>
        <w:ilvl w:val="5"/>
        <w:numId w:val="1"/>
      </w:numPr>
      <w:ind w:left="425" w:hanging="425"/>
      <w:jc w:val="left"/>
    </w:pPr>
  </w:style>
  <w:style w:type="character" w:customStyle="1" w:styleId="6Char">
    <w:name w:val="标题 6 Char"/>
    <w:basedOn w:val="DefaultParagraphFont"/>
    <w:link w:val="Heading6"/>
    <w:uiPriority w:val="9"/>
    <w:semiHidden/>
    <w:rPr>
      <w:rFonts w:ascii="Cambria" w:hAnsi="Cambria"/>
      <w:b/>
      <w:bCs/>
      <w:kern w:val="2"/>
      <w:sz w:val="24"/>
      <w:szCs w:val="24"/>
    </w:rPr>
  </w:style>
  <w:style w:type="character" w:customStyle="1" w:styleId="BZ6Char">
    <w:name w:val="BZ标题6 Char"/>
    <w:basedOn w:val="DefaultParagraphFont"/>
    <w:link w:val="BZ6"/>
    <w:rPr>
      <w:rFonts w:ascii="Cambria" w:hAnsi="Cambria"/>
      <w:b/>
      <w:bCs/>
      <w:kern w:val="2"/>
      <w:sz w:val="24"/>
      <w:szCs w:val="24"/>
    </w:rPr>
  </w:style>
  <w:style w:type="paragraph" w:customStyle="1" w:styleId="BZ7">
    <w:name w:val="BZ标题7"/>
    <w:basedOn w:val="Heading7"/>
    <w:next w:val="Normal0"/>
    <w:link w:val="BZ7Char"/>
    <w:pPr>
      <w:numPr>
        <w:ilvl w:val="6"/>
        <w:numId w:val="1"/>
      </w:numPr>
      <w:ind w:left="425" w:hanging="425"/>
      <w:jc w:val="left"/>
    </w:pPr>
  </w:style>
  <w:style w:type="character" w:customStyle="1" w:styleId="7Char">
    <w:name w:val="标题 7 Char"/>
    <w:basedOn w:val="DefaultParagraphFont"/>
    <w:link w:val="Heading7"/>
    <w:uiPriority w:val="9"/>
    <w:semiHidden/>
    <w:rPr>
      <w:rFonts w:ascii="Calibri" w:hAnsi="Calibri"/>
      <w:b/>
      <w:bCs/>
      <w:kern w:val="2"/>
      <w:sz w:val="24"/>
      <w:szCs w:val="24"/>
    </w:rPr>
  </w:style>
  <w:style w:type="character" w:customStyle="1" w:styleId="BZ7Char">
    <w:name w:val="BZ标题7 Char"/>
    <w:basedOn w:val="DefaultParagraphFont"/>
    <w:link w:val="BZ7"/>
    <w:rPr>
      <w:rFonts w:ascii="Calibri" w:hAnsi="Calibri"/>
      <w:b/>
      <w:bCs/>
      <w:kern w:val="2"/>
      <w:sz w:val="24"/>
      <w:szCs w:val="24"/>
    </w:rPr>
  </w:style>
  <w:style w:type="paragraph" w:customStyle="1" w:styleId="BZ8">
    <w:name w:val="BZ标题8"/>
    <w:basedOn w:val="Heading8"/>
    <w:next w:val="Normal0"/>
    <w:link w:val="BZ8Char"/>
    <w:pPr>
      <w:numPr>
        <w:ilvl w:val="7"/>
        <w:numId w:val="1"/>
      </w:numPr>
      <w:ind w:left="425" w:hanging="425"/>
      <w:jc w:val="left"/>
    </w:pPr>
  </w:style>
  <w:style w:type="character" w:customStyle="1" w:styleId="8Char">
    <w:name w:val="标题 8 Char"/>
    <w:basedOn w:val="DefaultParagraphFont"/>
    <w:link w:val="Heading8"/>
    <w:uiPriority w:val="9"/>
    <w:semiHidden/>
    <w:rPr>
      <w:rFonts w:ascii="Cambria" w:hAnsi="Cambria"/>
      <w:kern w:val="2"/>
      <w:sz w:val="24"/>
      <w:szCs w:val="24"/>
    </w:rPr>
  </w:style>
  <w:style w:type="character" w:customStyle="1" w:styleId="BZ8Char">
    <w:name w:val="BZ标题8 Char"/>
    <w:basedOn w:val="DefaultParagraphFont"/>
    <w:link w:val="BZ8"/>
    <w:rPr>
      <w:rFonts w:ascii="Cambria" w:hAnsi="Cambria"/>
      <w:kern w:val="2"/>
      <w:sz w:val="24"/>
      <w:szCs w:val="24"/>
    </w:rPr>
  </w:style>
  <w:style w:type="paragraph" w:customStyle="1" w:styleId="BZ9">
    <w:name w:val="BZ标题9"/>
    <w:basedOn w:val="Heading9"/>
    <w:next w:val="Normal0"/>
    <w:link w:val="BZ9Char"/>
    <w:autoRedefine/>
    <w:qFormat/>
    <w:pPr>
      <w:numPr>
        <w:ilvl w:val="8"/>
        <w:numId w:val="1"/>
      </w:numPr>
      <w:ind w:left="425" w:hanging="425"/>
      <w:jc w:val="left"/>
    </w:pPr>
  </w:style>
  <w:style w:type="character" w:customStyle="1" w:styleId="9Char">
    <w:name w:val="标题 9 Char"/>
    <w:basedOn w:val="DefaultParagraphFont"/>
    <w:link w:val="Heading9"/>
    <w:uiPriority w:val="9"/>
    <w:semiHidden/>
    <w:rPr>
      <w:rFonts w:ascii="Cambria" w:hAnsi="Cambria"/>
      <w:kern w:val="2"/>
      <w:szCs w:val="21"/>
    </w:rPr>
  </w:style>
  <w:style w:type="character" w:customStyle="1" w:styleId="BZ9Char">
    <w:name w:val="BZ标题9 Char"/>
    <w:basedOn w:val="DefaultParagraphFont"/>
    <w:link w:val="BZ9"/>
    <w:rPr>
      <w:rFonts w:ascii="Cambria" w:hAnsi="Cambria"/>
      <w:kern w:val="2"/>
      <w:szCs w:val="21"/>
    </w:rPr>
  </w:style>
  <w:style w:type="character" w:customStyle="1" w:styleId="1Char">
    <w:name w:val="标题 1 Char"/>
    <w:basedOn w:val="DefaultParagraphFont"/>
    <w:link w:val="Heading1"/>
    <w:autoRedefine/>
    <w:uiPriority w:val="9"/>
    <w:qFormat/>
    <w:rPr>
      <w:rFonts w:ascii="Calibri" w:hAnsi="Calibri"/>
      <w:b/>
      <w:bCs/>
      <w:kern w:val="44"/>
      <w:sz w:val="44"/>
      <w:szCs w:val="44"/>
    </w:rPr>
  </w:style>
  <w:style w:type="character" w:customStyle="1" w:styleId="BZ1Char">
    <w:name w:val="BZ标题1 Char"/>
    <w:basedOn w:val="DefaultParagraphFont"/>
    <w:link w:val="BZ1"/>
    <w:autoRedefine/>
    <w:qFormat/>
    <w:rPr>
      <w:rFonts w:ascii="宋体" w:hAnsi="宋体"/>
      <w:b/>
      <w:bCs/>
      <w:color w:val="000000"/>
      <w:kern w:val="44"/>
      <w:sz w:val="44"/>
      <w:szCs w:val="44"/>
    </w:rPr>
  </w:style>
  <w:style w:type="paragraph" w:styleId="ListParagraph">
    <w:name w:val="List Paragraph"/>
    <w:basedOn w:val="Normal"/>
    <w:uiPriority w:val="34"/>
    <w:qFormat/>
    <w:pPr>
      <w:ind w:firstLine="420" w:firstLineChars="200"/>
    </w:pPr>
    <w:rPr>
      <w:rFonts w:ascii="Times New Roman" w:hAnsi="Times New Roman"/>
    </w:rPr>
  </w:style>
  <w:style w:type="character" w:customStyle="1" w:styleId="Char1">
    <w:name w:val="纯文本 Char"/>
    <w:basedOn w:val="DefaultParagraphFont"/>
    <w:link w:val="PlainText"/>
    <w:rPr>
      <w:rFonts w:ascii="宋体" w:hAnsi="Courier New" w:cs="Courier New"/>
      <w:kern w:val="2"/>
      <w:szCs w:val="21"/>
    </w:rPr>
  </w:style>
  <w:style w:type="paragraph" w:customStyle="1" w:styleId="slStyle10">
    <w:name w:val="slStyle10"/>
    <w:basedOn w:val="Normal"/>
    <w:next w:val="Normal0"/>
    <w:pPr>
      <w:ind w:firstLine="420" w:firstLineChars="200"/>
    </w:pPr>
    <w:rPr>
      <w:rFonts w:ascii="宋体" w:hAnsi="宋体"/>
      <w:sz w:val="28"/>
      <w:szCs w:val="24"/>
    </w:rPr>
  </w:style>
  <w:style w:type="character" w:customStyle="1" w:styleId="2Char0">
    <w:name w:val="正文文本 2 Char"/>
    <w:basedOn w:val="DefaultParagraphFont"/>
    <w:link w:val="BodyText2"/>
    <w:rPr>
      <w:rFonts w:ascii="Arial" w:hAnsi="Arial"/>
      <w:kern w:val="2"/>
      <w:sz w:val="24"/>
      <w:szCs w:val="24"/>
    </w:rPr>
  </w:style>
  <w:style w:type="paragraph" w:customStyle="1" w:styleId="1">
    <w:name w:val="列出段落1"/>
    <w:basedOn w:val="Normal"/>
    <w:uiPriority w:val="34"/>
    <w:qFormat/>
    <w:pPr>
      <w:ind w:firstLine="420" w:firstLineChars="200"/>
    </w:pPr>
    <w:rPr>
      <w:rFonts w:cs="黑体"/>
    </w:rPr>
  </w:style>
  <w:style w:type="character" w:customStyle="1" w:styleId="Char2">
    <w:name w:val="批注文字 Char"/>
    <w:basedOn w:val="DefaultParagraphFont"/>
    <w:link w:val="CommentText"/>
    <w:rPr>
      <w:rFonts w:ascii="Arial" w:hAnsi="Arial"/>
      <w:kern w:val="2"/>
      <w:sz w:val="24"/>
      <w:szCs w:val="24"/>
    </w:rPr>
  </w:style>
  <w:style w:type="table" w:customStyle="1" w:styleId="TableGrid0">
    <w:name w:val="Table Grid_0"/>
    <w:basedOn w:val="TableNormal"/>
    <w:uiPriority w:val="59"/>
    <w:rPr>
      <w:rFonts w:ascii="Calibri" w:hAnsi="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8.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image" Target="media/image1.jpeg" /><Relationship Id="rId25" Type="http://schemas.openxmlformats.org/officeDocument/2006/relationships/header" Target="header11.xml" /><Relationship Id="rId26" Type="http://schemas.openxmlformats.org/officeDocument/2006/relationships/footer" Target="footer10.xml" /><Relationship Id="rId27" Type="http://schemas.openxmlformats.org/officeDocument/2006/relationships/header" Target="header12.xml" /><Relationship Id="rId28" Type="http://schemas.openxmlformats.org/officeDocument/2006/relationships/footer" Target="footer11.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header" Target="header15.xml" /><Relationship Id="rId34" Type="http://schemas.openxmlformats.org/officeDocument/2006/relationships/footer" Target="footer14.xml" /><Relationship Id="rId35" Type="http://schemas.openxmlformats.org/officeDocument/2006/relationships/header" Target="header16.xml" /><Relationship Id="rId36" Type="http://schemas.openxmlformats.org/officeDocument/2006/relationships/footer" Target="footer15.xml" /><Relationship Id="rId37" Type="http://schemas.openxmlformats.org/officeDocument/2006/relationships/header" Target="header17.xml" /><Relationship Id="rId38" Type="http://schemas.openxmlformats.org/officeDocument/2006/relationships/footer" Target="footer16.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9.xml" /><Relationship Id="rId42" Type="http://schemas.openxmlformats.org/officeDocument/2006/relationships/footer" Target="footer18.xml" /><Relationship Id="rId43" Type="http://schemas.openxmlformats.org/officeDocument/2006/relationships/header" Target="header20.xml" /><Relationship Id="rId44" Type="http://schemas.openxmlformats.org/officeDocument/2006/relationships/footer" Target="footer19.xml" /><Relationship Id="rId45" Type="http://schemas.openxmlformats.org/officeDocument/2006/relationships/header" Target="header21.xml" /><Relationship Id="rId46" Type="http://schemas.openxmlformats.org/officeDocument/2006/relationships/footer" Target="footer20.xml" /><Relationship Id="rId47" Type="http://schemas.openxmlformats.org/officeDocument/2006/relationships/header" Target="header22.xml" /><Relationship Id="rId48" Type="http://schemas.openxmlformats.org/officeDocument/2006/relationships/footer" Target="footer21.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2.xml" /><Relationship Id="rId51" Type="http://schemas.openxmlformats.org/officeDocument/2006/relationships/header" Target="header24.xml" /><Relationship Id="rId52" Type="http://schemas.openxmlformats.org/officeDocument/2006/relationships/footer" Target="footer23.xml" /><Relationship Id="rId53" Type="http://schemas.openxmlformats.org/officeDocument/2006/relationships/header" Target="header25.xml" /><Relationship Id="rId54" Type="http://schemas.openxmlformats.org/officeDocument/2006/relationships/footer" Target="footer24.xml" /><Relationship Id="rId55" Type="http://schemas.openxmlformats.org/officeDocument/2006/relationships/header" Target="header26.xml" /><Relationship Id="rId56" Type="http://schemas.openxmlformats.org/officeDocument/2006/relationships/footer" Target="footer25.xml" /><Relationship Id="rId57" Type="http://schemas.openxmlformats.org/officeDocument/2006/relationships/header" Target="header27.xml" /><Relationship Id="rId58" Type="http://schemas.openxmlformats.org/officeDocument/2006/relationships/footer" Target="footer26.xm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7.xml" /><Relationship Id="rId61" Type="http://schemas.openxmlformats.org/officeDocument/2006/relationships/header" Target="header29.xml" /><Relationship Id="rId62" Type="http://schemas.openxmlformats.org/officeDocument/2006/relationships/footer" Target="footer28.xml" /><Relationship Id="rId63" Type="http://schemas.openxmlformats.org/officeDocument/2006/relationships/header" Target="header30.xml" /><Relationship Id="rId64" Type="http://schemas.openxmlformats.org/officeDocument/2006/relationships/footer" Target="footer29.xml" /><Relationship Id="rId65" Type="http://schemas.openxmlformats.org/officeDocument/2006/relationships/header" Target="header31.xml" /><Relationship Id="rId66" Type="http://schemas.openxmlformats.org/officeDocument/2006/relationships/footer" Target="footer30.xml" /><Relationship Id="rId67" Type="http://schemas.openxmlformats.org/officeDocument/2006/relationships/header" Target="header32.xml" /><Relationship Id="rId68" Type="http://schemas.openxmlformats.org/officeDocument/2006/relationships/footer" Target="footer31.xml" /><Relationship Id="rId69" Type="http://schemas.openxmlformats.org/officeDocument/2006/relationships/header" Target="header33.xml" /><Relationship Id="rId7" Type="http://schemas.openxmlformats.org/officeDocument/2006/relationships/footer" Target="footer1.xml" /><Relationship Id="rId70" Type="http://schemas.openxmlformats.org/officeDocument/2006/relationships/footer" Target="footer32.xml" /><Relationship Id="rId71" Type="http://schemas.openxmlformats.org/officeDocument/2006/relationships/header" Target="header34.xml" /><Relationship Id="rId72" Type="http://schemas.openxmlformats.org/officeDocument/2006/relationships/footer" Target="footer33.xml" /><Relationship Id="rId73" Type="http://schemas.openxmlformats.org/officeDocument/2006/relationships/header" Target="header35.xml" /><Relationship Id="rId74" Type="http://schemas.openxmlformats.org/officeDocument/2006/relationships/footer" Target="footer34.xml" /><Relationship Id="rId75" Type="http://schemas.openxmlformats.org/officeDocument/2006/relationships/header" Target="header36.xml" /><Relationship Id="rId76" Type="http://schemas.openxmlformats.org/officeDocument/2006/relationships/footer" Target="footer35.xml" /><Relationship Id="rId77" Type="http://schemas.openxmlformats.org/officeDocument/2006/relationships/header" Target="header37.xml" /><Relationship Id="rId78" Type="http://schemas.openxmlformats.org/officeDocument/2006/relationships/footer" Target="footer36.xml" /><Relationship Id="rId79" Type="http://schemas.openxmlformats.org/officeDocument/2006/relationships/header" Target="header38.xml" /><Relationship Id="rId8" Type="http://schemas.openxmlformats.org/officeDocument/2006/relationships/header" Target="header3.xml" /><Relationship Id="rId80" Type="http://schemas.openxmlformats.org/officeDocument/2006/relationships/footer" Target="footer37.xml" /><Relationship Id="rId81" Type="http://schemas.openxmlformats.org/officeDocument/2006/relationships/header" Target="header39.xml" /><Relationship Id="rId82" Type="http://schemas.openxmlformats.org/officeDocument/2006/relationships/footer" Target="footer38.xml" /><Relationship Id="rId83" Type="http://schemas.openxmlformats.org/officeDocument/2006/relationships/header" Target="header40.xml" /><Relationship Id="rId84" Type="http://schemas.openxmlformats.org/officeDocument/2006/relationships/footer" Target="footer39.xml" /><Relationship Id="rId85" Type="http://schemas.openxmlformats.org/officeDocument/2006/relationships/header" Target="header41.xml" /><Relationship Id="rId86" Type="http://schemas.openxmlformats.org/officeDocument/2006/relationships/footer" Target="footer40.xml" /><Relationship Id="rId87" Type="http://schemas.openxmlformats.org/officeDocument/2006/relationships/header" Target="header42.xml" /><Relationship Id="rId88" Type="http://schemas.openxmlformats.org/officeDocument/2006/relationships/footer" Target="footer41.xml" /><Relationship Id="rId89" Type="http://schemas.openxmlformats.org/officeDocument/2006/relationships/hyperlink" Target="https://d.book118.com/108036051000006045" TargetMode="External" /><Relationship Id="rId9" Type="http://schemas.openxmlformats.org/officeDocument/2006/relationships/footer" Target="footer2.xml" /><Relationship Id="rId90" Type="http://schemas.openxmlformats.org/officeDocument/2006/relationships/header" Target="header43.xml" /><Relationship Id="rId91" Type="http://schemas.openxmlformats.org/officeDocument/2006/relationships/footer" Target="footer42.xml" /><Relationship Id="rId92" Type="http://schemas.openxmlformats.org/officeDocument/2006/relationships/theme" Target="theme/theme1.xml" /><Relationship Id="rId93" Type="http://schemas.openxmlformats.org/officeDocument/2006/relationships/numbering" Target="numbering.xml" /><Relationship Id="rId94"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6"/>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27"/>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51"/>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9"/>
    <customShpInfo spid="_x0000_s1080"/>
    <customShpInfo spid="_x0000_s1081"/>
    <customShpInfo spid="_x0000_s1082"/>
    <customShpInfo spid="_x0000_s1083"/>
    <customShpInfo spid="_x0000_s1084"/>
    <customShpInfo spid="_x0000_s1085"/>
    <customShpInfo spid="_x0000_s1078"/>
    <customShpInfo spid="_x0000_s1086"/>
    <customShpInfo spid="_x0000_s1087"/>
    <customShpInfo spid="_x0000_s1088"/>
    <customShpInfo spid="_x0000_s1089"/>
    <customShpInfo spid="_x0000_s1091"/>
    <customShpInfo spid="_x0000_s1092"/>
    <customShpInfo spid="_x0000_s1093"/>
    <customShpInfo spid="_x0000_s1094"/>
    <customShpInfo spid="_x0000_s1095"/>
    <customShpInfo spid="_x0000_s1096"/>
    <customShpInfo spid="_x0000_s1097"/>
    <customShpInfo spid="_x0000_s1090"/>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71"/>
    <customShpInfo spid="_x0000_s1173"/>
    <customShpInfo spid="_x0000_s11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48</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753BFBD4B8404E7487F1EF41042A91B6_12</vt:lpwstr>
  </property>
  <property fmtid="{D5CDD505-2E9C-101B-9397-08002B2CF9AE}" pid="3" name="KSOProductBuildVer">
    <vt:lpwstr>2052-12.1.0.16388</vt:lpwstr>
  </property>
</Properties>
</file>