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center" w:pos="4095"/>
          <w:tab w:val="right" w:pos="8190"/>
        </w:tabs>
        <w:spacing w:before="156" w:beforeLines="50" w:after="156" w:afterLines="50"/>
        <w:ind w:firstLine="0" w:firstLineChars="0"/>
        <w:jc w:val="center"/>
        <w:outlineLvl w:val="2"/>
        <w:rPr>
          <w:rFonts w:ascii="Times New Roman" w:eastAsia="黑体" w:hAnsi="Times New Roman"/>
          <w:sz w:val="36"/>
          <w:szCs w:val="36"/>
        </w:rPr>
      </w:pPr>
      <w:bookmarkStart w:id="0" w:name="_Toc65_WPSOffice_Level1"/>
      <w:bookmarkStart w:id="1" w:name="_GoBack"/>
      <w:bookmarkEnd w:id="1"/>
      <w:r>
        <w:rPr>
          <w:rFonts w:ascii="Times New Roman" w:eastAsia="黑体" w:hAnsi="Times New Roman" w:hint="eastAsia"/>
          <w:sz w:val="36"/>
          <w:szCs w:val="36"/>
        </w:rPr>
        <w:t>摘　　要</w:t>
      </w:r>
      <w:bookmarkEnd w:id="0"/>
    </w:p>
    <w:p>
      <w:pPr>
        <w:tabs>
          <w:tab w:val="center" w:pos="4095"/>
          <w:tab w:val="right" w:pos="8190"/>
        </w:tabs>
        <w:spacing w:line="360" w:lineRule="exact"/>
        <w:ind w:firstLine="480"/>
        <w:rPr>
          <w:rFonts w:ascii="Times New Roman" w:hAnsi="Times New Roman"/>
          <w:sz w:val="24"/>
          <w:szCs w:val="24"/>
        </w:rPr>
      </w:pPr>
      <w:r>
        <w:rPr>
          <w:rFonts w:ascii="Times New Roman" w:hAnsi="Times New Roman" w:hint="eastAsia"/>
          <w:sz w:val="24"/>
          <w:szCs w:val="24"/>
        </w:rPr>
        <w:t>随着金属材料科学研究的进展，以及政府和人民对火力发电提出了更高的能耗和环保要求，电站锅炉的热效率和排污量都有较大改善，锅炉的容量也日益增加，超临界压力直流锅炉已经取代亚临界压力自然循环汽包锅炉，成为为国内为发电行业的主力机组。而超临界锅炉仅靠水泵的压力驱动汽水系统，这使得其具有与汽包炉相反的自补偿特性，即吸热量越大，管子中汽水介质的流量越小。如果在锅炉运行中错使超临界下的大比热区与炉膛中辐射最强的燃烧器区域重合，会导致蒸发受热面的吸热量倍增，导致类膜态沸腾现象，引起传热恶化并造成超温爆管事故，在锅炉运行的过程中应避免此种事故的发生，这就需要分析蒸发受热面内工质热工参数的沿程分布情况，了解大比热区的位置及其随压力改变而改变的特性。而超临界压力直流锅炉蒸发受热面工质温度也是进一步计算金属壁面温度的基础</w:t>
      </w:r>
    </w:p>
    <w:p>
      <w:pPr>
        <w:tabs>
          <w:tab w:val="center" w:pos="4095"/>
          <w:tab w:val="right" w:pos="8190"/>
        </w:tabs>
        <w:spacing w:line="360" w:lineRule="exact"/>
        <w:ind w:firstLine="480"/>
        <w:rPr>
          <w:rFonts w:ascii="Times New Roman" w:hAnsi="Times New Roman"/>
          <w:sz w:val="24"/>
          <w:szCs w:val="24"/>
        </w:rPr>
      </w:pPr>
      <w:r>
        <w:rPr>
          <w:rFonts w:ascii="Times New Roman" w:hAnsi="Times New Roman" w:hint="eastAsia"/>
          <w:sz w:val="24"/>
          <w:szCs w:val="24"/>
        </w:rPr>
        <w:t>本文基于超临界直流锅炉燃料计算和锅炉热平衡计算的运行数据，根据锅炉的热力计算方法和零维炉膛传热模型，计算出炉膛传热量以600MW超临界压力直流锅炉为研究对象，通过分区段向上迭代计算的方法研究蒸发受热面的热工特性，推导动量守恒方程得出了压降随炉膛高度变化的关系式，通过能量守恒方程得到了工质比焓沿炉膛高度变化的关系式，通过反复调用</w:t>
      </w:r>
      <w:r>
        <w:rPr>
          <w:rFonts w:ascii="Times New Roman" w:hAnsi="Times New Roman" w:hint="eastAsia"/>
          <w:color w:val="000000"/>
          <w:sz w:val="24"/>
          <w:szCs w:val="24"/>
        </w:rPr>
        <w:t>IAPWS-IF97 物性工业方程计算热工参数，设计算法对之上的混合方程组进行耦合计算</w:t>
      </w:r>
      <w:r>
        <w:rPr>
          <w:rFonts w:ascii="Times New Roman" w:hAnsi="Times New Roman" w:hint="eastAsia"/>
          <w:sz w:val="24"/>
          <w:szCs w:val="24"/>
        </w:rPr>
        <w:t>。</w:t>
      </w:r>
      <w:r>
        <w:rPr>
          <w:rFonts w:ascii="Times New Roman" w:hAnsi="Times New Roman" w:hint="eastAsia"/>
          <w:color w:val="000000"/>
          <w:sz w:val="24"/>
          <w:szCs w:val="24"/>
        </w:rPr>
        <w:t>编制并调用了相关计算程序，</w:t>
      </w:r>
      <w:r>
        <w:rPr>
          <w:rFonts w:ascii="Times New Roman" w:hAnsi="Times New Roman" w:hint="eastAsia"/>
          <w:sz w:val="24"/>
          <w:szCs w:val="24"/>
        </w:rPr>
        <w:t>分析炉膛传热和工质热工特性变化，</w:t>
      </w:r>
      <w:r>
        <w:rPr>
          <w:rFonts w:ascii="Times New Roman" w:hAnsi="Times New Roman" w:hint="eastAsia"/>
          <w:color w:val="000000"/>
          <w:sz w:val="24"/>
          <w:szCs w:val="24"/>
        </w:rPr>
        <w:t>得到了不同位置和状态的汽水介质热物理参数的计算结果，通过输出蒸发受热面热工特性的分布情况可预测其安全运行状况</w:t>
      </w:r>
      <w:r>
        <w:rPr>
          <w:rFonts w:ascii="Times New Roman" w:hAnsi="Times New Roman" w:hint="eastAsia"/>
          <w:sz w:val="24"/>
          <w:szCs w:val="24"/>
        </w:rPr>
        <w:t>，而确定工质大比热区位置极其移动趋势，可用于受热面的运行监测和诊断，指导超临界直流锅炉燃烧和汽温控制。</w:t>
      </w:r>
    </w:p>
    <w:p>
      <w:pPr>
        <w:tabs>
          <w:tab w:val="center" w:pos="4095"/>
          <w:tab w:val="right" w:pos="8190"/>
        </w:tabs>
        <w:spacing w:before="312" w:beforeLines="100" w:line="360" w:lineRule="exact"/>
        <w:ind w:firstLine="0" w:firstLineChars="0"/>
        <w:jc w:val="left"/>
        <w:rPr>
          <w:rFonts w:ascii="Times New Roman" w:eastAsia="黑体" w:hAnsi="Times New Roman"/>
          <w:sz w:val="24"/>
          <w:szCs w:val="24"/>
        </w:rPr>
      </w:pPr>
      <w:r>
        <w:rPr>
          <w:rFonts w:ascii="Times New Roman" w:eastAsia="黑体" w:hAnsi="Times New Roman" w:hint="eastAsia"/>
          <w:sz w:val="24"/>
          <w:szCs w:val="24"/>
        </w:rPr>
        <w:t>关键词：超临界直流锅炉；蒸发受热面；汽水介质；热工特性；</w:t>
      </w:r>
    </w:p>
    <w:p>
      <w:pPr>
        <w:tabs>
          <w:tab w:val="center" w:pos="4095"/>
          <w:tab w:val="right" w:pos="8190"/>
        </w:tabs>
        <w:ind w:firstLine="420"/>
        <w:jc w:val="left"/>
        <w:rPr>
          <w:rFonts w:ascii="Times New Roman" w:hAnsi="Times New Roman"/>
        </w:rPr>
      </w:pPr>
    </w:p>
    <w:p>
      <w:pPr>
        <w:tabs>
          <w:tab w:val="center" w:pos="4095"/>
          <w:tab w:val="right" w:pos="8190"/>
        </w:tabs>
        <w:ind w:firstLine="420"/>
        <w:rPr>
          <w:rFonts w:ascii="Times New Roman" w:hAnsi="Times New Roman"/>
        </w:rPr>
      </w:pPr>
    </w:p>
    <w:p>
      <w:pPr>
        <w:tabs>
          <w:tab w:val="center" w:pos="4095"/>
          <w:tab w:val="right" w:pos="8190"/>
        </w:tabs>
        <w:ind w:firstLine="420"/>
        <w:rPr>
          <w:rFonts w:ascii="Times New Roman" w:hAnsi="Times New Roman"/>
        </w:rPr>
      </w:pPr>
    </w:p>
    <w:p>
      <w:pPr>
        <w:tabs>
          <w:tab w:val="center" w:pos="4095"/>
          <w:tab w:val="right" w:pos="8190"/>
        </w:tabs>
        <w:ind w:firstLine="420"/>
        <w:rPr>
          <w:rFonts w:ascii="Times New Roman" w:hAnsi="Times New Roman"/>
        </w:rPr>
      </w:pPr>
    </w:p>
    <w:p>
      <w:pPr>
        <w:tabs>
          <w:tab w:val="center" w:pos="4095"/>
          <w:tab w:val="right" w:pos="8190"/>
        </w:tabs>
        <w:ind w:firstLine="420"/>
        <w:rPr>
          <w:rFonts w:ascii="Times New Roman" w:hAnsi="Times New Roman"/>
        </w:rPr>
      </w:pPr>
    </w:p>
    <w:p>
      <w:pPr>
        <w:tabs>
          <w:tab w:val="center" w:pos="4095"/>
          <w:tab w:val="right" w:pos="8190"/>
        </w:tabs>
        <w:ind w:firstLine="420"/>
        <w:rPr>
          <w:rFonts w:ascii="Times New Roman" w:hAnsi="Times New Roman"/>
        </w:rPr>
      </w:pPr>
    </w:p>
    <w:p>
      <w:pPr>
        <w:tabs>
          <w:tab w:val="center" w:pos="4095"/>
          <w:tab w:val="right" w:pos="8190"/>
        </w:tabs>
        <w:ind w:firstLine="420"/>
        <w:rPr>
          <w:rFonts w:ascii="Times New Roman" w:hAnsi="Times New Roman"/>
        </w:rPr>
        <w:sectPr>
          <w:footerReference w:type="even" r:id="rId6"/>
          <w:footerReference w:type="default" r:id="rId7"/>
          <w:footerReference w:type="first" r:id="rId8"/>
          <w:pgSz w:w="11906" w:h="16838"/>
          <w:pgMar w:top="1985" w:right="1701" w:bottom="1985" w:left="1985" w:header="851" w:footer="992" w:gutter="0"/>
          <w:pgNumType w:fmt="upperRoman" w:start="1"/>
          <w:cols w:num="1" w:space="425"/>
          <w:docGrid w:type="lines" w:linePitch="312" w:charSpace="0"/>
        </w:sectPr>
      </w:pPr>
    </w:p>
    <w:p>
      <w:pPr>
        <w:tabs>
          <w:tab w:val="center" w:pos="4095"/>
          <w:tab w:val="right" w:pos="8190"/>
        </w:tabs>
        <w:ind w:firstLine="420"/>
        <w:rPr>
          <w:rFonts w:ascii="Times New Roman" w:hAnsi="Times New Roman"/>
        </w:rPr>
      </w:pPr>
    </w:p>
    <w:p>
      <w:pPr>
        <w:tabs>
          <w:tab w:val="center" w:pos="4095"/>
          <w:tab w:val="right" w:pos="8190"/>
        </w:tabs>
        <w:ind w:firstLine="420"/>
        <w:rPr>
          <w:rFonts w:ascii="Times New Roman" w:hAnsi="Times New Roman"/>
        </w:rPr>
      </w:pPr>
    </w:p>
    <w:p>
      <w:pPr>
        <w:tabs>
          <w:tab w:val="center" w:pos="4095"/>
          <w:tab w:val="right" w:pos="8190"/>
        </w:tabs>
        <w:ind w:firstLine="420"/>
        <w:rPr>
          <w:rFonts w:ascii="Times New Roman" w:hAnsi="Times New Roman"/>
        </w:rPr>
      </w:pPr>
    </w:p>
    <w:p>
      <w:pPr>
        <w:tabs>
          <w:tab w:val="center" w:pos="4095"/>
          <w:tab w:val="right" w:pos="8190"/>
        </w:tabs>
        <w:ind w:firstLine="420"/>
        <w:rPr>
          <w:rFonts w:ascii="Times New Roman" w:hAnsi="Times New Roman"/>
        </w:rPr>
      </w:pPr>
    </w:p>
    <w:p>
      <w:pPr>
        <w:tabs>
          <w:tab w:val="center" w:pos="4095"/>
          <w:tab w:val="right" w:pos="8190"/>
        </w:tabs>
        <w:spacing w:line="360" w:lineRule="auto"/>
        <w:ind w:firstLine="0" w:firstLineChars="0"/>
        <w:rPr>
          <w:rFonts w:ascii="Times New Roman" w:eastAsia="黑体" w:hAnsi="Times New Roman"/>
          <w:sz w:val="28"/>
          <w:szCs w:val="28"/>
          <w:u w:val="single"/>
        </w:rPr>
      </w:pPr>
      <w:r>
        <w:rPr>
          <w:rFonts w:ascii="Times New Roman" w:eastAsia="黑体" w:hAnsi="Times New Roman" w:cs="Times New Roman"/>
          <w:b/>
          <w:bCs/>
          <w:sz w:val="28"/>
          <w:szCs w:val="28"/>
        </w:rPr>
        <w:t>Title</w:t>
      </w:r>
      <w:r>
        <w:rPr>
          <w:rFonts w:ascii="Times New Roman" w:eastAsia="黑体" w:hAnsi="Times New Roman" w:cs="Times New Roman"/>
          <w:sz w:val="28"/>
          <w:szCs w:val="28"/>
          <w:u w:val="single"/>
        </w:rPr>
        <w:t>Analysis of Thermal Characteristics of Evaporation Heating Surface of Once-through Boiler</w:t>
      </w:r>
    </w:p>
    <w:p>
      <w:pPr>
        <w:tabs>
          <w:tab w:val="center" w:pos="4095"/>
          <w:tab w:val="right" w:pos="8190"/>
        </w:tabs>
        <w:spacing w:before="156" w:beforeLines="50" w:after="156" w:afterLines="50"/>
        <w:ind w:firstLine="0" w:firstLineChars="0"/>
        <w:jc w:val="center"/>
        <w:rPr>
          <w:rFonts w:ascii="Times New Roman" w:hAnsi="Times New Roman" w:cs="Times New Roman"/>
          <w:b/>
          <w:sz w:val="36"/>
          <w:szCs w:val="36"/>
        </w:rPr>
      </w:pPr>
      <w:bookmarkStart w:id="2" w:name="_Toc20676_WPSOffice_Level2"/>
      <w:r>
        <w:rPr>
          <w:rFonts w:ascii="Times New Roman" w:hAnsi="Times New Roman" w:cs="Times New Roman"/>
          <w:b/>
          <w:sz w:val="36"/>
          <w:szCs w:val="36"/>
        </w:rPr>
        <w:t>Abstract</w:t>
      </w:r>
      <w:bookmarkEnd w:id="2"/>
    </w:p>
    <w:p>
      <w:pPr>
        <w:tabs>
          <w:tab w:val="center" w:pos="4095"/>
          <w:tab w:val="right" w:pos="8190"/>
        </w:tabs>
        <w:spacing w:line="360" w:lineRule="exact"/>
        <w:ind w:firstLine="480"/>
        <w:rPr>
          <w:rFonts w:ascii="Times New Roman" w:hAnsi="Times New Roman" w:cs="Times New Roman"/>
          <w:sz w:val="24"/>
          <w:szCs w:val="24"/>
        </w:rPr>
      </w:pPr>
      <w:r>
        <w:rPr>
          <w:rFonts w:ascii="Times New Roman" w:hAnsi="Times New Roman" w:cs="Times New Roman"/>
          <w:sz w:val="24"/>
          <w:szCs w:val="24"/>
        </w:rPr>
        <w:t>With the progress of metal materials science research, and the government and people put forward higher energy consumption and environmental protection requirements for thermal power generation, the thermal efficiency and sewage discharge of power station boilers have been greatly improved, and the capacity of boilers is also increasing, supercritical pressure. The DC boiler has replaced the subcritical pressure natural circulation drum boiler and has become the main unit for the domestic power generation industry. The supercritical boiler only drives the steam-water system by the pressure of the water pump, which makes it have the self-compensating characteristic opposite to the steam drum furnace, that is, the larger the heat absorption, the smaller the flow rate of the steam-water medium in the pipe. If the large specific heat zone under supercritical conditions coincides with the most intense burner zone in the furnace during boiler operation, the heat absorption of the evaporation heating surface will be doubled, causing the film-like boiling phenomenon to cause heat transfer deterioration. In the event of an over-temperature squib accident, such accidents should be avoided during the operation of the boiler. This requires analysis of the distribution of the thermal parameters of the working fluid in the evaporative heating surface, and the location of the large specific heat zone and its The characteristic that changes in pressure. The temperature of the working surface of the evaporating heating surface of the supercritical pressure direct current boiler is also the basis for further calculating the temperature of the metal wall surface.</w:t>
      </w:r>
    </w:p>
    <w:p>
      <w:pPr>
        <w:tabs>
          <w:tab w:val="center" w:pos="4095"/>
          <w:tab w:val="right" w:pos="8190"/>
        </w:tabs>
        <w:spacing w:line="360" w:lineRule="exact"/>
        <w:ind w:firstLine="480"/>
        <w:rPr>
          <w:rFonts w:ascii="Times New Roman" w:hAnsi="Times New Roman" w:cs="Times New Roman"/>
          <w:sz w:val="24"/>
          <w:szCs w:val="24"/>
        </w:rPr>
      </w:pPr>
      <w:r>
        <w:rPr>
          <w:rFonts w:ascii="Times New Roman" w:hAnsi="Times New Roman" w:cs="Times New Roman"/>
          <w:sz w:val="24"/>
          <w:szCs w:val="24"/>
        </w:rPr>
        <w:t>Based</w:t>
      </w:r>
      <w:r>
        <w:rPr>
          <w:rFonts w:ascii="Times New Roman" w:hAnsi="Times New Roman" w:cs="Times New Roman"/>
          <w:sz w:val="24"/>
          <w:szCs w:val="24"/>
        </w:rPr>
        <w:t xml:space="preserve"> on</w:t>
      </w:r>
      <w:r>
        <w:rPr>
          <w:rFonts w:ascii="Times New Roman" w:hAnsi="Times New Roman" w:cs="Times New Roman"/>
          <w:sz w:val="24"/>
          <w:szCs w:val="24"/>
        </w:rPr>
        <w:t xml:space="preserve"> the</w:t>
      </w:r>
      <w:r>
        <w:rPr>
          <w:rFonts w:ascii="Times New Roman" w:hAnsi="Times New Roman" w:cs="Times New Roman"/>
          <w:sz w:val="24"/>
          <w:szCs w:val="24"/>
        </w:rPr>
        <w:t xml:space="preserve"> calculation</w:t>
      </w:r>
      <w:r>
        <w:rPr>
          <w:rFonts w:ascii="Times New Roman" w:hAnsi="Times New Roman" w:cs="Times New Roman"/>
          <w:sz w:val="24"/>
          <w:szCs w:val="24"/>
        </w:rPr>
        <w:t xml:space="preserve"> data</w:t>
      </w:r>
      <w:r>
        <w:rPr>
          <w:rFonts w:ascii="Times New Roman" w:hAnsi="Times New Roman" w:cs="Times New Roman"/>
          <w:sz w:val="24"/>
          <w:szCs w:val="24"/>
        </w:rPr>
        <w:t xml:space="preserve"> of</w:t>
      </w:r>
      <w:r>
        <w:rPr>
          <w:rFonts w:ascii="Times New Roman" w:hAnsi="Times New Roman" w:cs="Times New Roman"/>
          <w:sz w:val="24"/>
          <w:szCs w:val="24"/>
        </w:rPr>
        <w:t xml:space="preserve"> supercritical</w:t>
      </w:r>
      <w:r>
        <w:rPr>
          <w:rFonts w:ascii="Times New Roman" w:hAnsi="Times New Roman" w:cs="Times New Roman"/>
          <w:sz w:val="24"/>
          <w:szCs w:val="24"/>
        </w:rPr>
        <w:t xml:space="preserve"> DC</w:t>
      </w:r>
      <w:r>
        <w:rPr>
          <w:rFonts w:ascii="Times New Roman" w:hAnsi="Times New Roman" w:cs="Times New Roman"/>
          <w:sz w:val="24"/>
          <w:szCs w:val="24"/>
        </w:rPr>
        <w:t xml:space="preserve"> boiler</w:t>
      </w:r>
      <w:r>
        <w:rPr>
          <w:rFonts w:ascii="Times New Roman" w:hAnsi="Times New Roman" w:cs="Times New Roman"/>
          <w:sz w:val="24"/>
          <w:szCs w:val="24"/>
        </w:rPr>
        <w:t xml:space="preserve"> fuel</w:t>
      </w:r>
      <w:r>
        <w:rPr>
          <w:rFonts w:ascii="Times New Roman" w:hAnsi="Times New Roman" w:cs="Times New Roman"/>
          <w:sz w:val="24"/>
          <w:szCs w:val="24"/>
        </w:rPr>
        <w:t xml:space="preserve"> calculation</w:t>
      </w:r>
      <w:r>
        <w:rPr>
          <w:rFonts w:ascii="Times New Roman" w:hAnsi="Times New Roman" w:cs="Times New Roman"/>
          <w:sz w:val="24"/>
          <w:szCs w:val="24"/>
        </w:rPr>
        <w:t xml:space="preserve"> and</w:t>
      </w:r>
      <w:r>
        <w:rPr>
          <w:rFonts w:ascii="Times New Roman" w:hAnsi="Times New Roman" w:cs="Times New Roman"/>
          <w:sz w:val="24"/>
          <w:szCs w:val="24"/>
        </w:rPr>
        <w:t xml:space="preserve"> boiler</w:t>
      </w:r>
      <w:r>
        <w:rPr>
          <w:rFonts w:ascii="Times New Roman" w:hAnsi="Times New Roman" w:cs="Times New Roman"/>
          <w:sz w:val="24"/>
          <w:szCs w:val="24"/>
        </w:rPr>
        <w:t xml:space="preserve"> heat</w:t>
      </w:r>
      <w:r>
        <w:rPr>
          <w:rFonts w:ascii="Times New Roman" w:hAnsi="Times New Roman" w:cs="Times New Roman"/>
          <w:sz w:val="24"/>
          <w:szCs w:val="24"/>
        </w:rPr>
        <w:t xml:space="preserve"> balance</w:t>
      </w:r>
      <w:r>
        <w:rPr>
          <w:rFonts w:ascii="Times New Roman" w:hAnsi="Times New Roman" w:cs="Times New Roman"/>
          <w:sz w:val="24"/>
          <w:szCs w:val="24"/>
        </w:rPr>
        <w:t xml:space="preserve"> calculation,</w:t>
      </w:r>
      <w:r>
        <w:rPr>
          <w:rFonts w:ascii="Times New Roman" w:hAnsi="Times New Roman" w:cs="Times New Roman"/>
          <w:sz w:val="24"/>
          <w:szCs w:val="24"/>
        </w:rPr>
        <w:t xml:space="preserve"> according</w:t>
      </w:r>
      <w:r>
        <w:rPr>
          <w:rFonts w:ascii="Times New Roman" w:hAnsi="Times New Roman" w:cs="Times New Roman"/>
          <w:sz w:val="24"/>
          <w:szCs w:val="24"/>
        </w:rPr>
        <w:t xml:space="preserve"> to</w:t>
      </w:r>
      <w:r>
        <w:rPr>
          <w:rFonts w:ascii="Times New Roman" w:hAnsi="Times New Roman" w:cs="Times New Roman"/>
          <w:sz w:val="24"/>
          <w:szCs w:val="24"/>
        </w:rPr>
        <w:t xml:space="preserve"> the</w:t>
      </w:r>
      <w:r>
        <w:rPr>
          <w:rFonts w:ascii="Times New Roman" w:hAnsi="Times New Roman" w:cs="Times New Roman"/>
          <w:sz w:val="24"/>
          <w:szCs w:val="24"/>
        </w:rPr>
        <w:t xml:space="preserve"> boiler</w:t>
      </w:r>
      <w:r>
        <w:rPr>
          <w:rFonts w:ascii="Times New Roman" w:hAnsi="Times New Roman" w:cs="Times New Roman"/>
          <w:sz w:val="24"/>
          <w:szCs w:val="24"/>
        </w:rPr>
        <w:t xml:space="preserve"> thermal</w:t>
      </w:r>
      <w:r>
        <w:rPr>
          <w:rFonts w:ascii="Times New Roman" w:hAnsi="Times New Roman" w:cs="Times New Roman"/>
          <w:sz w:val="24"/>
          <w:szCs w:val="24"/>
        </w:rPr>
        <w:t xml:space="preserve"> calculation</w:t>
      </w:r>
      <w:r>
        <w:rPr>
          <w:rFonts w:ascii="Times New Roman" w:hAnsi="Times New Roman" w:cs="Times New Roman"/>
          <w:sz w:val="24"/>
          <w:szCs w:val="24"/>
        </w:rPr>
        <w:t xml:space="preserve"> method</w:t>
      </w:r>
      <w:r>
        <w:rPr>
          <w:rFonts w:ascii="Times New Roman" w:hAnsi="Times New Roman" w:cs="Times New Roman"/>
          <w:sz w:val="24"/>
          <w:szCs w:val="24"/>
        </w:rPr>
        <w:br/>
      </w:r>
      <w:r>
        <w:rPr>
          <w:rFonts w:ascii="Times New Roman" w:hAnsi="Times New Roman" w:cs="Times New Roman"/>
          <w:sz w:val="24"/>
          <w:szCs w:val="24"/>
        </w:rPr>
        <w:br/>
      </w:r>
    </w:p>
    <w:p>
      <w:pPr>
        <w:widowControl/>
        <w:spacing w:after="0"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https://d.book118.com/108072062064006044</w:t>
        </w:r>
      </w:hyperlink>
    </w:p>
    <w:p>
      <w:pPr>
        <w:tabs>
          <w:tab w:val="center" w:pos="4095"/>
          <w:tab w:val="right" w:pos="8190"/>
        </w:tabs>
        <w:spacing w:line="360" w:lineRule="exact"/>
        <w:ind w:firstLine="480"/>
        <w:rPr>
          <w:rFonts w:ascii="Times New Roman" w:hAnsi="Times New Roman" w:cs="Times New Roman"/>
          <w:sz w:val="24"/>
          <w:szCs w:val="24"/>
        </w:rPr>
      </w:pPr>
    </w:p>
    <w:sectPr>
      <w:footerReference w:type="even" r:id="rId10"/>
      <w:footerReference w:type="default" r:id="rId11"/>
      <w:footerReference w:type="first" r:id="rId12"/>
      <w:type w:val="nextPage"/>
      <w:pgSz w:w="11906" w:h="16838"/>
      <w:pgMar w:top="1985" w:right="1701" w:bottom="1985" w:left="1985" w:header="851" w:footer="992" w:gutter="0"/>
      <w:pgNumType w:fmt="upperRoman"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pict>
        <v:shapetype id="_x0000_t202" coordsize="21600,21600" o:spt="202" path="m,l,21600r21600,l21600,xe">
          <v:stroke joinstyle="miter"/>
          <v:path gradientshapeok="t" o:connecttype="rect"/>
        </v:shapetype>
        <v:shape id="_x0000_s4099" o:spid="_x0000_s2051" type="#_x0000_t202" style="width:2in;height:2in;margin-top:0;margin-left:0;mso-height-relative:page;mso-position-horizontal:center;mso-position-horizontal-relative:margin;mso-width-relative:page;mso-wrap-style:none;position:absolute;z-index:251659264" coordsize="21600,21600" filled="f" stroked="f">
          <v:stroke joinstyle="miter"/>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IV</w:t>
                </w:r>
                <w:r>
                  <w:rPr>
                    <w:rFonts w:hint="eastAsia"/>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pict>
        <v:shapetype id="_x0000_t202" coordsize="21600,21600" o:spt="202" path="m,l,21600r21600,l21600,xe">
          <v:stroke joinstyle="miter"/>
          <v:path gradientshapeok="t" o:connecttype="rect"/>
        </v:shapetype>
        <v:shape id="_x0000_s4098" o:spid="_x0000_s2050" type="#_x0000_t202" style="width:2in;height:2in;margin-top:0;margin-left:0;mso-height-relative:page;mso-position-horizontal:center;mso-position-horizontal-relative:margin;mso-width-relative:page;mso-wrap-style:none;position:absolute;z-index:251658240" coordsize="21600,21600" filled="f" stroked="f">
          <v:stroke joinstyle="miter"/>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pict>
        <v:shapetype id="_x0000_t202" coordsize="21600,21600" o:spt="202" path="m,l,21600r21600,l21600,xe">
          <v:stroke joinstyle="miter"/>
          <v:path gradientshapeok="t" o:connecttype="rect"/>
        </v:shapetype>
        <v:shape id="_x0000_s4097" o:spid="_x0000_s2049" type="#_x0000_t202" style="width:2in;height:2in;margin-top:0;margin-left:0;mso-height-relative:page;mso-position-horizontal:center;mso-position-horizontal-relative:margin;mso-width-relative:page;mso-wrap-style:none;position:absolute;z-index:251660288" coordsize="21600,21600" filled="f" stroked="f">
          <v:stroke joinstyle="miter"/>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pict>
        <v:shapetype id="_x0000_t202" coordsize="21600,21600" o:spt="202" path="m,l,21600r21600,l21600,xe">
          <v:stroke joinstyle="miter"/>
          <v:path gradientshapeok="t" o:connecttype="rect"/>
        </v:shapetype>
        <v:shape id="_x0000_s4099" o:spid="_x0000_s2054" type="#_x0000_t202" style="width:2in;height:2in;margin-top:0;margin-left:0;mso-height-relative:page;mso-position-horizontal:center;mso-position-horizontal-relative:margin;mso-width-relative:page;mso-wrap-style:none;position:absolute;z-index:251662336" coordsize="21600,21600" filled="f" stroked="f">
          <v:stroke joinstyle="miter"/>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pict>
        <v:shapetype id="_x0000_t202" coordsize="21600,21600" o:spt="202" path="m,l,21600r21600,l21600,xe">
          <v:stroke joinstyle="miter"/>
          <v:path gradientshapeok="t" o:connecttype="rect"/>
        </v:shapetype>
        <v:shape id="_x0000_s4098" o:spid="_x0000_s2053" type="#_x0000_t202" style="width:2in;height:2in;margin-top:0;margin-left:0;mso-height-relative:page;mso-position-horizontal:center;mso-position-horizontal-relative:margin;mso-width-relative:page;mso-wrap-style:none;position:absolute;z-index:251661312" coordsize="21600,21600" filled="f" stroked="f">
          <v:stroke joinstyle="miter"/>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pict>
        <v:shapetype id="_x0000_t202" coordsize="21600,21600" o:spt="202" path="m,l,21600r21600,l21600,xe">
          <v:stroke joinstyle="miter"/>
          <v:path gradientshapeok="t" o:connecttype="rect"/>
        </v:shapetype>
        <v:shape id="_x0000_s4097" o:spid="_x0000_s2052" type="#_x0000_t202" style="width:2in;height:2in;margin-top:0;margin-left:0;mso-height-relative:page;mso-position-horizontal:center;mso-position-horizontal-relative:margin;mso-width-relative:page;mso-wrap-style:none;position:absolute;z-index:251663360" coordsize="21600,21600" filled="f" stroked="f">
          <v:stroke joinstyle="miter"/>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5"/>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D60"/>
    <w:rsid w:val="00011AC0"/>
    <w:rsid w:val="00017E88"/>
    <w:rsid w:val="000259C8"/>
    <w:rsid w:val="00026BA9"/>
    <w:rsid w:val="00036851"/>
    <w:rsid w:val="00040AF6"/>
    <w:rsid w:val="00042FB4"/>
    <w:rsid w:val="0004586E"/>
    <w:rsid w:val="00047A45"/>
    <w:rsid w:val="00062CCB"/>
    <w:rsid w:val="00066A2A"/>
    <w:rsid w:val="0007194E"/>
    <w:rsid w:val="00076087"/>
    <w:rsid w:val="000A54AC"/>
    <w:rsid w:val="000A5B78"/>
    <w:rsid w:val="000B1937"/>
    <w:rsid w:val="000B262F"/>
    <w:rsid w:val="000C41F7"/>
    <w:rsid w:val="000C423C"/>
    <w:rsid w:val="000D1F7B"/>
    <w:rsid w:val="000D41EB"/>
    <w:rsid w:val="000D5F99"/>
    <w:rsid w:val="000D6833"/>
    <w:rsid w:val="000E0838"/>
    <w:rsid w:val="000E2734"/>
    <w:rsid w:val="000E3585"/>
    <w:rsid w:val="000E370C"/>
    <w:rsid w:val="000E3D90"/>
    <w:rsid w:val="000E56AF"/>
    <w:rsid w:val="000E6FF4"/>
    <w:rsid w:val="000E7A53"/>
    <w:rsid w:val="000F65ED"/>
    <w:rsid w:val="00106754"/>
    <w:rsid w:val="00112AEF"/>
    <w:rsid w:val="00114B32"/>
    <w:rsid w:val="00127442"/>
    <w:rsid w:val="0013429E"/>
    <w:rsid w:val="00134578"/>
    <w:rsid w:val="00137C30"/>
    <w:rsid w:val="00137E36"/>
    <w:rsid w:val="00147CA2"/>
    <w:rsid w:val="00152023"/>
    <w:rsid w:val="001521CA"/>
    <w:rsid w:val="00170A9F"/>
    <w:rsid w:val="00171243"/>
    <w:rsid w:val="001738A6"/>
    <w:rsid w:val="00174E77"/>
    <w:rsid w:val="00182166"/>
    <w:rsid w:val="001823A4"/>
    <w:rsid w:val="00182F47"/>
    <w:rsid w:val="00190CBD"/>
    <w:rsid w:val="001942C1"/>
    <w:rsid w:val="00196CC4"/>
    <w:rsid w:val="001A2586"/>
    <w:rsid w:val="001B4C42"/>
    <w:rsid w:val="001B4EE7"/>
    <w:rsid w:val="001B57D8"/>
    <w:rsid w:val="001C077D"/>
    <w:rsid w:val="001C4632"/>
    <w:rsid w:val="001C63EF"/>
    <w:rsid w:val="001D7BA4"/>
    <w:rsid w:val="001E1196"/>
    <w:rsid w:val="001E2904"/>
    <w:rsid w:val="001E4613"/>
    <w:rsid w:val="001E7929"/>
    <w:rsid w:val="001E7940"/>
    <w:rsid w:val="001F2CA0"/>
    <w:rsid w:val="00201E43"/>
    <w:rsid w:val="00201F6B"/>
    <w:rsid w:val="0020718C"/>
    <w:rsid w:val="0021359C"/>
    <w:rsid w:val="00223B9C"/>
    <w:rsid w:val="002268C0"/>
    <w:rsid w:val="00230F74"/>
    <w:rsid w:val="002348F5"/>
    <w:rsid w:val="00237CC0"/>
    <w:rsid w:val="00246087"/>
    <w:rsid w:val="00250270"/>
    <w:rsid w:val="00273134"/>
    <w:rsid w:val="00287FF0"/>
    <w:rsid w:val="00292D8E"/>
    <w:rsid w:val="00295257"/>
    <w:rsid w:val="002A383B"/>
    <w:rsid w:val="002A6513"/>
    <w:rsid w:val="002A6DF7"/>
    <w:rsid w:val="002B3EDF"/>
    <w:rsid w:val="002B74AF"/>
    <w:rsid w:val="002C4174"/>
    <w:rsid w:val="002D0E8E"/>
    <w:rsid w:val="002D1BC7"/>
    <w:rsid w:val="002D5C04"/>
    <w:rsid w:val="002D7304"/>
    <w:rsid w:val="002D7A04"/>
    <w:rsid w:val="002E048C"/>
    <w:rsid w:val="002E113A"/>
    <w:rsid w:val="002E3B8F"/>
    <w:rsid w:val="002F282E"/>
    <w:rsid w:val="002F2ADA"/>
    <w:rsid w:val="002F2F9B"/>
    <w:rsid w:val="002F3BAD"/>
    <w:rsid w:val="002F7DDC"/>
    <w:rsid w:val="00305338"/>
    <w:rsid w:val="00312547"/>
    <w:rsid w:val="0031324C"/>
    <w:rsid w:val="00316B73"/>
    <w:rsid w:val="00316EBC"/>
    <w:rsid w:val="00324870"/>
    <w:rsid w:val="003308DE"/>
    <w:rsid w:val="00331C35"/>
    <w:rsid w:val="003348EE"/>
    <w:rsid w:val="00343ECD"/>
    <w:rsid w:val="003447F9"/>
    <w:rsid w:val="00346C4E"/>
    <w:rsid w:val="003529E7"/>
    <w:rsid w:val="00354C91"/>
    <w:rsid w:val="003555F2"/>
    <w:rsid w:val="00357368"/>
    <w:rsid w:val="003607C4"/>
    <w:rsid w:val="003734C5"/>
    <w:rsid w:val="003818A3"/>
    <w:rsid w:val="00382447"/>
    <w:rsid w:val="00385D15"/>
    <w:rsid w:val="00393E54"/>
    <w:rsid w:val="003A13D6"/>
    <w:rsid w:val="003A273A"/>
    <w:rsid w:val="003A43F4"/>
    <w:rsid w:val="003A7161"/>
    <w:rsid w:val="003B1757"/>
    <w:rsid w:val="003B35CE"/>
    <w:rsid w:val="003B430E"/>
    <w:rsid w:val="003C3B25"/>
    <w:rsid w:val="003E0C08"/>
    <w:rsid w:val="003E7703"/>
    <w:rsid w:val="003F0B56"/>
    <w:rsid w:val="003F1E63"/>
    <w:rsid w:val="003F3CB3"/>
    <w:rsid w:val="003F4C37"/>
    <w:rsid w:val="003F57E9"/>
    <w:rsid w:val="0041128D"/>
    <w:rsid w:val="00412608"/>
    <w:rsid w:val="00413DEE"/>
    <w:rsid w:val="0041620C"/>
    <w:rsid w:val="004168B6"/>
    <w:rsid w:val="00416F81"/>
    <w:rsid w:val="00425178"/>
    <w:rsid w:val="00425CCF"/>
    <w:rsid w:val="00431CEE"/>
    <w:rsid w:val="004322C6"/>
    <w:rsid w:val="00437760"/>
    <w:rsid w:val="00437897"/>
    <w:rsid w:val="0044161F"/>
    <w:rsid w:val="00447BB1"/>
    <w:rsid w:val="0045040F"/>
    <w:rsid w:val="00452A1D"/>
    <w:rsid w:val="00456068"/>
    <w:rsid w:val="00463A67"/>
    <w:rsid w:val="00465BE3"/>
    <w:rsid w:val="00467BC5"/>
    <w:rsid w:val="004712C6"/>
    <w:rsid w:val="00473595"/>
    <w:rsid w:val="00474B85"/>
    <w:rsid w:val="00474CEE"/>
    <w:rsid w:val="004750C1"/>
    <w:rsid w:val="00475A8B"/>
    <w:rsid w:val="004777DD"/>
    <w:rsid w:val="00486287"/>
    <w:rsid w:val="0049035B"/>
    <w:rsid w:val="0049454A"/>
    <w:rsid w:val="004962B5"/>
    <w:rsid w:val="004A2C7B"/>
    <w:rsid w:val="004B52E8"/>
    <w:rsid w:val="004B5E1B"/>
    <w:rsid w:val="004B68BF"/>
    <w:rsid w:val="004C2887"/>
    <w:rsid w:val="004C2E87"/>
    <w:rsid w:val="004C7B11"/>
    <w:rsid w:val="004C7E6B"/>
    <w:rsid w:val="004D1140"/>
    <w:rsid w:val="004D3B33"/>
    <w:rsid w:val="004D3FB2"/>
    <w:rsid w:val="004D5457"/>
    <w:rsid w:val="004D7F68"/>
    <w:rsid w:val="004E29E9"/>
    <w:rsid w:val="004E502B"/>
    <w:rsid w:val="004E5F82"/>
    <w:rsid w:val="004E7C8A"/>
    <w:rsid w:val="00502E79"/>
    <w:rsid w:val="0051142D"/>
    <w:rsid w:val="00511F1A"/>
    <w:rsid w:val="00523D77"/>
    <w:rsid w:val="0053086B"/>
    <w:rsid w:val="00533049"/>
    <w:rsid w:val="00533246"/>
    <w:rsid w:val="005337FE"/>
    <w:rsid w:val="00534D01"/>
    <w:rsid w:val="005426C7"/>
    <w:rsid w:val="005505CD"/>
    <w:rsid w:val="00550B95"/>
    <w:rsid w:val="0055651D"/>
    <w:rsid w:val="00565AC9"/>
    <w:rsid w:val="00572FC3"/>
    <w:rsid w:val="0057692E"/>
    <w:rsid w:val="00594BF7"/>
    <w:rsid w:val="005A14F8"/>
    <w:rsid w:val="005A2792"/>
    <w:rsid w:val="005A5248"/>
    <w:rsid w:val="005B1212"/>
    <w:rsid w:val="005B315F"/>
    <w:rsid w:val="005C0271"/>
    <w:rsid w:val="005D791D"/>
    <w:rsid w:val="005E65D4"/>
    <w:rsid w:val="005F4015"/>
    <w:rsid w:val="006002D0"/>
    <w:rsid w:val="00601C0C"/>
    <w:rsid w:val="006218ED"/>
    <w:rsid w:val="006268C7"/>
    <w:rsid w:val="0063221B"/>
    <w:rsid w:val="00634933"/>
    <w:rsid w:val="00641443"/>
    <w:rsid w:val="0064145B"/>
    <w:rsid w:val="00642288"/>
    <w:rsid w:val="00643FC7"/>
    <w:rsid w:val="0065669F"/>
    <w:rsid w:val="00670B74"/>
    <w:rsid w:val="00691227"/>
    <w:rsid w:val="00693AC4"/>
    <w:rsid w:val="00695D2B"/>
    <w:rsid w:val="006965F0"/>
    <w:rsid w:val="006A03AF"/>
    <w:rsid w:val="006C032D"/>
    <w:rsid w:val="006C2A58"/>
    <w:rsid w:val="006C3165"/>
    <w:rsid w:val="006D1D0C"/>
    <w:rsid w:val="006D64C0"/>
    <w:rsid w:val="006E6E62"/>
    <w:rsid w:val="00703E7E"/>
    <w:rsid w:val="00707809"/>
    <w:rsid w:val="007101CE"/>
    <w:rsid w:val="00715169"/>
    <w:rsid w:val="0071626E"/>
    <w:rsid w:val="00725461"/>
    <w:rsid w:val="00736FBF"/>
    <w:rsid w:val="0074406B"/>
    <w:rsid w:val="00745D1B"/>
    <w:rsid w:val="007501A6"/>
    <w:rsid w:val="007601DB"/>
    <w:rsid w:val="00772CBC"/>
    <w:rsid w:val="007903E6"/>
    <w:rsid w:val="007A15C3"/>
    <w:rsid w:val="007A17CF"/>
    <w:rsid w:val="007A2B1A"/>
    <w:rsid w:val="007B121D"/>
    <w:rsid w:val="007B14EA"/>
    <w:rsid w:val="007B61AA"/>
    <w:rsid w:val="007C2641"/>
    <w:rsid w:val="007D005D"/>
    <w:rsid w:val="007D79E6"/>
    <w:rsid w:val="007E09E5"/>
    <w:rsid w:val="007E137E"/>
    <w:rsid w:val="007E1393"/>
    <w:rsid w:val="007E2591"/>
    <w:rsid w:val="007E25D1"/>
    <w:rsid w:val="007E4F6B"/>
    <w:rsid w:val="007E5027"/>
    <w:rsid w:val="007F3DBF"/>
    <w:rsid w:val="007F5DD4"/>
    <w:rsid w:val="0080366D"/>
    <w:rsid w:val="00813D60"/>
    <w:rsid w:val="0081434E"/>
    <w:rsid w:val="0081604E"/>
    <w:rsid w:val="008253EF"/>
    <w:rsid w:val="0083177A"/>
    <w:rsid w:val="00832A38"/>
    <w:rsid w:val="00841B0E"/>
    <w:rsid w:val="008442A6"/>
    <w:rsid w:val="008443B1"/>
    <w:rsid w:val="00850687"/>
    <w:rsid w:val="008550FF"/>
    <w:rsid w:val="00856C71"/>
    <w:rsid w:val="00860410"/>
    <w:rsid w:val="00860E09"/>
    <w:rsid w:val="00861600"/>
    <w:rsid w:val="00862FDC"/>
    <w:rsid w:val="00876DD6"/>
    <w:rsid w:val="00882C4B"/>
    <w:rsid w:val="00892D0B"/>
    <w:rsid w:val="008A79FC"/>
    <w:rsid w:val="008B0936"/>
    <w:rsid w:val="008C2590"/>
    <w:rsid w:val="008C3710"/>
    <w:rsid w:val="008C4E2D"/>
    <w:rsid w:val="008D0BB4"/>
    <w:rsid w:val="008D2E89"/>
    <w:rsid w:val="008D4359"/>
    <w:rsid w:val="008D64B9"/>
    <w:rsid w:val="008E3343"/>
    <w:rsid w:val="008E3EF5"/>
    <w:rsid w:val="008F08D8"/>
    <w:rsid w:val="008F398F"/>
    <w:rsid w:val="008F6FF0"/>
    <w:rsid w:val="008F73A4"/>
    <w:rsid w:val="00901DA0"/>
    <w:rsid w:val="00903A6C"/>
    <w:rsid w:val="009177FB"/>
    <w:rsid w:val="00920949"/>
    <w:rsid w:val="0094413F"/>
    <w:rsid w:val="00965C67"/>
    <w:rsid w:val="009701E8"/>
    <w:rsid w:val="0097234E"/>
    <w:rsid w:val="00984BA6"/>
    <w:rsid w:val="00985FE8"/>
    <w:rsid w:val="00987E67"/>
    <w:rsid w:val="00990B7F"/>
    <w:rsid w:val="009921D3"/>
    <w:rsid w:val="00995AD9"/>
    <w:rsid w:val="00996506"/>
    <w:rsid w:val="009A2530"/>
    <w:rsid w:val="009B21BC"/>
    <w:rsid w:val="009B339B"/>
    <w:rsid w:val="009B5940"/>
    <w:rsid w:val="009C2B6A"/>
    <w:rsid w:val="009C5841"/>
    <w:rsid w:val="009C5B64"/>
    <w:rsid w:val="009D129D"/>
    <w:rsid w:val="009D4F1A"/>
    <w:rsid w:val="009D7933"/>
    <w:rsid w:val="009E6506"/>
    <w:rsid w:val="009E7298"/>
    <w:rsid w:val="009F6620"/>
    <w:rsid w:val="00A036F9"/>
    <w:rsid w:val="00A14888"/>
    <w:rsid w:val="00A209E0"/>
    <w:rsid w:val="00A232DF"/>
    <w:rsid w:val="00A26C5E"/>
    <w:rsid w:val="00A30406"/>
    <w:rsid w:val="00A3638F"/>
    <w:rsid w:val="00A424AB"/>
    <w:rsid w:val="00A506E7"/>
    <w:rsid w:val="00A53070"/>
    <w:rsid w:val="00A56F04"/>
    <w:rsid w:val="00A600F2"/>
    <w:rsid w:val="00A679C4"/>
    <w:rsid w:val="00A86158"/>
    <w:rsid w:val="00A937AB"/>
    <w:rsid w:val="00AB32D0"/>
    <w:rsid w:val="00AB47CA"/>
    <w:rsid w:val="00AB4BD1"/>
    <w:rsid w:val="00AC389E"/>
    <w:rsid w:val="00AD3FAB"/>
    <w:rsid w:val="00AE29C3"/>
    <w:rsid w:val="00AE770B"/>
    <w:rsid w:val="00AF3173"/>
    <w:rsid w:val="00B00417"/>
    <w:rsid w:val="00B03B81"/>
    <w:rsid w:val="00B04854"/>
    <w:rsid w:val="00B051C5"/>
    <w:rsid w:val="00B104E4"/>
    <w:rsid w:val="00B1147D"/>
    <w:rsid w:val="00B115BF"/>
    <w:rsid w:val="00B12762"/>
    <w:rsid w:val="00B12A81"/>
    <w:rsid w:val="00B14A8D"/>
    <w:rsid w:val="00B17EFE"/>
    <w:rsid w:val="00B2169D"/>
    <w:rsid w:val="00B313F4"/>
    <w:rsid w:val="00B3227C"/>
    <w:rsid w:val="00B42DFB"/>
    <w:rsid w:val="00B47D31"/>
    <w:rsid w:val="00B56546"/>
    <w:rsid w:val="00B7295F"/>
    <w:rsid w:val="00B737BC"/>
    <w:rsid w:val="00B748A8"/>
    <w:rsid w:val="00B76F97"/>
    <w:rsid w:val="00B8196C"/>
    <w:rsid w:val="00B87FCA"/>
    <w:rsid w:val="00B91443"/>
    <w:rsid w:val="00B97C2A"/>
    <w:rsid w:val="00BA0AC9"/>
    <w:rsid w:val="00BA2D8F"/>
    <w:rsid w:val="00BA3912"/>
    <w:rsid w:val="00BA484A"/>
    <w:rsid w:val="00BA75D8"/>
    <w:rsid w:val="00BB02AB"/>
    <w:rsid w:val="00BB35A3"/>
    <w:rsid w:val="00BB38AC"/>
    <w:rsid w:val="00BB5653"/>
    <w:rsid w:val="00BB702F"/>
    <w:rsid w:val="00BB74DF"/>
    <w:rsid w:val="00BD19F3"/>
    <w:rsid w:val="00BD53A6"/>
    <w:rsid w:val="00BD62A3"/>
    <w:rsid w:val="00BE4979"/>
    <w:rsid w:val="00BE7E64"/>
    <w:rsid w:val="00BF7E76"/>
    <w:rsid w:val="00C0586B"/>
    <w:rsid w:val="00C063C0"/>
    <w:rsid w:val="00C15D1F"/>
    <w:rsid w:val="00C23783"/>
    <w:rsid w:val="00C2579B"/>
    <w:rsid w:val="00C2591E"/>
    <w:rsid w:val="00C27E2B"/>
    <w:rsid w:val="00C301DB"/>
    <w:rsid w:val="00C33C07"/>
    <w:rsid w:val="00C40B87"/>
    <w:rsid w:val="00C43189"/>
    <w:rsid w:val="00C463B0"/>
    <w:rsid w:val="00C471C5"/>
    <w:rsid w:val="00C54F1E"/>
    <w:rsid w:val="00C55B3C"/>
    <w:rsid w:val="00C57144"/>
    <w:rsid w:val="00C57AF9"/>
    <w:rsid w:val="00C57BE8"/>
    <w:rsid w:val="00C606D9"/>
    <w:rsid w:val="00C61C56"/>
    <w:rsid w:val="00C61E12"/>
    <w:rsid w:val="00C70031"/>
    <w:rsid w:val="00C76053"/>
    <w:rsid w:val="00C90BFE"/>
    <w:rsid w:val="00CA25F3"/>
    <w:rsid w:val="00CA4624"/>
    <w:rsid w:val="00CB1816"/>
    <w:rsid w:val="00CB540C"/>
    <w:rsid w:val="00CE2501"/>
    <w:rsid w:val="00CF42B7"/>
    <w:rsid w:val="00CF7CBB"/>
    <w:rsid w:val="00D0688A"/>
    <w:rsid w:val="00D13080"/>
    <w:rsid w:val="00D14559"/>
    <w:rsid w:val="00D15656"/>
    <w:rsid w:val="00D26495"/>
    <w:rsid w:val="00D265D1"/>
    <w:rsid w:val="00D275AA"/>
    <w:rsid w:val="00D429F1"/>
    <w:rsid w:val="00D42E55"/>
    <w:rsid w:val="00D4478B"/>
    <w:rsid w:val="00D471BD"/>
    <w:rsid w:val="00D573DB"/>
    <w:rsid w:val="00D64D31"/>
    <w:rsid w:val="00D765AE"/>
    <w:rsid w:val="00D929CD"/>
    <w:rsid w:val="00DA2207"/>
    <w:rsid w:val="00DA3819"/>
    <w:rsid w:val="00DA64D8"/>
    <w:rsid w:val="00DB0087"/>
    <w:rsid w:val="00DB5E18"/>
    <w:rsid w:val="00DB6ED5"/>
    <w:rsid w:val="00DD268B"/>
    <w:rsid w:val="00DD490D"/>
    <w:rsid w:val="00DE17B7"/>
    <w:rsid w:val="00DE624B"/>
    <w:rsid w:val="00DF2A54"/>
    <w:rsid w:val="00E029D4"/>
    <w:rsid w:val="00E03517"/>
    <w:rsid w:val="00E03939"/>
    <w:rsid w:val="00E051B8"/>
    <w:rsid w:val="00E051D8"/>
    <w:rsid w:val="00E121EC"/>
    <w:rsid w:val="00E178B3"/>
    <w:rsid w:val="00E26346"/>
    <w:rsid w:val="00E267FB"/>
    <w:rsid w:val="00E33B00"/>
    <w:rsid w:val="00E446AF"/>
    <w:rsid w:val="00E47E1F"/>
    <w:rsid w:val="00E54C05"/>
    <w:rsid w:val="00E55F06"/>
    <w:rsid w:val="00E56661"/>
    <w:rsid w:val="00E63CEE"/>
    <w:rsid w:val="00E668DD"/>
    <w:rsid w:val="00E71DE1"/>
    <w:rsid w:val="00E72764"/>
    <w:rsid w:val="00E76BC8"/>
    <w:rsid w:val="00E7753D"/>
    <w:rsid w:val="00E7781C"/>
    <w:rsid w:val="00E826DA"/>
    <w:rsid w:val="00E84376"/>
    <w:rsid w:val="00E87685"/>
    <w:rsid w:val="00E95052"/>
    <w:rsid w:val="00E95E36"/>
    <w:rsid w:val="00EA559C"/>
    <w:rsid w:val="00EA5DE7"/>
    <w:rsid w:val="00EC152A"/>
    <w:rsid w:val="00EC1DD1"/>
    <w:rsid w:val="00ED0CE3"/>
    <w:rsid w:val="00ED1A4F"/>
    <w:rsid w:val="00ED34CD"/>
    <w:rsid w:val="00EE2244"/>
    <w:rsid w:val="00EE24E1"/>
    <w:rsid w:val="00EE2BB9"/>
    <w:rsid w:val="00EF025F"/>
    <w:rsid w:val="00EF26DB"/>
    <w:rsid w:val="00EF2AA9"/>
    <w:rsid w:val="00EF3344"/>
    <w:rsid w:val="00F016A9"/>
    <w:rsid w:val="00F01E3C"/>
    <w:rsid w:val="00F04452"/>
    <w:rsid w:val="00F048B1"/>
    <w:rsid w:val="00F04A3B"/>
    <w:rsid w:val="00F05877"/>
    <w:rsid w:val="00F05CD0"/>
    <w:rsid w:val="00F10E8F"/>
    <w:rsid w:val="00F13CC0"/>
    <w:rsid w:val="00F23BE1"/>
    <w:rsid w:val="00F26078"/>
    <w:rsid w:val="00F342C4"/>
    <w:rsid w:val="00F46860"/>
    <w:rsid w:val="00F55BA0"/>
    <w:rsid w:val="00F62860"/>
    <w:rsid w:val="00F64778"/>
    <w:rsid w:val="00F734EB"/>
    <w:rsid w:val="00F76C9A"/>
    <w:rsid w:val="00F76FC6"/>
    <w:rsid w:val="00F80122"/>
    <w:rsid w:val="00F858DF"/>
    <w:rsid w:val="00F917D7"/>
    <w:rsid w:val="00FA2DC0"/>
    <w:rsid w:val="00FA5A63"/>
    <w:rsid w:val="00FB0537"/>
    <w:rsid w:val="00FB366A"/>
    <w:rsid w:val="00FD2D52"/>
    <w:rsid w:val="00FF0E66"/>
    <w:rsid w:val="26716EA0"/>
    <w:rsid w:val="3D5F194A"/>
    <w:rsid w:val="4D483554"/>
    <w:rsid w:val="66E9029A"/>
    <w:rsid w:val="7CD11EEB"/>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qFormat="1"/>
    <w:lsdException w:name="footer" w:qFormat="1"/>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ind w:firstLine="200" w:firstLineChars="20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aption">
    <w:name w:val="caption"/>
    <w:basedOn w:val="Normal"/>
    <w:next w:val="Normal"/>
    <w:uiPriority w:val="35"/>
    <w:unhideWhenUsed/>
    <w:qFormat/>
    <w:rPr>
      <w:rFonts w:eastAsia="黑体" w:asciiTheme="majorHAnsi" w:hAnsiTheme="majorHAnsi" w:cstheme="majorBidi"/>
      <w:sz w:val="20"/>
      <w:szCs w:val="20"/>
    </w:rPr>
  </w:style>
  <w:style w:type="paragraph" w:styleId="BodyText">
    <w:name w:val="Body Text"/>
    <w:basedOn w:val="Normal"/>
    <w:link w:val="Char3"/>
    <w:uiPriority w:val="99"/>
    <w:semiHidden/>
    <w:unhideWhenUsed/>
    <w:qFormat/>
    <w:pPr>
      <w:spacing w:after="120"/>
    </w:pPr>
  </w:style>
  <w:style w:type="paragraph" w:styleId="BodyTextIndent">
    <w:name w:val="Body Text Indent"/>
    <w:basedOn w:val="Normal"/>
    <w:link w:val="Char1"/>
    <w:qFormat/>
    <w:pPr>
      <w:spacing w:line="360" w:lineRule="exact"/>
      <w:ind w:left="538" w:hanging="538" w:hangingChars="192"/>
    </w:pPr>
    <w:rPr>
      <w:rFonts w:ascii="Times New Roman" w:eastAsia="宋体" w:hAnsi="Times New Roman" w:cs="Times New Roman"/>
      <w:sz w:val="28"/>
      <w:szCs w:val="24"/>
    </w:rPr>
  </w:style>
  <w:style w:type="paragraph" w:styleId="BalloonText">
    <w:name w:val="Balloon Text"/>
    <w:basedOn w:val="Normal"/>
    <w:link w:val="Char2"/>
    <w:uiPriority w:val="99"/>
    <w:semiHidden/>
    <w:unhideWhenUsed/>
    <w:qFormat/>
    <w:rPr>
      <w:sz w:val="18"/>
      <w:szCs w:val="18"/>
    </w:rPr>
  </w:style>
  <w:style w:type="paragraph" w:styleId="Footer">
    <w:name w:val="footer"/>
    <w:basedOn w:val="Normal"/>
    <w:link w:val="Char0"/>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uiPriority w:val="99"/>
    <w:semiHidden/>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
    <w:name w:val="页眉 Char"/>
    <w:basedOn w:val="DefaultParagraphFont"/>
    <w:link w:val="Header"/>
    <w:uiPriority w:val="99"/>
    <w:semiHidden/>
    <w:qFormat/>
    <w:rPr>
      <w:sz w:val="18"/>
      <w:szCs w:val="18"/>
    </w:rPr>
  </w:style>
  <w:style w:type="character" w:customStyle="1" w:styleId="Char0">
    <w:name w:val="页脚 Char"/>
    <w:basedOn w:val="DefaultParagraphFont"/>
    <w:link w:val="Footer"/>
    <w:uiPriority w:val="99"/>
    <w:semiHidden/>
    <w:qFormat/>
    <w:rPr>
      <w:sz w:val="18"/>
      <w:szCs w:val="18"/>
    </w:rPr>
  </w:style>
  <w:style w:type="character" w:customStyle="1" w:styleId="Char1">
    <w:name w:val="正文文本缩进 Char"/>
    <w:basedOn w:val="DefaultParagraphFont"/>
    <w:link w:val="BodyTextIndent"/>
    <w:qFormat/>
    <w:rPr>
      <w:rFonts w:ascii="Times New Roman" w:eastAsia="宋体" w:hAnsi="Times New Roman" w:cs="Times New Roman"/>
      <w:sz w:val="28"/>
      <w:szCs w:val="24"/>
    </w:rPr>
  </w:style>
  <w:style w:type="character" w:customStyle="1" w:styleId="Char2">
    <w:name w:val="批注框文本 Char"/>
    <w:basedOn w:val="DefaultParagraphFont"/>
    <w:link w:val="BalloonText"/>
    <w:uiPriority w:val="99"/>
    <w:semiHidden/>
    <w:qFormat/>
    <w:rPr>
      <w:sz w:val="18"/>
      <w:szCs w:val="18"/>
    </w:rPr>
  </w:style>
  <w:style w:type="paragraph" w:styleId="ListParagraph">
    <w:name w:val="List Paragraph"/>
    <w:basedOn w:val="Normal"/>
    <w:uiPriority w:val="34"/>
    <w:qFormat/>
    <w:pPr>
      <w:ind w:firstLine="420"/>
    </w:pPr>
  </w:style>
  <w:style w:type="table" w:customStyle="1" w:styleId="1">
    <w:name w:val="浅色底纹1"/>
    <w:basedOn w:val="TableNormal"/>
    <w:uiPriority w:val="60"/>
    <w:qFormat/>
    <w:rPr>
      <w:color w:val="000000" w:themeColor="text1" w:themeShade="BF"/>
    </w:rPr>
    <w:tblPr>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character" w:customStyle="1" w:styleId="MathematicaFormatStandardForm">
    <w:name w:val="MathematicaFormatStandardForm"/>
    <w:uiPriority w:val="99"/>
    <w:qFormat/>
    <w:rPr>
      <w:rFonts w:ascii="Courier" w:hAnsi="Courier" w:cs="Courier"/>
    </w:rPr>
  </w:style>
  <w:style w:type="character" w:customStyle="1" w:styleId="emsimilar">
    <w:name w:val="em_similar"/>
    <w:basedOn w:val="DefaultParagraphFont"/>
    <w:qFormat/>
    <w:rPr>
      <w:color w:val="FF0000"/>
    </w:rPr>
  </w:style>
  <w:style w:type="character" w:customStyle="1" w:styleId="Char3">
    <w:name w:val="正文文本 Char"/>
    <w:basedOn w:val="DefaultParagraphFont"/>
    <w:link w:val="BodyText"/>
    <w:uiPriority w:val="99"/>
    <w:semiHidden/>
    <w:qFormat/>
  </w:style>
  <w:style w:type="character" w:styleId="PlaceholderText">
    <w:name w:val="Placeholder Text"/>
    <w:basedOn w:val="DefaultParagraphFont"/>
    <w:uiPriority w:val="99"/>
    <w:semiHidden/>
    <w:qFormat/>
    <w:rPr>
      <w:color w:val="808080"/>
    </w:rPr>
  </w:style>
  <w:style w:type="paragraph" w:customStyle="1" w:styleId="WPSOffice1">
    <w:name w:val="WPSOffice手动目录 1"/>
    <w:qFormat/>
    <w:rPr>
      <w:rFonts w:asciiTheme="minorHAnsi" w:eastAsiaTheme="minorEastAsia" w:hAnsiTheme="minorHAnsi" w:cstheme="minorBidi"/>
      <w:lang w:val="en-US" w:eastAsia="zh-CN" w:bidi="ar-SA"/>
    </w:rPr>
  </w:style>
  <w:style w:type="paragraph" w:customStyle="1" w:styleId="WPSOffice2">
    <w:name w:val="WPSOffice手动目录 2"/>
    <w:qFormat/>
    <w:pPr>
      <w:ind w:left="200" w:leftChars="200"/>
    </w:pPr>
    <w:rPr>
      <w:rFonts w:asciiTheme="minorHAnsi" w:eastAsiaTheme="minorEastAsia" w:hAnsiTheme="minorHAnsi" w:cstheme="minorBidi"/>
      <w:lang w:val="en-US" w:eastAsia="zh-CN" w:bidi="ar-SA"/>
    </w:rPr>
  </w:style>
  <w:style w:type="paragraph" w:customStyle="1" w:styleId="WPSOffice3">
    <w:name w:val="WPSOffice手动目录 3"/>
    <w:qFormat/>
    <w:pPr>
      <w:ind w:left="400" w:leftChars="400"/>
    </w:pPr>
    <w:rPr>
      <w:rFonts w:asciiTheme="minorHAnsi" w:eastAsiaTheme="minorEastAsia" w:hAnsiTheme="minorHAnsi" w:cstheme="minorBidi"/>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hyperlink" Target="https://d.book118.com/108072062064006044"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8"/>
    <customShpInfo spid="_x0000_s4099"/>
    <customShpInfo spid="_x0000_s4097"/>
    <customShpInfo spid="_x0000_s4100"/>
    <customShpInfo spid="_x0000_s4101"/>
    <customShpInfo spid="_x0000_s4103"/>
    <customShpInfo spid="_x0000_s4104"/>
    <customShpInfo spid="_x0000_s410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4B9C56-3B86-4071-95C7-A25241AEBEB5}">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Pages>
  <Words>4272</Words>
  <Characters>24355</Characters>
  <Application>Microsoft Office Word</Application>
  <DocSecurity>0</DocSecurity>
  <Lines>202</Lines>
  <Paragraphs>57</Paragraphs>
  <ScaleCrop>false</ScaleCrop>
  <Company/>
  <LinksUpToDate>false</LinksUpToDate>
  <CharactersWithSpaces>28570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浮城</cp:lastModifiedBy>
  <cp:revision>254</cp:revision>
  <dcterms:created xsi:type="dcterms:W3CDTF">2019-05-29T13:54:00Z</dcterms:created>
  <dcterms:modified xsi:type="dcterms:W3CDTF">2019-06-15T14:38:02Z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