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2024年丹参种植行业分析报告及未来五到十年行业发展趋势报告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495" w:history="1">
        <w:r>
          <w:rPr>
            <w:rFonts w:eastAsia="微软雅黑" w:hint="eastAsia"/>
            <w:snapToGrid/>
            <w:lang w:val="en-US" w:eastAsia="en-US"/>
          </w:rPr>
          <w:t>一、2024-2029年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_Toc6495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127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_Toc1273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802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_Toc21802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37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_Toc29837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374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_Toc19374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4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_Toc14046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67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_Toc12867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464" w:history="1">
        <w:r>
          <w:rPr>
            <w:rFonts w:eastAsia="微软雅黑" w:hint="eastAsia"/>
            <w:snapToGrid/>
            <w:lang w:val="en-US" w:eastAsia="en-US"/>
          </w:rPr>
          <w:t>二、2024-2029年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_Toc7464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99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_Toc18799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585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_Toc12585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042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_Toc23042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66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_Toc3666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336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_Toc14336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655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_Toc11655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06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_Toc25064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2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_Toc32724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9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_Toc18196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457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_Toc22457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2091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_Toc22091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067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_Toc24067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5807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行业成功突围策略</w:t>
        </w:r>
        <w:r>
          <w:tab/>
        </w:r>
        <w:r>
          <w:fldChar w:fldCharType="begin"/>
        </w:r>
        <w:r>
          <w:instrText xml:space="preserve"> PAGEREF _Toc15807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288" w:history="1">
        <w:r>
          <w:rPr>
            <w:rFonts w:eastAsia="微软雅黑" w:hint="eastAsia"/>
            <w:snapToGrid/>
            <w:lang w:val="en-US" w:eastAsia="en-US"/>
          </w:rPr>
          <w:t>(一)、寻找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行业准差异化消费者兴趣诉求点</w:t>
        </w:r>
        <w:r>
          <w:tab/>
        </w:r>
        <w:r>
          <w:fldChar w:fldCharType="begin"/>
        </w:r>
        <w:r>
          <w:instrText xml:space="preserve"> PAGEREF _Toc30288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8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行业精准定位与无声消费教育</w:t>
        </w:r>
        <w:r>
          <w:tab/>
        </w:r>
        <w:r>
          <w:fldChar w:fldCharType="begin"/>
        </w:r>
        <w:r>
          <w:instrText xml:space="preserve"> PAGEREF _Toc20484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89" w:history="1">
        <w:r>
          <w:rPr>
            <w:rFonts w:eastAsia="微软雅黑" w:hint="eastAsia"/>
            <w:snapToGrid/>
            <w:lang w:val="en-US" w:eastAsia="zh-CN"/>
          </w:rPr>
          <w:t>(三)、从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行业硬文广告传播到深度合作</w:t>
        </w:r>
        <w:r>
          <w:tab/>
        </w:r>
        <w:r>
          <w:fldChar w:fldCharType="begin"/>
        </w:r>
        <w:r>
          <w:instrText xml:space="preserve"> PAGEREF _Toc22689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13" w:history="1">
        <w:r>
          <w:rPr>
            <w:rFonts w:eastAsia="微软雅黑" w:hint="eastAsia"/>
            <w:snapToGrid/>
            <w:lang w:val="en-US" w:eastAsia="zh-CN"/>
          </w:rPr>
          <w:t>(四)、公益营销竞争激烈</w:t>
        </w:r>
        <w:r>
          <w:tab/>
        </w:r>
        <w:r>
          <w:fldChar w:fldCharType="begin"/>
        </w:r>
        <w:r>
          <w:instrText xml:space="preserve"> PAGEREF _Toc24013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76" w:history="1">
        <w:r>
          <w:rPr>
            <w:rFonts w:eastAsia="微软雅黑" w:hint="eastAsia"/>
            <w:snapToGrid/>
            <w:lang w:val="en-US" w:eastAsia="zh-CN"/>
          </w:rPr>
          <w:t>(五)、电子商务提升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行业广告效果</w:t>
        </w:r>
        <w:r>
          <w:tab/>
        </w:r>
        <w:r>
          <w:fldChar w:fldCharType="begin"/>
        </w:r>
        <w:r>
          <w:instrText xml:space="preserve"> PAGEREF _Toc4276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1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行业渠道以多种形式传播</w:t>
        </w:r>
        <w:r>
          <w:tab/>
        </w:r>
        <w:r>
          <w:fldChar w:fldCharType="begin"/>
        </w:r>
        <w:r>
          <w:instrText xml:space="preserve"> PAGEREF _Toc4713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782" w:history="1">
        <w:r>
          <w:rPr>
            <w:rFonts w:eastAsia="微软雅黑" w:hint="eastAsia"/>
            <w:snapToGrid/>
            <w:lang w:val="en-US" w:eastAsia="zh-CN"/>
          </w:rPr>
          <w:t>(七)、强调市场细分，深耕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产业</w:t>
        </w:r>
        <w:r>
          <w:tab/>
        </w:r>
        <w:r>
          <w:fldChar w:fldCharType="begin"/>
        </w:r>
        <w:r>
          <w:instrText xml:space="preserve"> PAGEREF _Toc22782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440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_Toc4440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_Toc13931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8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_Toc17787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58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_Toc9058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786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_Toc5786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352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行业数据预测与分析</w:t>
        </w:r>
        <w:r>
          <w:tab/>
        </w:r>
        <w:r>
          <w:fldChar w:fldCharType="begin"/>
        </w:r>
        <w:r>
          <w:instrText xml:space="preserve"> PAGEREF _Toc19352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828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行业时间序列预测与分析</w:t>
        </w:r>
        <w:r>
          <w:tab/>
        </w:r>
        <w:r>
          <w:fldChar w:fldCharType="begin"/>
        </w:r>
        <w:r>
          <w:instrText xml:space="preserve"> PAGEREF _Toc8288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5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行业时间曲线预测模型分析</w:t>
        </w:r>
        <w:r>
          <w:tab/>
        </w:r>
        <w:r>
          <w:fldChar w:fldCharType="begin"/>
        </w:r>
        <w:r>
          <w:instrText xml:space="preserve"> PAGEREF _Toc10159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67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行业差分方程预测模型分析</w:t>
        </w:r>
        <w:r>
          <w:tab/>
        </w:r>
        <w:r>
          <w:fldChar w:fldCharType="begin"/>
        </w:r>
        <w:r>
          <w:instrText xml:space="preserve"> PAGEREF _Toc7679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50" w:history="1">
        <w:r>
          <w:rPr>
            <w:rFonts w:eastAsia="微软雅黑" w:hint="eastAsia"/>
            <w:snapToGrid/>
            <w:lang w:val="en-US" w:eastAsia="zh-CN"/>
          </w:rPr>
          <w:t>(四)、未来5-10年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行业预测结论</w:t>
        </w:r>
        <w:r>
          <w:tab/>
        </w:r>
        <w:r>
          <w:fldChar w:fldCharType="begin"/>
        </w:r>
        <w:r>
          <w:instrText xml:space="preserve"> PAGEREF _Toc32450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163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_Toc6163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73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_Toc17731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1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_Toc3710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9415" w:history="1">
        <w:r>
          <w:rPr>
            <w:rFonts w:eastAsia="微软雅黑" w:hint="eastAsia"/>
            <w:snapToGrid/>
            <w:lang w:val="en-US" w:eastAsia="en-US"/>
          </w:rPr>
          <w:t>八、“疫情”对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_Toc19415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02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_Toc26202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4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_Toc1564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42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_Toc25642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401" w:history="1">
        <w:r>
          <w:rPr>
            <w:rFonts w:eastAsia="微软雅黑" w:hint="eastAsia"/>
            <w:snapToGrid/>
            <w:lang w:val="en-US" w:eastAsia="en-US"/>
          </w:rPr>
          <w:t>九、宏观经济对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_Toc12401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99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_Toc31992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43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_Toc5439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81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_Toc23812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039" w:history="1">
        <w:r>
          <w:rPr>
            <w:rFonts w:eastAsia="微软雅黑" w:hint="eastAsia"/>
            <w:snapToGrid/>
            <w:lang w:val="en-US" w:eastAsia="en-US"/>
          </w:rPr>
          <w:t>十、关于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_Toc30039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62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_Toc14628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786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_Toc29786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644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1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_Toc12615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51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_Toc27451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480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行业未来发展机会</w:t>
        </w:r>
        <w:r>
          <w:tab/>
        </w:r>
        <w:r>
          <w:fldChar w:fldCharType="begin"/>
        </w:r>
        <w:r>
          <w:instrText xml:space="preserve"> PAGEREF _Toc13480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44" w:history="1">
        <w:r>
          <w:rPr>
            <w:rFonts w:eastAsia="微软雅黑" w:hint="eastAsia"/>
            <w:snapToGrid/>
            <w:lang w:val="en-US" w:eastAsia="en-US"/>
          </w:rPr>
          <w:t>(一)、在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行业中通过产品差异化获得商机</w:t>
        </w:r>
        <w:r>
          <w:tab/>
        </w:r>
        <w:r>
          <w:fldChar w:fldCharType="begin"/>
        </w:r>
        <w:r>
          <w:instrText xml:space="preserve"> PAGEREF _Toc2744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867" w:history="1">
        <w:r>
          <w:rPr>
            <w:rFonts w:eastAsia="微软雅黑" w:hint="eastAsia"/>
            <w:snapToGrid/>
            <w:lang w:val="en-US" w:eastAsia="zh-CN"/>
          </w:rPr>
          <w:t>(二)、借助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行业市场差异赢得商机</w:t>
        </w:r>
        <w:r>
          <w:tab/>
        </w:r>
        <w:r>
          <w:fldChar w:fldCharType="begin"/>
        </w:r>
        <w:r>
          <w:instrText xml:space="preserve"> PAGEREF _Toc26867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4" w:history="1">
        <w:r>
          <w:rPr>
            <w:rFonts w:eastAsia="微软雅黑" w:hint="eastAsia"/>
            <w:snapToGrid/>
            <w:lang w:val="en-US" w:eastAsia="zh-CN"/>
          </w:rPr>
          <w:t>(三)、借助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行业服务差异化抓住商机</w:t>
        </w:r>
        <w:r>
          <w:tab/>
        </w:r>
        <w:r>
          <w:fldChar w:fldCharType="begin"/>
        </w:r>
        <w:r>
          <w:instrText xml:space="preserve"> PAGEREF _Toc1714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01" w:history="1">
        <w:r>
          <w:rPr>
            <w:rFonts w:eastAsia="微软雅黑" w:hint="eastAsia"/>
            <w:snapToGrid/>
            <w:lang w:val="en-US" w:eastAsia="zh-CN"/>
          </w:rPr>
          <w:t>(四)、借助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行业客户差异化把握商机</w:t>
        </w:r>
        <w:r>
          <w:tab/>
        </w:r>
        <w:r>
          <w:fldChar w:fldCharType="begin"/>
        </w:r>
        <w:r>
          <w:instrText xml:space="preserve"> PAGEREF _Toc1</w:instrText>
        </w:r>
        <w:r>
          <w:instrText xml:space="preserve">4101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347" w:history="1">
        <w:r>
          <w:rPr>
            <w:rFonts w:eastAsia="微软雅黑" w:hint="eastAsia"/>
            <w:snapToGrid/>
            <w:lang w:val="en-US" w:eastAsia="zh-CN"/>
          </w:rPr>
          <w:t>(五)、借助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行业渠道差异来寻求商机</w:t>
        </w:r>
        <w:r>
          <w:tab/>
        </w:r>
        <w:r>
          <w:fldChar w:fldCharType="begin"/>
        </w:r>
        <w:r>
          <w:instrText xml:space="preserve"> PAGEREF _Toc12347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745" w:history="1">
        <w:r>
          <w:rPr>
            <w:rFonts w:eastAsia="微软雅黑" w:hint="eastAsia"/>
            <w:snapToGrid/>
            <w:lang w:val="en-US" w:eastAsia="en-US"/>
          </w:rPr>
          <w:t>十二、2024-2029年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产业发展战略分析</w:t>
        </w:r>
        <w:r>
          <w:tab/>
        </w:r>
        <w:r>
          <w:fldChar w:fldCharType="begin"/>
        </w:r>
        <w:r>
          <w:instrText xml:space="preserve"> PAGEREF _Toc28745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62" w:history="1">
        <w:r>
          <w:rPr>
            <w:rFonts w:eastAsia="微软雅黑" w:hint="eastAsia"/>
            <w:snapToGrid/>
            <w:lang w:val="en-US" w:eastAsia="en-US"/>
          </w:rPr>
          <w:t>(一)、树立</w:t>
        </w:r>
        <w:r>
          <w:rPr>
            <w:rFonts w:eastAsia="微软雅黑" w:hint="eastAsia"/>
            <w:snapToGrid/>
            <w:lang w:val="en-US" w:eastAsia="en-US"/>
          </w:rPr>
          <w:t>丹参种植</w:t>
        </w:r>
        <w:r>
          <w:rPr>
            <w:rFonts w:eastAsia="微软雅黑" w:hint="eastAsia"/>
            <w:snapToGrid/>
            <w:lang w:val="en-US" w:eastAsia="en-US"/>
          </w:rPr>
          <w:t>行业“战略突围”理念</w:t>
        </w:r>
        <w:r>
          <w:tab/>
        </w:r>
        <w:r>
          <w:fldChar w:fldCharType="begin"/>
        </w:r>
        <w:r>
          <w:instrText xml:space="preserve"> PAGEREF _Toc3662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43" w:history="1">
        <w:r>
          <w:rPr>
            <w:rFonts w:eastAsia="微软雅黑" w:hint="eastAsia"/>
            <w:snapToGrid/>
            <w:lang w:val="en-US" w:eastAsia="zh-CN"/>
          </w:rPr>
          <w:t>(二)、确定</w:t>
        </w:r>
        <w:r>
          <w:rPr>
            <w:rFonts w:eastAsia="微软雅黑" w:hint="eastAsia"/>
            <w:snapToGrid/>
            <w:lang w:val="en-US" w:eastAsia="zh-CN"/>
          </w:rPr>
          <w:t>丹参种植</w:t>
        </w:r>
        <w:r>
          <w:rPr>
            <w:rFonts w:eastAsia="微软雅黑" w:hint="eastAsia"/>
            <w:snapToGrid/>
            <w:lang w:val="en-US" w:eastAsia="zh-CN"/>
          </w:rPr>
          <w:t>行业市场定位，产品定位和品牌定位</w:t>
        </w:r>
        <w:r>
          <w:tab/>
        </w:r>
        <w:r>
          <w:fldChar w:fldCharType="begin"/>
        </w:r>
        <w:r>
          <w:instrText xml:space="preserve"> PAGEREF _Toc14243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057" w:history="1">
        <w:r>
          <w:rPr>
            <w:rFonts w:eastAsia="微软雅黑" w:hint="eastAsia"/>
            <w:snapToGrid/>
            <w:lang w:val="en-US" w:eastAsia="zh-CN"/>
          </w:rPr>
          <w:t>1、市场定位</w:t>
        </w:r>
        <w:r>
          <w:tab/>
        </w:r>
        <w:r>
          <w:fldChar w:fldCharType="begin"/>
        </w:r>
        <w:r>
          <w:instrText xml:space="preserve"> PAGEREF _Toc6057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8919" w:history="1">
        <w:r>
          <w:rPr>
            <w:rFonts w:eastAsia="微软雅黑" w:hint="eastAsia"/>
            <w:snapToGrid/>
            <w:lang w:val="en-US" w:eastAsia="zh-CN"/>
          </w:rPr>
          <w:t>2、产品定位</w:t>
        </w:r>
        <w:r>
          <w:tab/>
        </w:r>
        <w:r>
          <w:fldChar w:fldCharType="begin"/>
        </w:r>
        <w:r>
          <w:instrText xml:space="preserve"> PAGEREF _Toc28919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4247" w:history="1">
        <w:r>
          <w:rPr>
            <w:rFonts w:eastAsia="微软雅黑" w:hint="eastAsia"/>
            <w:snapToGrid/>
            <w:lang w:val="en-US" w:eastAsia="zh-CN"/>
          </w:rPr>
          <w:t>3、品牌定位</w:t>
        </w:r>
        <w:r>
          <w:tab/>
        </w:r>
        <w:r>
          <w:fldChar w:fldCharType="begin"/>
        </w:r>
        <w:r>
          <w:instrText xml:space="preserve"> PAGEREF _Toc4247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52" w:history="1">
        <w:r>
          <w:rPr>
            <w:rFonts w:eastAsia="微软雅黑" w:hint="eastAsia"/>
            <w:snapToGrid/>
            <w:lang w:val="en-US" w:eastAsia="zh-CN"/>
          </w:rPr>
          <w:t>(三)、创新力求突破</w:t>
        </w:r>
        <w:r>
          <w:tab/>
        </w:r>
        <w:r>
          <w:fldChar w:fldCharType="begin"/>
        </w:r>
        <w:r>
          <w:instrText xml:space="preserve"> PAGEREF _Toc10252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1474" w:history="1">
        <w:r>
          <w:rPr>
            <w:rFonts w:eastAsia="微软雅黑" w:hint="eastAsia"/>
            <w:snapToGrid/>
            <w:lang w:val="en-US" w:eastAsia="zh-CN"/>
          </w:rPr>
          <w:t>1、基于消费升级的技术创新模型</w:t>
        </w:r>
        <w:r>
          <w:tab/>
        </w:r>
        <w:r>
          <w:fldChar w:fldCharType="begin"/>
        </w:r>
        <w:r>
          <w:instrText xml:space="preserve"> PAGEREF _Toc21474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4895" w:history="1">
        <w:r>
          <w:rPr>
            <w:rFonts w:eastAsia="微软雅黑" w:hint="eastAsia"/>
            <w:snapToGrid/>
            <w:lang w:val="en-US" w:eastAsia="zh-CN"/>
          </w:rPr>
          <w:t>2、创新促进行业更高品质的发展</w:t>
        </w:r>
        <w:r>
          <w:tab/>
        </w:r>
        <w:r>
          <w:fldChar w:fldCharType="begin"/>
        </w:r>
        <w:r>
          <w:instrText xml:space="preserve"> PAGEREF _Toc14895 \h </w:instrText>
        </w:r>
        <w:r>
          <w:fldChar w:fldCharType="separate"/>
        </w:r>
        <w:r>
          <w:t>30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https://d.book118.com/108103071066006024</w:t>
        </w:r>
      </w:hyperlink>
    </w:p>
    <w:p>
      <w:pPr>
        <w:pStyle w:val="TOC3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108103071066006024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