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液压破碎锤项目招商引资报告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9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_Toc6398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val="en-US"/>
          </w:rPr>
          <w:t>一、社会影响分析</w:t>
        </w:r>
        <w:r>
          <w:tab/>
        </w:r>
        <w:r>
          <w:fldChar w:fldCharType="begin"/>
        </w:r>
        <w:r>
          <w:instrText xml:space="preserve"> PAGEREF _Toc17519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_Toc7181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_Toc20303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_Toc28518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val="en-US"/>
          </w:rPr>
          <w:t>二、液压破碎锤项目建设目标</w:t>
        </w:r>
        <w:r>
          <w:tab/>
        </w:r>
        <w:r>
          <w:fldChar w:fldCharType="begin"/>
        </w:r>
        <w:r>
          <w:instrText xml:space="preserve"> PAGEREF _Toc26878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val="en-US"/>
          </w:rPr>
          <w:t>(一)、液压破碎锤项目建设目标</w:t>
        </w:r>
        <w:r>
          <w:tab/>
        </w:r>
        <w:r>
          <w:fldChar w:fldCharType="begin"/>
        </w:r>
        <w:r>
          <w:instrText xml:space="preserve"> PAGEREF _Toc6219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val="en-US"/>
          </w:rPr>
          <w:t>三、发展规划分析</w:t>
        </w:r>
        <w:r>
          <w:tab/>
        </w:r>
        <w:r>
          <w:fldChar w:fldCharType="begin"/>
        </w:r>
        <w:r>
          <w:instrText xml:space="preserve"> PAGEREF _Toc31000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_Toc16624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val="en-US"/>
          </w:rPr>
          <w:t>四、宏观环境分析</w:t>
        </w:r>
        <w:r>
          <w:tab/>
        </w:r>
        <w:r>
          <w:fldChar w:fldCharType="begin"/>
        </w:r>
        <w:r>
          <w:instrText xml:space="preserve"> PAGEREF _Toc10372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_Toc12416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val="en-US"/>
          </w:rPr>
          <w:t>五、液压破碎锤企业经营决策的流程</w:t>
        </w:r>
        <w:r>
          <w:tab/>
        </w:r>
        <w:r>
          <w:fldChar w:fldCharType="begin"/>
        </w:r>
        <w:r>
          <w:instrText xml:space="preserve"> PAGEREF _Toc4756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_Toc7087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val="en-US"/>
          </w:rPr>
          <w:t>六、液压破碎锤行业行业特征</w:t>
        </w:r>
        <w:r>
          <w:tab/>
        </w:r>
        <w:r>
          <w:fldChar w:fldCharType="begin"/>
        </w:r>
        <w:r>
          <w:instrText xml:space="preserve"> PAGEREF _Toc23051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_Toc6879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_Toc2524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_Toc30952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6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_Toc18026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_Toc25064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val="en-US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_Toc18323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_Toc24975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_Toc6227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_Toc29904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_Toc28713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27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_Toc21027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val="en-US"/>
          </w:rPr>
          <w:t>八、风险评估</w:t>
        </w:r>
        <w:r>
          <w:tab/>
        </w:r>
        <w:r>
          <w:fldChar w:fldCharType="begin"/>
        </w:r>
        <w:r>
          <w:instrText xml:space="preserve"> PAGEREF _Toc23770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val="en-US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_Toc25779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val="en-US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_Toc26461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val="en-US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_Toc6707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_Toc29922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_Toc24627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9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_Toc27989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_Toc21793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_Toc15061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val="en-US"/>
          </w:rPr>
          <w:t>十、液压破碎锤公司治理与社会责任</w:t>
        </w:r>
        <w:r>
          <w:tab/>
        </w:r>
        <w:r>
          <w:fldChar w:fldCharType="begin"/>
        </w:r>
        <w:r>
          <w:instrText xml:space="preserve"> PAGEREF _Toc4706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_Toc4590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_Toc24614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1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_Toc12441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_Toc26850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_Toc29265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val="en-US"/>
          </w:rPr>
          <w:t>十一、液压破碎锤行业消费者市场分析</w:t>
        </w:r>
        <w:r>
          <w:tab/>
        </w:r>
        <w:r>
          <w:fldChar w:fldCharType="begin"/>
        </w:r>
        <w:r>
          <w:instrText xml:space="preserve"> PAGEREF _Toc29078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_Toc18879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_Toc1354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_Toc29895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_Toc13669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val="en-US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_Toc9725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val="en-US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_Toc24012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val="en-US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_Toc30414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val="en-US"/>
          </w:rPr>
          <w:t>十三、战略实施的基本原则</w:t>
        </w:r>
        <w:r>
          <w:tab/>
        </w:r>
        <w:r>
          <w:fldChar w:fldCharType="begin"/>
        </w:r>
        <w:r>
          <w:instrText xml:space="preserve"> PAGEREF _Toc4843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_Toc20446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val="en-US"/>
          </w:rPr>
          <w:t>十四、液压破碎锤项目招投标方案</w:t>
        </w:r>
        <w:r>
          <w:tab/>
        </w:r>
        <w:r>
          <w:fldChar w:fldCharType="begin"/>
        </w:r>
        <w:r>
          <w:instrText xml:space="preserve"> PAGEREF _Toc20757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_Toc8556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40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_Toc32740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_Toc21432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val="en-US"/>
          </w:rPr>
          <w:t>(四)、液压破碎锤项目招投标要求</w:t>
        </w:r>
        <w:r>
          <w:tab/>
        </w:r>
        <w:r>
          <w:fldChar w:fldCharType="begin"/>
        </w:r>
        <w:r>
          <w:instrText xml:space="preserve"> PAGEREF _Toc12661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val="en-US"/>
          </w:rPr>
          <w:t>(五)、液压破碎锤项目招标方式和招标程序</w:t>
        </w:r>
        <w:r>
          <w:tab/>
        </w:r>
        <w:r>
          <w:fldChar w:fldCharType="begin"/>
        </w:r>
        <w:r>
          <w:instrText xml:space="preserve"> PAGEREF _Toc22467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_Toc1211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val="en-US"/>
          </w:rPr>
          <w:t>十五、组织架构分析</w:t>
        </w:r>
        <w:r>
          <w:tab/>
        </w:r>
        <w:r>
          <w:fldChar w:fldCharType="begin"/>
        </w:r>
        <w:r>
          <w:instrText xml:space="preserve"> PAGEREF _Toc17119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_Toc2880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_Toc29670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val="en-US"/>
          </w:rPr>
          <w:t>十六、液压破碎锤项目风险防范分析</w:t>
        </w:r>
        <w:r>
          <w:tab/>
        </w:r>
        <w:r>
          <w:fldChar w:fldCharType="begin"/>
        </w:r>
        <w:r>
          <w:instrText xml:space="preserve"> PAGEREF _Toc22024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val="en-US"/>
          </w:rPr>
          <w:t>(一)、液压破碎锤项目风险分析</w:t>
        </w:r>
        <w:r>
          <w:tab/>
        </w:r>
        <w:r>
          <w:fldChar w:fldCharType="begin"/>
        </w:r>
        <w:r>
          <w:instrText xml:space="preserve"> PAGEREF _Toc30488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val="en-US"/>
          </w:rPr>
          <w:t>(二)、液压破碎锤项目风险对策</w:t>
        </w:r>
        <w:r>
          <w:tab/>
        </w:r>
        <w:r>
          <w:fldChar w:fldCharType="begin"/>
        </w:r>
        <w:r>
          <w:instrText xml:space="preserve"> PAGEREF _Toc10868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val="en-US"/>
          </w:rPr>
          <w:t>十七、渠道冲突管理</w:t>
        </w:r>
        <w:r>
          <w:tab/>
        </w:r>
        <w:r>
          <w:fldChar w:fldCharType="begin"/>
        </w:r>
        <w:r>
          <w:instrText xml:space="preserve"> PAGEREF _Toc17899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_Toc10071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_Toc10832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_Toc9115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val="en-US"/>
          </w:rPr>
          <w:t>十八、市场营销与销售策略</w:t>
        </w:r>
        <w:r>
          <w:tab/>
        </w:r>
        <w:r>
          <w:fldChar w:fldCharType="begin"/>
        </w:r>
        <w:r>
          <w:instrText xml:space="preserve"> PAGEREF _Toc2369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_Toc6955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_Toc13966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_Toc25587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_Toc17476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val="en-US"/>
          </w:rPr>
          <w:t>十九、液压破碎锤项目人才培养与团队建设</w:t>
        </w:r>
        <w:r>
          <w:tab/>
        </w:r>
        <w:r>
          <w:fldChar w:fldCharType="begin"/>
        </w:r>
        <w:r>
          <w:instrText xml:space="preserve"> PAGEREF _Toc29762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_Toc4647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val="en-US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_Toc3277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_Toc17935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val="en-US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_Toc27675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val="en-US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_Toc23601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val="en-US"/>
          </w:rPr>
          <w:t>二十、液压破碎锤行业发展方向</w:t>
        </w:r>
        <w:r>
          <w:tab/>
        </w:r>
        <w:r>
          <w:fldChar w:fldCharType="begin"/>
        </w:r>
        <w:r>
          <w:instrText xml:space="preserve"> PAGEREF _Toc7731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val="en-US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_Toc13969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174" w:history="1">
        <w:r>
          <w:rPr>
            <w:rFonts w:ascii="仿宋" w:eastAsia="仿宋" w:hAnsi="仿宋" w:cs="仿宋" w:hint="eastAsia"/>
            <w:lang w:val="en-US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_Toc21174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val="en-US"/>
          </w:rPr>
          <w:t>(三)、液压破碎锤行业生态系统构建</w:t>
        </w:r>
        <w:r>
          <w:tab/>
        </w:r>
        <w:r>
          <w:fldChar w:fldCharType="begin"/>
        </w:r>
        <w:r>
          <w:instrText xml:space="preserve"> PAGEREF _Toc3385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val="en-US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_Toc13517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val="en-US"/>
          </w:rPr>
          <w:t>二十一、合规与风险管理</w:t>
        </w:r>
        <w:r>
          <w:tab/>
        </w:r>
        <w:r>
          <w:fldChar w:fldCharType="begin"/>
        </w:r>
        <w:r>
          <w:instrText xml:space="preserve"> PAGEREF _Toc27876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_Toc23451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_Toc8249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_Toc24326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_Toc32729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val="en-US"/>
          </w:rPr>
          <w:t>二十二跨部门协作与团队建设方案</w:t>
        </w:r>
        <w:r>
          <w:tab/>
        </w:r>
        <w:r>
          <w:fldChar w:fldCharType="begin"/>
        </w:r>
        <w:r>
          <w:instrText xml:space="preserve"> PAGEREF _Toc15389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val="en-US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_Toc18372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val="en-US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_Toc19818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val="en-US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_Toc17624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val="en-US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_Toc32480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val="en-US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_Toc900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val="en-US"/>
          </w:rPr>
          <w:t>二十三、环境保护管理措施</w:t>
        </w:r>
        <w:r>
          <w:tab/>
        </w:r>
        <w:r>
          <w:fldChar w:fldCharType="begin"/>
        </w:r>
        <w:r>
          <w:instrText xml:space="preserve"> PAGEREF _Toc25170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_Toc12519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_Toc10726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_Toc25796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https://d.book118.com/108135132120006047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液压破碎锤项目招商引资报告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液压破碎锤项目招商引资报告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液压破碎锤项目招商引资报告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液压破碎锤项目招商引资报告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液压破碎锤项目招商引资报告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C4AAA"/>
    <w:rsid w:val="098C4A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08135132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2024-03-20T10:51:00Z</dcterms:created>
  <dcterms:modified xsi:type="dcterms:W3CDTF">2024-03-20T10:51:46Z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