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58.95pt;height:29.15pt;margin-top:156.27pt;margin-left:24.65pt;mso-position-horizontal-relative:page;mso-position-vertical-relative:page;position:absolute;z-index:251660288" o:allowincell="f" filled="f" stroked="f">
            <o:lock v:ext="edit" aspectratio="f"/>
            <v:textbox inset="0,0,0,0">
              <w:txbxContent>
                <w:p>
                  <w:pPr>
                    <w:spacing w:before="20" w:line="202" w:lineRule="auto"/>
                    <w:ind w:left="20"/>
                    <w:rPr>
                      <w:rFonts w:ascii="SimHei" w:eastAsia="SimHei" w:hAnsi="SimHei" w:cs="SimHei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color w:val="C80007"/>
                      <w:spacing w:val="46"/>
                      <w:sz w:val="56"/>
                      <w:szCs w:val="56"/>
                    </w:rPr>
                    <w:t>6</w:t>
                  </w:r>
                  <w:r>
                    <w:rPr>
                      <w:rFonts w:ascii="Arial" w:eastAsia="Arial" w:hAnsi="Arial" w:cs="Arial"/>
                      <w:color w:val="C80007"/>
                      <w:spacing w:val="-24"/>
                      <w:sz w:val="56"/>
                      <w:szCs w:val="56"/>
                    </w:rPr>
                    <w:t xml:space="preserve"> </w:t>
                  </w:r>
                  <w:r>
                    <w:rPr>
                      <w:rFonts w:ascii="SimHei" w:eastAsia="SimHei" w:hAnsi="SimHei" w:cs="SimHei"/>
                      <w:color w:val="C00000"/>
                      <w:spacing w:val="46"/>
                      <w:sz w:val="28"/>
                      <w:szCs w:val="28"/>
                      <w14:textOutline w14:w="5094">
                        <w14:solidFill>
                          <w14:srgbClr w14:val="C00000"/>
                        </w14:solidFill>
                        <w14:prstDash w14:val="solid"/>
                        <w14:miter w14:lim="10"/>
                      </w14:textOutline>
                    </w:rPr>
                    <w:t>作者</w:t>
                  </w:r>
                </w:p>
              </w:txbxContent>
            </v:textbox>
          </v:shape>
        </w:pict>
      </w:r>
      <w:r>
        <w:pict>
          <v:shape id="_x0000_s1026" type="#_x0000_t202" style="width:115.6pt;height:39.2pt;margin-top:194.99pt;margin-left:25.38pt;mso-position-horizontal-relative:page;mso-position-vertical-relative:page;position:absolute;z-index:251659264" o:allowincell="f" filled="f" stroked="f">
            <o:lock v:ext="edit" aspectratio="f"/>
            <v:textbox inset="0,0,0,0">
              <w:txbxContent>
                <w:p>
                  <w:pPr>
                    <w:spacing w:before="20" w:line="218" w:lineRule="auto"/>
                    <w:ind w:left="20"/>
                    <w:rPr>
                      <w:rFonts w:ascii="SimHei" w:eastAsia="SimHei" w:hAnsi="SimHei" w:cs="SimHei"/>
                      <w:sz w:val="24"/>
                      <w:szCs w:val="24"/>
                    </w:rPr>
                  </w:pPr>
                  <w:r>
                    <w:rPr>
                      <w:rFonts w:ascii="SimHei" w:eastAsia="SimHei" w:hAnsi="SimHei" w:cs="SimHei"/>
                      <w:spacing w:val="-1"/>
                      <w:sz w:val="24"/>
                      <w:szCs w:val="24"/>
                      <w14:textOutline w14:w="4354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东方金诚</w:t>
                  </w:r>
                  <w:r>
                    <w:rPr>
                      <w:rFonts w:ascii="SimHei" w:eastAsia="SimHei" w:hAnsi="SimHei" w:cs="SimHei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SimHei" w:eastAsia="SimHei" w:hAnsi="SimHei" w:cs="SimHei"/>
                      <w:spacing w:val="-1"/>
                      <w:sz w:val="24"/>
                      <w:szCs w:val="24"/>
                      <w14:textOutline w14:w="4354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研究发展部</w:t>
                  </w:r>
                </w:p>
                <w:p>
                  <w:pPr>
                    <w:pStyle w:val="BodyText"/>
                    <w:spacing w:before="181" w:line="214" w:lineRule="auto"/>
                    <w:ind w:left="25"/>
                    <w:rPr>
                      <w:sz w:val="24"/>
                      <w:szCs w:val="24"/>
                    </w:rPr>
                  </w:pPr>
                  <w:r>
                    <w:rPr>
                      <w:spacing w:val="-8"/>
                      <w:sz w:val="24"/>
                      <w:szCs w:val="24"/>
                    </w:rPr>
                    <w:t>冯琳</w:t>
                  </w:r>
                  <w:r>
                    <w:rPr>
                      <w:spacing w:val="14"/>
                      <w:sz w:val="24"/>
                      <w:szCs w:val="24"/>
                    </w:rPr>
                    <w:t xml:space="preserve"> </w:t>
                  </w:r>
                  <w:r>
                    <w:rPr>
                      <w:spacing w:val="-8"/>
                      <w:sz w:val="24"/>
                      <w:szCs w:val="24"/>
                    </w:rPr>
                    <w:t>王青</w:t>
                  </w:r>
                  <w:r>
                    <w:rPr>
                      <w:spacing w:val="17"/>
                      <w:sz w:val="24"/>
                      <w:szCs w:val="24"/>
                    </w:rPr>
                    <w:t xml:space="preserve"> </w:t>
                  </w:r>
                  <w:r>
                    <w:rPr>
                      <w:spacing w:val="-8"/>
                      <w:sz w:val="24"/>
                      <w:szCs w:val="24"/>
                    </w:rPr>
                    <w:t>瞿瑞</w:t>
                  </w:r>
                </w:p>
              </w:txbxContent>
            </v:textbox>
          </v:shape>
        </w:pict>
      </w:r>
      <w:r>
        <w:pict>
          <v:shape id="_x0000_s1027" type="#_x0000_t202" style="width:58.9pt;height:24.65pt;margin-top:330.4pt;margin-left:25.8pt;mso-position-horizontal-relative:page;mso-position-vertical-relative:page;position:absolute;z-index:251661312" o:allowincell="f" filled="f" stroked="f">
            <o:lock v:ext="edit" aspectratio="f"/>
            <v:textbox inset="0,0,0,0">
              <w:txbxContent>
                <w:p>
                  <w:pPr>
                    <w:spacing w:before="20"/>
                    <w:ind w:left="20"/>
                    <w:rPr>
                      <w:rFonts w:ascii="SimHei" w:eastAsia="SimHei" w:hAnsi="SimHei" w:cs="SimHei"/>
                      <w:sz w:val="28"/>
                      <w:szCs w:val="28"/>
                    </w:rPr>
                  </w:pPr>
                  <w:r>
                    <w:rPr>
                      <w:rFonts w:ascii="SimHei" w:eastAsia="SimHei" w:hAnsi="SimHei" w:cs="SimHei"/>
                      <w:color w:val="C00000"/>
                      <w:position w:val="-14"/>
                      <w:sz w:val="28"/>
                      <w:szCs w:val="28"/>
                    </w:rPr>
                    <w:drawing>
                      <wp:inline distT="0" distB="0" distL="0" distR="0">
                        <wp:extent cx="287578" cy="287604"/>
                        <wp:effectExtent l="0" t="0" r="0" b="0"/>
                        <wp:docPr id="6" name="IM 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IM 6"/>
                                <pic:cNvPicPr/>
                              </pic:nvPicPr>
                              <pic:blipFill>
                                <a:blip xmlns:r="http://schemas.openxmlformats.org/officeDocument/2006/relationships"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7578" cy="2876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SimHei" w:eastAsia="SimHei" w:hAnsi="SimHei" w:cs="SimHei"/>
                      <w:color w:val="C00000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SimHei" w:eastAsia="SimHei" w:hAnsi="SimHei" w:cs="SimHei"/>
                      <w:color w:val="C00000"/>
                      <w:spacing w:val="-5"/>
                      <w:sz w:val="28"/>
                      <w:szCs w:val="28"/>
                      <w14:textOutline w14:w="5094">
                        <w14:solidFill>
                          <w14:srgbClr w14:val="C00000"/>
                        </w14:solidFill>
                        <w14:prstDash w14:val="solid"/>
                        <w14:miter w14:lim="10"/>
                      </w14:textOutline>
                    </w:rPr>
                    <w:t>时间</w:t>
                  </w:r>
                </w:p>
              </w:txbxContent>
            </v:textbox>
          </v:shape>
        </w:pict>
      </w:r>
      <w:r>
        <w:pict>
          <v:shape id="_x0000_s1028" type="#_x0000_t202" style="width:100.65pt;height:16.15pt;margin-top:366.38pt;margin-left:26.01pt;mso-position-horizontal-relative:page;mso-position-vertical-relative:page;position:absolute;z-index:251662336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17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pacing w:val="-11"/>
                      <w:sz w:val="24"/>
                      <w:szCs w:val="24"/>
                    </w:rPr>
                    <w:t>2023</w:t>
                  </w:r>
                  <w:r>
                    <w:rPr>
                      <w:spacing w:val="-47"/>
                      <w:sz w:val="24"/>
                      <w:szCs w:val="24"/>
                    </w:rPr>
                    <w:t xml:space="preserve"> </w:t>
                  </w:r>
                  <w:r>
                    <w:rPr>
                      <w:spacing w:val="-11"/>
                      <w:sz w:val="24"/>
                      <w:szCs w:val="24"/>
                    </w:rPr>
                    <w:t>年</w:t>
                  </w:r>
                  <w:r>
                    <w:rPr>
                      <w:spacing w:val="-38"/>
                      <w:sz w:val="24"/>
                      <w:szCs w:val="24"/>
                    </w:rPr>
                    <w:t xml:space="preserve"> </w:t>
                  </w:r>
                  <w:r>
                    <w:rPr>
                      <w:spacing w:val="-11"/>
                      <w:sz w:val="24"/>
                      <w:szCs w:val="24"/>
                    </w:rPr>
                    <w:t>12</w:t>
                  </w:r>
                  <w:r>
                    <w:rPr>
                      <w:spacing w:val="-39"/>
                      <w:sz w:val="24"/>
                      <w:szCs w:val="24"/>
                    </w:rPr>
                    <w:t xml:space="preserve"> </w:t>
                  </w:r>
                  <w:r>
                    <w:rPr>
                      <w:spacing w:val="-11"/>
                      <w:sz w:val="24"/>
                      <w:szCs w:val="24"/>
                    </w:rPr>
                    <w:t>月</w:t>
                  </w:r>
                  <w:r>
                    <w:rPr>
                      <w:spacing w:val="-53"/>
                      <w:sz w:val="24"/>
                      <w:szCs w:val="24"/>
                    </w:rPr>
                    <w:t xml:space="preserve"> </w:t>
                  </w:r>
                  <w:r>
                    <w:rPr>
                      <w:spacing w:val="-11"/>
                      <w:sz w:val="24"/>
                      <w:szCs w:val="24"/>
                    </w:rPr>
                    <w:t>27</w:t>
                  </w:r>
                  <w:r>
                    <w:rPr>
                      <w:spacing w:val="-11"/>
                      <w:sz w:val="24"/>
                      <w:szCs w:val="24"/>
                    </w:rPr>
                    <w:t xml:space="preserve"> </w:t>
                  </w:r>
                  <w:r>
                    <w:rPr>
                      <w:spacing w:val="-11"/>
                      <w:sz w:val="24"/>
                      <w:szCs w:val="24"/>
                    </w:rPr>
                    <w:t>日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398779</wp:posOffset>
            </wp:positionH>
            <wp:positionV relativeFrom="page">
              <wp:posOffset>8305165</wp:posOffset>
            </wp:positionV>
            <wp:extent cx="1428749" cy="142875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28749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9" style="width:127.6pt;height:3pt;margin-top:355.4pt;margin-left:25.6pt;mso-position-horizontal-relative:page;mso-position-vertical-relative:page;position:absolute;z-index:251663360" coordorigin="0,0" coordsize="2551,60" o:allowincell="f" path="m,30l2551,30e" filled="f" strokecolor="#d0000f" strokeweight="3pt">
            <v:stroke joinstyle="miter"/>
          </v:shape>
        </w:pict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453" w:lineRule="exact"/>
        <w:ind w:firstLine="3955"/>
      </w:pPr>
      <w:r>
        <w:rPr>
          <w:position w:val="-9"/>
        </w:rPr>
        <w:pict>
          <v:shape id="_x0000_i1030" type="#_x0000_t202" style="width:68pt;height:22.7pt;mso-position-horizontal-relative:char;mso-position-vertical-relative:line" filled="t" fillcolor="#d0000f" stroked="f">
            <o:lock v:ext="edit" aspectratio="f"/>
            <v:textbox inset="0,0,0,0">
              <w:txbxContent>
                <w:p>
                  <w:pPr>
                    <w:spacing w:before="119" w:line="227" w:lineRule="auto"/>
                    <w:ind w:left="267"/>
                    <w:rPr>
                      <w:rFonts w:ascii="DengXian" w:eastAsia="DengXian" w:hAnsi="DengXian" w:cs="DengXian"/>
                      <w:sz w:val="21"/>
                      <w:szCs w:val="21"/>
                    </w:rPr>
                  </w:pPr>
                  <w:r>
                    <w:rPr>
                      <w:rFonts w:ascii="DengXian" w:eastAsia="DengXian" w:hAnsi="DengXian" w:cs="DengXian"/>
                      <w:color w:val="FFFFFF"/>
                      <w:spacing w:val="-1"/>
                      <w:sz w:val="21"/>
                      <w:szCs w:val="21"/>
                    </w:rPr>
                    <w:t>核心观点</w:t>
                  </w:r>
                </w:p>
              </w:txbxContent>
            </v:textbox>
            <w10:wrap type="none"/>
          </v:shape>
        </w:pict>
      </w:r>
    </w:p>
    <w:p>
      <w:pPr>
        <w:spacing w:line="390" w:lineRule="auto"/>
        <w:rPr>
          <w:rFonts w:ascii="Arial"/>
          <w:sz w:val="21"/>
        </w:rPr>
      </w:pPr>
    </w:p>
    <w:p>
      <w:pPr>
        <w:spacing w:line="60" w:lineRule="exact"/>
        <w:ind w:firstLine="512"/>
      </w:pPr>
      <w:r>
        <w:rPr>
          <w:position w:val="-1"/>
        </w:rPr>
        <w:pict>
          <v:shape id="_x0000_i1031" style="width:127.55pt;height:3pt;mso-position-horizontal-relative:char;mso-position-vertical-relative:line" coordorigin="0,0" coordsize="2551,60" path="m,30l2550,30e" filled="f" strokecolor="#d0000f" strokeweight="3pt">
            <v:stroke joinstyle="miter"/>
            <w10:wrap type="none"/>
          </v:shape>
        </w:pict>
      </w:r>
    </w:p>
    <w:p>
      <w:pPr>
        <w:pStyle w:val="BodyText"/>
        <w:spacing w:before="69" w:line="367" w:lineRule="auto"/>
        <w:ind w:left="4395" w:right="634" w:hanging="426"/>
      </w:pPr>
      <w:r>
        <w:rPr>
          <w:color w:val="222222"/>
          <w:position w:val="1"/>
        </w:rPr>
        <w:drawing>
          <wp:inline distT="0" distB="0" distL="0" distR="0">
            <wp:extent cx="81180" cy="82442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180" cy="8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22222"/>
          <w:spacing w:val="42"/>
        </w:rPr>
        <w:t xml:space="preserve">  </w:t>
      </w:r>
      <w:r>
        <w:rPr>
          <w:color w:val="222222"/>
          <w:spacing w:val="-1"/>
        </w:rPr>
        <w:t>2024</w:t>
      </w:r>
      <w:r>
        <w:rPr>
          <w:color w:val="222222"/>
          <w:spacing w:val="-21"/>
        </w:rPr>
        <w:t xml:space="preserve"> </w:t>
      </w:r>
      <w:r>
        <w:rPr>
          <w:color w:val="222222"/>
          <w:spacing w:val="-1"/>
        </w:rPr>
        <w:t>年实际</w:t>
      </w:r>
      <w:r>
        <w:rPr>
          <w:color w:val="222222"/>
          <w:spacing w:val="-23"/>
        </w:rPr>
        <w:t xml:space="preserve"> </w:t>
      </w:r>
      <w:r>
        <w:rPr>
          <w:color w:val="222222"/>
          <w:spacing w:val="-1"/>
        </w:rPr>
        <w:t>GDP</w:t>
      </w:r>
      <w:r>
        <w:rPr>
          <w:color w:val="222222"/>
          <w:spacing w:val="-23"/>
        </w:rPr>
        <w:t xml:space="preserve"> </w:t>
      </w:r>
      <w:r>
        <w:rPr>
          <w:color w:val="222222"/>
          <w:spacing w:val="-1"/>
        </w:rPr>
        <w:t>增速将达到</w:t>
      </w:r>
      <w:r>
        <w:rPr>
          <w:color w:val="222222"/>
          <w:spacing w:val="-27"/>
        </w:rPr>
        <w:t xml:space="preserve"> </w:t>
      </w:r>
      <w:r>
        <w:rPr>
          <w:color w:val="222222"/>
          <w:spacing w:val="-1"/>
        </w:rPr>
        <w:t>5.0%左右，同时考虑到政策发力、需求渐</w:t>
      </w:r>
      <w:r>
        <w:rPr>
          <w:color w:val="222222"/>
        </w:rPr>
        <w:t xml:space="preserve"> </w:t>
      </w:r>
      <w:r>
        <w:rPr>
          <w:color w:val="222222"/>
          <w:spacing w:val="3"/>
        </w:rPr>
        <w:t>进修复和低基数效应有利于通胀中枢抬升，预计名义</w:t>
      </w:r>
      <w:r>
        <w:rPr>
          <w:color w:val="222222"/>
          <w:spacing w:val="3"/>
        </w:rPr>
        <w:t xml:space="preserve"> </w:t>
      </w:r>
      <w:r>
        <w:rPr>
          <w:color w:val="222222"/>
        </w:rPr>
        <w:t>GDP</w:t>
      </w:r>
      <w:r>
        <w:rPr>
          <w:color w:val="222222"/>
          <w:spacing w:val="3"/>
        </w:rPr>
        <w:t xml:space="preserve"> </w:t>
      </w:r>
      <w:r>
        <w:rPr>
          <w:color w:val="222222"/>
          <w:spacing w:val="3"/>
        </w:rPr>
        <w:t>增速将达到</w:t>
      </w:r>
      <w:r>
        <w:rPr>
          <w:color w:val="222222"/>
          <w:spacing w:val="2"/>
        </w:rPr>
        <w:t xml:space="preserve"> </w:t>
      </w:r>
      <w:r>
        <w:rPr>
          <w:color w:val="222222"/>
          <w:spacing w:val="-7"/>
        </w:rPr>
        <w:t>6.2%，高于</w:t>
      </w:r>
      <w:r>
        <w:rPr>
          <w:color w:val="222222"/>
          <w:spacing w:val="-7"/>
        </w:rPr>
        <w:t xml:space="preserve"> </w:t>
      </w:r>
      <w:r>
        <w:rPr>
          <w:color w:val="222222"/>
          <w:spacing w:val="-7"/>
        </w:rPr>
        <w:t>2023</w:t>
      </w:r>
      <w:r>
        <w:rPr>
          <w:color w:val="222222"/>
          <w:spacing w:val="-7"/>
        </w:rPr>
        <w:t xml:space="preserve"> </w:t>
      </w:r>
      <w:r>
        <w:rPr>
          <w:color w:val="222222"/>
          <w:spacing w:val="-7"/>
        </w:rPr>
        <w:t>年的</w:t>
      </w:r>
      <w:r>
        <w:rPr>
          <w:color w:val="222222"/>
          <w:spacing w:val="-7"/>
        </w:rPr>
        <w:t xml:space="preserve"> </w:t>
      </w:r>
      <w:r>
        <w:rPr>
          <w:color w:val="222222"/>
          <w:spacing w:val="-7"/>
        </w:rPr>
        <w:t>4.6%</w:t>
      </w:r>
      <w:r>
        <w:rPr>
          <w:color w:val="222222"/>
          <w:spacing w:val="-26"/>
        </w:rPr>
        <w:t xml:space="preserve"> </w:t>
      </w:r>
      <w:r>
        <w:rPr>
          <w:color w:val="222222"/>
          <w:spacing w:val="-7"/>
        </w:rPr>
        <w:t>（估计值）。传统上</w:t>
      </w:r>
      <w:r>
        <w:rPr>
          <w:color w:val="222222"/>
          <w:spacing w:val="-8"/>
        </w:rPr>
        <w:t>，名义</w:t>
      </w:r>
      <w:r>
        <w:rPr>
          <w:color w:val="222222"/>
          <w:spacing w:val="-15"/>
        </w:rPr>
        <w:t xml:space="preserve"> </w:t>
      </w:r>
      <w:r>
        <w:rPr>
          <w:color w:val="222222"/>
          <w:spacing w:val="-8"/>
        </w:rPr>
        <w:t>GDP</w:t>
      </w:r>
      <w:r>
        <w:rPr>
          <w:color w:val="222222"/>
          <w:spacing w:val="-13"/>
        </w:rPr>
        <w:t xml:space="preserve"> </w:t>
      </w:r>
      <w:r>
        <w:rPr>
          <w:color w:val="222222"/>
          <w:spacing w:val="-8"/>
        </w:rPr>
        <w:t>增速被认为</w:t>
      </w:r>
      <w:r>
        <w:rPr>
          <w:color w:val="222222"/>
        </w:rPr>
        <w:t xml:space="preserve"> </w:t>
      </w:r>
      <w:r>
        <w:rPr>
          <w:color w:val="222222"/>
          <w:spacing w:val="-4"/>
        </w:rPr>
        <w:t>是主导长端利率走势的核心因素，</w:t>
      </w:r>
      <w:r>
        <w:rPr>
          <w:color w:val="222222"/>
          <w:spacing w:val="-4"/>
        </w:rPr>
        <w:t xml:space="preserve"> </w:t>
      </w:r>
      <w:r>
        <w:rPr>
          <w:color w:val="222222"/>
          <w:spacing w:val="-4"/>
        </w:rPr>
        <w:t>但从历史数据</w:t>
      </w:r>
      <w:r>
        <w:rPr>
          <w:color w:val="222222"/>
          <w:spacing w:val="-5"/>
        </w:rPr>
        <w:t>看，名义</w:t>
      </w:r>
      <w:r>
        <w:rPr>
          <w:color w:val="222222"/>
          <w:spacing w:val="-43"/>
        </w:rPr>
        <w:t xml:space="preserve"> </w:t>
      </w:r>
      <w:r>
        <w:rPr>
          <w:color w:val="222222"/>
          <w:spacing w:val="-5"/>
        </w:rPr>
        <w:t>GDP</w:t>
      </w:r>
      <w:r>
        <w:rPr>
          <w:color w:val="222222"/>
          <w:spacing w:val="-52"/>
        </w:rPr>
        <w:t xml:space="preserve"> </w:t>
      </w:r>
      <w:r>
        <w:rPr>
          <w:color w:val="222222"/>
          <w:spacing w:val="-5"/>
        </w:rPr>
        <w:t>增速加快</w:t>
      </w:r>
      <w:r>
        <w:rPr>
          <w:color w:val="222222"/>
        </w:rPr>
        <w:t xml:space="preserve"> </w:t>
      </w:r>
      <w:r>
        <w:rPr>
          <w:color w:val="222222"/>
          <w:spacing w:val="7"/>
        </w:rPr>
        <w:t>并不必然带来长端利率中枢的抬升。这一方面源于</w:t>
      </w:r>
      <w:r>
        <w:rPr>
          <w:color w:val="222222"/>
          <w:spacing w:val="6"/>
        </w:rPr>
        <w:t>经济环比变化对债</w:t>
      </w:r>
      <w:r>
        <w:rPr>
          <w:color w:val="222222"/>
        </w:rPr>
        <w:t xml:space="preserve"> </w:t>
      </w:r>
      <w:r>
        <w:rPr>
          <w:color w:val="222222"/>
          <w:spacing w:val="5"/>
        </w:rPr>
        <w:t>市的影响要重于同比读数，</w:t>
      </w:r>
      <w:r>
        <w:rPr>
          <w:color w:val="222222"/>
          <w:spacing w:val="-58"/>
        </w:rPr>
        <w:t xml:space="preserve"> </w:t>
      </w:r>
      <w:r>
        <w:rPr>
          <w:color w:val="222222"/>
          <w:spacing w:val="5"/>
        </w:rPr>
        <w:t>因为后者常常受到基数因素扰动；另一方</w:t>
      </w:r>
      <w:r>
        <w:rPr>
          <w:color w:val="222222"/>
        </w:rPr>
        <w:t xml:space="preserve"> </w:t>
      </w:r>
      <w:r>
        <w:rPr>
          <w:color w:val="222222"/>
          <w:spacing w:val="-2"/>
        </w:rPr>
        <w:t>面，也因政策面对利率走势有更为直接的影响。</w:t>
      </w:r>
    </w:p>
    <w:p>
      <w:pPr>
        <w:spacing w:line="297" w:lineRule="auto"/>
        <w:rPr>
          <w:rFonts w:ascii="Arial"/>
          <w:sz w:val="21"/>
        </w:rPr>
      </w:pPr>
    </w:p>
    <w:p>
      <w:pPr>
        <w:pStyle w:val="BodyText"/>
        <w:spacing w:before="71" w:line="368" w:lineRule="auto"/>
        <w:ind w:left="4396" w:right="635" w:hanging="427"/>
      </w:pPr>
      <w:r>
        <w:rPr>
          <w:color w:val="222222"/>
          <w:position w:val="1"/>
        </w:rPr>
        <w:drawing>
          <wp:inline distT="0" distB="0" distL="0" distR="0">
            <wp:extent cx="81180" cy="82442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180" cy="8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22222"/>
          <w:spacing w:val="48"/>
        </w:rPr>
        <w:t xml:space="preserve">  </w:t>
      </w:r>
      <w:r>
        <w:rPr>
          <w:color w:val="222222"/>
          <w:spacing w:val="-2"/>
        </w:rPr>
        <w:t>鉴于短期内房地产市场出现“V</w:t>
      </w:r>
      <w:r>
        <w:rPr>
          <w:color w:val="222222"/>
          <w:spacing w:val="-2"/>
        </w:rPr>
        <w:t xml:space="preserve"> </w:t>
      </w:r>
      <w:r>
        <w:rPr>
          <w:color w:val="222222"/>
          <w:spacing w:val="-2"/>
        </w:rPr>
        <w:t>形</w:t>
      </w:r>
      <w:r>
        <w:rPr>
          <w:color w:val="222222"/>
          <w:spacing w:val="-79"/>
        </w:rPr>
        <w:t xml:space="preserve"> </w:t>
      </w:r>
      <w:r>
        <w:rPr>
          <w:color w:val="222222"/>
          <w:spacing w:val="-2"/>
        </w:rPr>
        <w:t>”反转的可能性不大，整体上还将继</w:t>
      </w:r>
      <w:r>
        <w:rPr>
          <w:color w:val="222222"/>
        </w:rPr>
        <w:t xml:space="preserve"> </w:t>
      </w:r>
      <w:r>
        <w:rPr>
          <w:color w:val="222222"/>
          <w:spacing w:val="7"/>
        </w:rPr>
        <w:t>续处于调整过程，房地产投资也将延续下滑，经济运行</w:t>
      </w:r>
      <w:r>
        <w:rPr>
          <w:color w:val="222222"/>
          <w:spacing w:val="6"/>
        </w:rPr>
        <w:t>将在一定程度</w:t>
      </w:r>
      <w:r>
        <w:rPr>
          <w:color w:val="222222"/>
        </w:rPr>
        <w:t xml:space="preserve"> </w:t>
      </w:r>
      <w:r>
        <w:rPr>
          <w:color w:val="222222"/>
          <w:spacing w:val="5"/>
        </w:rPr>
        <w:t>上继续面临需求不足、信心偏弱、风险较多等问题，</w:t>
      </w:r>
      <w:r>
        <w:rPr>
          <w:color w:val="222222"/>
          <w:spacing w:val="-58"/>
        </w:rPr>
        <w:t xml:space="preserve"> </w:t>
      </w:r>
      <w:r>
        <w:rPr>
          <w:color w:val="222222"/>
          <w:spacing w:val="5"/>
        </w:rPr>
        <w:t>因此，着眼于引</w:t>
      </w:r>
      <w:r>
        <w:rPr>
          <w:color w:val="222222"/>
        </w:rPr>
        <w:t xml:space="preserve"> </w:t>
      </w:r>
      <w:r>
        <w:rPr>
          <w:color w:val="222222"/>
          <w:spacing w:val="3"/>
        </w:rPr>
        <w:t>导经济运行向常态化水平回归，2024</w:t>
      </w:r>
      <w:r>
        <w:rPr>
          <w:color w:val="222222"/>
          <w:spacing w:val="3"/>
        </w:rPr>
        <w:t xml:space="preserve"> </w:t>
      </w:r>
      <w:r>
        <w:rPr>
          <w:color w:val="222222"/>
          <w:spacing w:val="3"/>
        </w:rPr>
        <w:t>年宏观政策将继续</w:t>
      </w:r>
      <w:r>
        <w:rPr>
          <w:color w:val="222222"/>
          <w:spacing w:val="2"/>
        </w:rPr>
        <w:t>实施适度的逆</w:t>
      </w:r>
      <w:r>
        <w:rPr>
          <w:color w:val="222222"/>
        </w:rPr>
        <w:t xml:space="preserve"> </w:t>
      </w:r>
      <w:r>
        <w:rPr>
          <w:color w:val="222222"/>
          <w:spacing w:val="7"/>
        </w:rPr>
        <w:t>周期调节。其中，货币政策将配合财政扩张维持</w:t>
      </w:r>
      <w:r>
        <w:rPr>
          <w:color w:val="222222"/>
          <w:spacing w:val="6"/>
        </w:rPr>
        <w:t>宽松取向，降准、降</w:t>
      </w:r>
      <w:r>
        <w:rPr>
          <w:color w:val="222222"/>
        </w:rPr>
        <w:t xml:space="preserve"> </w:t>
      </w:r>
      <w:r>
        <w:rPr>
          <w:color w:val="222222"/>
          <w:spacing w:val="3"/>
        </w:rPr>
        <w:t>息将会持续。这意味着，2024</w:t>
      </w:r>
      <w:r>
        <w:rPr>
          <w:color w:val="222222"/>
          <w:spacing w:val="3"/>
        </w:rPr>
        <w:t xml:space="preserve"> </w:t>
      </w:r>
      <w:r>
        <w:rPr>
          <w:color w:val="222222"/>
          <w:spacing w:val="3"/>
        </w:rPr>
        <w:t>年债市仍有政策博</w:t>
      </w:r>
      <w:r>
        <w:rPr>
          <w:color w:val="222222"/>
          <w:spacing w:val="2"/>
        </w:rPr>
        <w:t>弈空间，整体将继续</w:t>
      </w:r>
      <w:r>
        <w:rPr>
          <w:color w:val="222222"/>
        </w:rPr>
        <w:t xml:space="preserve"> </w:t>
      </w:r>
      <w:r>
        <w:rPr>
          <w:color w:val="222222"/>
          <w:spacing w:val="-4"/>
        </w:rPr>
        <w:t>处于牛市环境。</w:t>
      </w:r>
    </w:p>
    <w:p>
      <w:pPr>
        <w:spacing w:line="285" w:lineRule="auto"/>
        <w:rPr>
          <w:rFonts w:ascii="Arial"/>
          <w:sz w:val="21"/>
        </w:rPr>
      </w:pPr>
    </w:p>
    <w:p>
      <w:pPr>
        <w:pStyle w:val="BodyText"/>
        <w:spacing w:before="72" w:line="375" w:lineRule="auto"/>
        <w:ind w:left="4394" w:right="633" w:hanging="425"/>
        <w:sectPr>
          <w:headerReference w:type="default" r:id="rId7"/>
          <w:footerReference w:type="default" r:id="rId8"/>
          <w:pgSz w:w="11907" w:h="16839"/>
          <w:pgMar w:top="1984" w:right="67" w:bottom="1325" w:left="0" w:header="0" w:footer="729" w:gutter="0"/>
          <w:cols w:space="708"/>
        </w:sectPr>
      </w:pPr>
      <w:r>
        <w:rPr>
          <w:color w:val="222222"/>
          <w:position w:val="1"/>
        </w:rPr>
        <w:drawing>
          <wp:inline distT="0" distB="0" distL="0" distR="0">
            <wp:extent cx="81180" cy="82442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1180" cy="8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22222"/>
          <w:spacing w:val="41"/>
        </w:rPr>
        <w:t xml:space="preserve">  </w:t>
      </w:r>
      <w:r>
        <w:rPr>
          <w:color w:val="222222"/>
          <w:spacing w:val="-4"/>
        </w:rPr>
        <w:t>近两年</w:t>
      </w:r>
      <w:r>
        <w:rPr>
          <w:color w:val="222222"/>
          <w:spacing w:val="-4"/>
        </w:rPr>
        <w:t xml:space="preserve"> </w:t>
      </w:r>
      <w:r>
        <w:rPr>
          <w:color w:val="222222"/>
          <w:spacing w:val="-4"/>
        </w:rPr>
        <w:t>10</w:t>
      </w:r>
      <w:r>
        <w:rPr>
          <w:color w:val="222222"/>
          <w:spacing w:val="-4"/>
        </w:rPr>
        <w:t xml:space="preserve"> </w:t>
      </w:r>
      <w:r>
        <w:rPr>
          <w:color w:val="222222"/>
          <w:spacing w:val="-4"/>
        </w:rPr>
        <w:t>年期国债收益率持续围绕相应政策利率（1</w:t>
      </w:r>
      <w:r>
        <w:rPr>
          <w:color w:val="222222"/>
          <w:spacing w:val="-4"/>
        </w:rPr>
        <w:t xml:space="preserve"> </w:t>
      </w:r>
      <w:r>
        <w:rPr>
          <w:color w:val="222222"/>
          <w:spacing w:val="-4"/>
        </w:rPr>
        <w:t>年期</w:t>
      </w:r>
      <w:r>
        <w:rPr>
          <w:color w:val="222222"/>
          <w:spacing w:val="-4"/>
        </w:rPr>
        <w:t xml:space="preserve"> </w:t>
      </w:r>
      <w:r>
        <w:rPr>
          <w:color w:val="222222"/>
          <w:spacing w:val="-4"/>
        </w:rPr>
        <w:t>MLF</w:t>
      </w:r>
      <w:r>
        <w:rPr>
          <w:color w:val="222222"/>
          <w:spacing w:val="-4"/>
        </w:rPr>
        <w:t xml:space="preserve"> </w:t>
      </w:r>
      <w:r>
        <w:rPr>
          <w:color w:val="222222"/>
          <w:spacing w:val="-5"/>
        </w:rPr>
        <w:t>利率）</w:t>
      </w:r>
      <w:r>
        <w:rPr>
          <w:color w:val="222222"/>
        </w:rPr>
        <w:t xml:space="preserve"> </w:t>
      </w:r>
      <w:r>
        <w:rPr>
          <w:color w:val="222222"/>
        </w:rPr>
        <w:t>波动，上下偏离幅度仅在极个别时间段超过</w:t>
      </w:r>
      <w:r>
        <w:rPr>
          <w:color w:val="222222"/>
        </w:rPr>
        <w:t xml:space="preserve"> </w:t>
      </w:r>
      <w:r>
        <w:rPr>
          <w:color w:val="222222"/>
        </w:rPr>
        <w:t>20</w:t>
      </w:r>
      <w:r>
        <w:rPr>
          <w:color w:val="222222"/>
          <w:spacing w:val="-1"/>
        </w:rPr>
        <w:t>bp。基于此，结合</w:t>
      </w:r>
      <w:r>
        <w:rPr>
          <w:color w:val="222222"/>
          <w:spacing w:val="-1"/>
        </w:rPr>
        <w:t xml:space="preserve"> </w:t>
      </w:r>
      <w:r>
        <w:rPr>
          <w:color w:val="222222"/>
          <w:spacing w:val="-1"/>
        </w:rPr>
        <w:t>2024</w:t>
      </w:r>
      <w:r>
        <w:rPr>
          <w:color w:val="222222"/>
        </w:rPr>
        <w:t xml:space="preserve"> </w:t>
      </w:r>
      <w:r>
        <w:rPr>
          <w:color w:val="222222"/>
          <w:spacing w:val="-6"/>
        </w:rPr>
        <w:t>年</w:t>
      </w:r>
      <w:r>
        <w:rPr>
          <w:color w:val="222222"/>
          <w:spacing w:val="-18"/>
        </w:rPr>
        <w:t xml:space="preserve"> </w:t>
      </w:r>
      <w:r>
        <w:rPr>
          <w:color w:val="222222"/>
          <w:spacing w:val="-6"/>
        </w:rPr>
        <w:t>1</w:t>
      </w:r>
      <w:r>
        <w:rPr>
          <w:color w:val="222222"/>
          <w:spacing w:val="-36"/>
        </w:rPr>
        <w:t xml:space="preserve"> </w:t>
      </w:r>
      <w:r>
        <w:rPr>
          <w:color w:val="222222"/>
          <w:spacing w:val="-6"/>
        </w:rPr>
        <w:t>年期</w:t>
      </w:r>
      <w:r>
        <w:rPr>
          <w:color w:val="222222"/>
          <w:spacing w:val="-37"/>
        </w:rPr>
        <w:t xml:space="preserve"> </w:t>
      </w:r>
      <w:r>
        <w:rPr>
          <w:color w:val="222222"/>
          <w:spacing w:val="-6"/>
        </w:rPr>
        <w:t>MLF</w:t>
      </w:r>
      <w:r>
        <w:rPr>
          <w:color w:val="222222"/>
          <w:spacing w:val="-34"/>
        </w:rPr>
        <w:t xml:space="preserve"> </w:t>
      </w:r>
      <w:r>
        <w:rPr>
          <w:color w:val="222222"/>
          <w:spacing w:val="-6"/>
        </w:rPr>
        <w:t>利率有望下调</w:t>
      </w:r>
      <w:r>
        <w:rPr>
          <w:color w:val="222222"/>
          <w:spacing w:val="-25"/>
        </w:rPr>
        <w:t xml:space="preserve"> </w:t>
      </w:r>
      <w:r>
        <w:rPr>
          <w:color w:val="222222"/>
          <w:spacing w:val="-6"/>
        </w:rPr>
        <w:t>10bp</w:t>
      </w:r>
      <w:r>
        <w:rPr>
          <w:color w:val="222222"/>
          <w:spacing w:val="-31"/>
        </w:rPr>
        <w:t xml:space="preserve"> </w:t>
      </w:r>
      <w:r>
        <w:rPr>
          <w:color w:val="222222"/>
          <w:spacing w:val="-6"/>
        </w:rPr>
        <w:t>至</w:t>
      </w:r>
      <w:r>
        <w:rPr>
          <w:color w:val="222222"/>
          <w:spacing w:val="-38"/>
        </w:rPr>
        <w:t xml:space="preserve"> </w:t>
      </w:r>
      <w:r>
        <w:rPr>
          <w:color w:val="222222"/>
          <w:spacing w:val="-6"/>
        </w:rPr>
        <w:t>2.4%判断，</w:t>
      </w:r>
      <w:r>
        <w:rPr>
          <w:color w:val="222222"/>
          <w:spacing w:val="-27"/>
        </w:rPr>
        <w:t xml:space="preserve"> </w:t>
      </w:r>
      <w:r>
        <w:rPr>
          <w:color w:val="222222"/>
          <w:spacing w:val="-6"/>
        </w:rPr>
        <w:t>2024</w:t>
      </w:r>
      <w:r>
        <w:rPr>
          <w:color w:val="222222"/>
          <w:spacing w:val="-35"/>
        </w:rPr>
        <w:t xml:space="preserve"> </w:t>
      </w:r>
      <w:r>
        <w:rPr>
          <w:color w:val="222222"/>
          <w:spacing w:val="-6"/>
        </w:rPr>
        <w:t>年</w:t>
      </w:r>
      <w:r>
        <w:rPr>
          <w:color w:val="222222"/>
          <w:spacing w:val="-26"/>
        </w:rPr>
        <w:t xml:space="preserve"> </w:t>
      </w:r>
      <w:r>
        <w:rPr>
          <w:color w:val="222222"/>
          <w:spacing w:val="-6"/>
        </w:rPr>
        <w:t>10</w:t>
      </w:r>
      <w:r>
        <w:rPr>
          <w:color w:val="222222"/>
          <w:spacing w:val="-35"/>
        </w:rPr>
        <w:t xml:space="preserve"> </w:t>
      </w:r>
      <w:r>
        <w:rPr>
          <w:color w:val="222222"/>
          <w:spacing w:val="-6"/>
        </w:rPr>
        <w:t>年期国债收</w:t>
      </w:r>
      <w:r>
        <w:rPr>
          <w:color w:val="222222"/>
        </w:rPr>
        <w:t xml:space="preserve"> </w:t>
      </w:r>
      <w:r>
        <w:rPr>
          <w:color w:val="222222"/>
          <w:spacing w:val="-1"/>
        </w:rPr>
        <w:t>益率高点将在</w:t>
      </w:r>
      <w:r>
        <w:rPr>
          <w:color w:val="222222"/>
          <w:spacing w:val="-46"/>
        </w:rPr>
        <w:t xml:space="preserve"> </w:t>
      </w:r>
      <w:r>
        <w:rPr>
          <w:color w:val="222222"/>
          <w:spacing w:val="-1"/>
        </w:rPr>
        <w:t>2.7%左右，低点有可能下探至</w:t>
      </w:r>
      <w:r>
        <w:rPr>
          <w:color w:val="222222"/>
          <w:spacing w:val="-50"/>
        </w:rPr>
        <w:t xml:space="preserve"> </w:t>
      </w:r>
      <w:r>
        <w:rPr>
          <w:color w:val="222222"/>
          <w:spacing w:val="-1"/>
        </w:rPr>
        <w:t>2.2%。同时考虑到</w:t>
      </w:r>
      <w:r>
        <w:rPr>
          <w:color w:val="222222"/>
          <w:spacing w:val="-52"/>
        </w:rPr>
        <w:t xml:space="preserve"> </w:t>
      </w:r>
      <w:r>
        <w:rPr>
          <w:color w:val="222222"/>
          <w:spacing w:val="-1"/>
        </w:rPr>
        <w:t>2024</w:t>
      </w:r>
      <w:r>
        <w:rPr>
          <w:color w:val="222222"/>
          <w:spacing w:val="-50"/>
        </w:rPr>
        <w:t xml:space="preserve"> </w:t>
      </w:r>
      <w:r>
        <w:rPr>
          <w:color w:val="222222"/>
          <w:spacing w:val="-1"/>
        </w:rPr>
        <w:t>年</w:t>
      </w:r>
      <w:r>
        <w:rPr>
          <w:color w:val="222222"/>
        </w:rPr>
        <w:t xml:space="preserve"> </w:t>
      </w:r>
      <w:r>
        <w:rPr>
          <w:color w:val="222222"/>
          <w:spacing w:val="-1"/>
        </w:rPr>
        <w:t>名义</w:t>
      </w:r>
      <w:r>
        <w:rPr>
          <w:color w:val="222222"/>
          <w:spacing w:val="-43"/>
        </w:rPr>
        <w:t xml:space="preserve"> </w:t>
      </w:r>
      <w:r>
        <w:rPr>
          <w:color w:val="222222"/>
          <w:spacing w:val="-1"/>
        </w:rPr>
        <w:t>GDP</w:t>
      </w:r>
      <w:r>
        <w:rPr>
          <w:color w:val="222222"/>
          <w:spacing w:val="-49"/>
        </w:rPr>
        <w:t xml:space="preserve"> </w:t>
      </w:r>
      <w:r>
        <w:rPr>
          <w:color w:val="222222"/>
          <w:spacing w:val="-1"/>
        </w:rPr>
        <w:t>增速预期抬升、财政扩张、债市供需格局边际转弱且利率债供</w:t>
      </w:r>
      <w:r>
        <w:rPr>
          <w:color w:val="222222"/>
        </w:rPr>
        <w:t xml:space="preserve"> </w:t>
      </w:r>
      <w:r>
        <w:rPr>
          <w:color w:val="222222"/>
          <w:spacing w:val="-2"/>
        </w:rPr>
        <w:t>给节奏不均将带来资金面的阶段性偏紧等利空因素，预计</w:t>
      </w:r>
      <w:r>
        <w:rPr>
          <w:color w:val="222222"/>
          <w:spacing w:val="-33"/>
        </w:rPr>
        <w:t xml:space="preserve"> </w:t>
      </w:r>
      <w:r>
        <w:rPr>
          <w:color w:val="222222"/>
          <w:spacing w:val="-2"/>
        </w:rPr>
        <w:t>2024</w:t>
      </w:r>
      <w:r>
        <w:rPr>
          <w:color w:val="222222"/>
          <w:spacing w:val="-50"/>
        </w:rPr>
        <w:t xml:space="preserve"> </w:t>
      </w:r>
      <w:r>
        <w:rPr>
          <w:color w:val="222222"/>
          <w:spacing w:val="-2"/>
        </w:rPr>
        <w:t>年</w:t>
      </w:r>
      <w:r>
        <w:rPr>
          <w:color w:val="222222"/>
          <w:spacing w:val="-38"/>
        </w:rPr>
        <w:t xml:space="preserve"> </w:t>
      </w:r>
      <w:r>
        <w:rPr>
          <w:color w:val="222222"/>
          <w:spacing w:val="-2"/>
        </w:rPr>
        <w:t>10</w:t>
      </w:r>
      <w:r>
        <w:rPr>
          <w:color w:val="222222"/>
          <w:spacing w:val="-50"/>
        </w:rPr>
        <w:t xml:space="preserve"> </w:t>
      </w:r>
      <w:r>
        <w:rPr>
          <w:color w:val="222222"/>
          <w:spacing w:val="-2"/>
        </w:rPr>
        <w:t>年</w:t>
      </w:r>
      <w:r>
        <w:rPr>
          <w:color w:val="222222"/>
        </w:rPr>
        <w:t xml:space="preserve"> </w:t>
      </w:r>
    </w:p>
    <w:p>
      <w:pPr>
        <w:pStyle w:val="BodyText"/>
        <w:spacing w:before="72" w:line="375" w:lineRule="auto"/>
        <w:ind w:left="4394" w:right="633" w:hanging="425"/>
      </w:pPr>
      <w:r>
        <w:rPr>
          <w:color w:val="222222"/>
          <w:spacing w:val="5"/>
        </w:rPr>
        <w:t>期国债收益率多数时间将运行在政策利率上方，</w:t>
      </w:r>
      <w:r>
        <w:rPr>
          <w:color w:val="222222"/>
          <w:spacing w:val="-52"/>
        </w:rPr>
        <w:t xml:space="preserve"> </w:t>
      </w:r>
      <w:r>
        <w:rPr>
          <w:color w:val="222222"/>
          <w:spacing w:val="5"/>
        </w:rPr>
        <w:t>由此推断其核心波动</w:t>
      </w:r>
      <w:r>
        <w:rPr>
          <w:color w:val="222222"/>
        </w:rPr>
        <w:t xml:space="preserve"> </w:t>
      </w:r>
      <w:r>
        <w:rPr>
          <w:color w:val="222222"/>
          <w:spacing w:val="-1"/>
        </w:rPr>
        <w:t>区间将在</w:t>
      </w:r>
      <w:r>
        <w:rPr>
          <w:color w:val="222222"/>
          <w:spacing w:val="-15"/>
        </w:rPr>
        <w:t xml:space="preserve"> </w:t>
      </w:r>
      <w:r>
        <w:rPr>
          <w:color w:val="222222"/>
          <w:spacing w:val="-1"/>
        </w:rPr>
        <w:t>2.4%-2.7%之间，全年波动中枢将在</w:t>
      </w:r>
      <w:r>
        <w:rPr>
          <w:color w:val="222222"/>
          <w:spacing w:val="-24"/>
        </w:rPr>
        <w:t xml:space="preserve"> </w:t>
      </w:r>
      <w:r>
        <w:rPr>
          <w:color w:val="222222"/>
          <w:spacing w:val="-1"/>
        </w:rPr>
        <w:t>2.6%左右，低于</w:t>
      </w:r>
      <w:r>
        <w:rPr>
          <w:color w:val="222222"/>
          <w:spacing w:val="-24"/>
        </w:rPr>
        <w:t xml:space="preserve"> </w:t>
      </w:r>
      <w:r>
        <w:rPr>
          <w:color w:val="222222"/>
          <w:spacing w:val="-1"/>
        </w:rPr>
        <w:t>2023</w:t>
      </w:r>
      <w:r>
        <w:rPr>
          <w:color w:val="222222"/>
          <w:spacing w:val="-21"/>
        </w:rPr>
        <w:t xml:space="preserve"> </w:t>
      </w:r>
      <w:r>
        <w:rPr>
          <w:color w:val="222222"/>
          <w:spacing w:val="-1"/>
        </w:rPr>
        <w:t>年</w:t>
      </w:r>
      <w:r>
        <w:rPr>
          <w:color w:val="222222"/>
        </w:rPr>
        <w:t xml:space="preserve"> </w:t>
      </w:r>
      <w:r>
        <w:rPr>
          <w:color w:val="222222"/>
          <w:spacing w:val="-2"/>
        </w:rPr>
        <w:t>的</w:t>
      </w:r>
      <w:r>
        <w:rPr>
          <w:color w:val="222222"/>
          <w:spacing w:val="-47"/>
        </w:rPr>
        <w:t xml:space="preserve"> </w:t>
      </w:r>
      <w:r>
        <w:rPr>
          <w:color w:val="222222"/>
          <w:spacing w:val="-2"/>
        </w:rPr>
        <w:t>2.7%。</w:t>
      </w:r>
    </w:p>
    <w:p>
      <w:pPr>
        <w:spacing w:line="375" w:lineRule="auto"/>
        <w:sectPr>
          <w:headerReference w:type="default" r:id="rId10"/>
          <w:footerReference w:type="default" r:id="rId11"/>
          <w:type w:val="nextPage"/>
          <w:pgSz w:w="11907" w:h="16839"/>
          <w:pgMar w:top="1984" w:right="67" w:bottom="1325" w:left="0" w:header="0" w:footer="729" w:gutter="0"/>
          <w:pgNumType w:start="2"/>
          <w:cols w:space="708"/>
          <w:titlePg w:val="0"/>
        </w:sectPr>
      </w:pPr>
    </w:p>
    <w:p>
      <w:pPr>
        <w:spacing w:line="365" w:lineRule="auto"/>
        <w:rPr>
          <w:rFonts w:ascii="Arial"/>
          <w:sz w:val="21"/>
        </w:rPr>
      </w:pPr>
    </w:p>
    <w:p>
      <w:pPr>
        <w:spacing w:before="96" w:line="201" w:lineRule="auto"/>
        <w:ind w:left="2431"/>
        <w:rPr>
          <w:rFonts w:ascii="Microsoft YaHei Light" w:eastAsia="Microsoft YaHei Light" w:hAnsi="Microsoft YaHei Light" w:cs="Microsoft YaHei Light"/>
          <w:sz w:val="23"/>
          <w:szCs w:val="23"/>
        </w:rPr>
      </w:pPr>
      <w:r>
        <w:rPr>
          <w:rFonts w:ascii="Microsoft YaHei Light" w:eastAsia="Microsoft YaHei Light" w:hAnsi="Microsoft YaHei Light" w:cs="Microsoft YaHei Light"/>
          <w:color w:val="C00000"/>
          <w:spacing w:val="7"/>
          <w:sz w:val="23"/>
          <w:szCs w:val="23"/>
        </w:rPr>
        <w:t>一</w:t>
      </w:r>
      <w:r>
        <w:rPr>
          <w:rFonts w:ascii="Microsoft YaHei Light" w:eastAsia="Microsoft YaHei Light" w:hAnsi="Microsoft YaHei Light" w:cs="Microsoft YaHei Light"/>
          <w:color w:val="C00000"/>
          <w:spacing w:val="-28"/>
          <w:sz w:val="23"/>
          <w:szCs w:val="23"/>
        </w:rPr>
        <w:t xml:space="preserve"> </w:t>
      </w:r>
      <w:r>
        <w:rPr>
          <w:rFonts w:ascii="Microsoft YaHei Light" w:eastAsia="Microsoft YaHei Light" w:hAnsi="Microsoft YaHei Light" w:cs="Microsoft YaHei Light"/>
          <w:color w:val="C00000"/>
          <w:spacing w:val="7"/>
          <w:sz w:val="23"/>
          <w:szCs w:val="23"/>
        </w:rPr>
        <w:t>、</w:t>
      </w:r>
      <w:r>
        <w:rPr>
          <w:rFonts w:ascii="Microsoft YaHei Light" w:eastAsia="Microsoft YaHei Light" w:hAnsi="Microsoft YaHei Light" w:cs="Microsoft YaHei Light"/>
          <w:color w:val="C00000"/>
          <w:spacing w:val="-39"/>
          <w:sz w:val="23"/>
          <w:szCs w:val="23"/>
        </w:rPr>
        <w:t xml:space="preserve"> </w:t>
      </w:r>
      <w:r>
        <w:rPr>
          <w:rFonts w:ascii="Microsoft YaHei Light" w:eastAsia="Microsoft YaHei Light" w:hAnsi="Microsoft YaHei Light" w:cs="Microsoft YaHei Light"/>
          <w:color w:val="C00000"/>
          <w:spacing w:val="7"/>
          <w:sz w:val="23"/>
          <w:szCs w:val="23"/>
        </w:rPr>
        <w:t>2023 年利率走势回顾</w:t>
      </w:r>
    </w:p>
    <w:p>
      <w:pPr>
        <w:spacing w:line="277" w:lineRule="auto"/>
        <w:rPr>
          <w:rFonts w:ascii="Arial"/>
          <w:sz w:val="21"/>
        </w:rPr>
      </w:pPr>
    </w:p>
    <w:p>
      <w:pPr>
        <w:pStyle w:val="BodyText"/>
        <w:spacing w:before="75" w:line="383" w:lineRule="auto"/>
        <w:ind w:left="2433" w:right="1133" w:firstLine="460"/>
        <w:jc w:val="both"/>
        <w:rPr>
          <w:sz w:val="23"/>
          <w:szCs w:val="23"/>
        </w:rPr>
      </w:pPr>
      <w:r>
        <w:rPr>
          <w:color w:val="222222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2023</w:t>
      </w:r>
      <w:r>
        <w:rPr>
          <w:color w:val="222222"/>
          <w:spacing w:val="-28"/>
          <w:sz w:val="23"/>
          <w:szCs w:val="23"/>
        </w:rPr>
        <w:t xml:space="preserve"> </w:t>
      </w:r>
      <w:r>
        <w:rPr>
          <w:color w:val="222222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年影响利率走势的核心主线是“强预期”和“弱现实”的纠结</w:t>
      </w:r>
      <w:r>
        <w:rPr>
          <w:color w:val="222222"/>
          <w:sz w:val="23"/>
          <w:szCs w:val="23"/>
        </w:rPr>
        <w:t xml:space="preserve"> </w:t>
      </w:r>
      <w:r>
        <w:rPr>
          <w:color w:val="222222"/>
          <w:spacing w:val="-3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以及由此带来的政策博弈。</w:t>
      </w:r>
      <w:r>
        <w:rPr>
          <w:color w:val="222222"/>
          <w:spacing w:val="-3"/>
          <w:sz w:val="23"/>
          <w:szCs w:val="23"/>
        </w:rPr>
        <w:t>从长端利率走势看，</w:t>
      </w:r>
      <w:r>
        <w:rPr>
          <w:color w:val="222222"/>
          <w:spacing w:val="73"/>
          <w:sz w:val="23"/>
          <w:szCs w:val="23"/>
        </w:rPr>
        <w:t xml:space="preserve"> </w:t>
      </w:r>
      <w:r>
        <w:rPr>
          <w:color w:val="222222"/>
          <w:spacing w:val="-3"/>
          <w:sz w:val="23"/>
          <w:szCs w:val="23"/>
        </w:rPr>
        <w:t>1-2</w:t>
      </w:r>
      <w:r>
        <w:rPr>
          <w:color w:val="222222"/>
          <w:spacing w:val="-3"/>
          <w:sz w:val="23"/>
          <w:szCs w:val="23"/>
        </w:rPr>
        <w:t xml:space="preserve"> </w:t>
      </w:r>
      <w:r>
        <w:rPr>
          <w:color w:val="222222"/>
          <w:spacing w:val="-3"/>
          <w:sz w:val="23"/>
          <w:szCs w:val="23"/>
        </w:rPr>
        <w:t>月债市经历一波调</w:t>
      </w:r>
      <w:r>
        <w:rPr>
          <w:color w:val="222222"/>
          <w:sz w:val="23"/>
          <w:szCs w:val="23"/>
        </w:rPr>
        <w:t xml:space="preserve"> </w:t>
      </w:r>
      <w:r>
        <w:rPr>
          <w:color w:val="222222"/>
          <w:spacing w:val="-3"/>
          <w:sz w:val="23"/>
          <w:szCs w:val="23"/>
        </w:rPr>
        <w:t>整，但自</w:t>
      </w:r>
      <w:r>
        <w:rPr>
          <w:color w:val="222222"/>
          <w:spacing w:val="-14"/>
          <w:sz w:val="23"/>
          <w:szCs w:val="23"/>
        </w:rPr>
        <w:t xml:space="preserve"> </w:t>
      </w:r>
      <w:r>
        <w:rPr>
          <w:color w:val="222222"/>
          <w:spacing w:val="-3"/>
          <w:sz w:val="23"/>
          <w:szCs w:val="23"/>
        </w:rPr>
        <w:t>3</w:t>
      </w:r>
      <w:r>
        <w:rPr>
          <w:color w:val="222222"/>
          <w:spacing w:val="-3"/>
          <w:sz w:val="23"/>
          <w:szCs w:val="23"/>
        </w:rPr>
        <w:t xml:space="preserve"> </w:t>
      </w:r>
      <w:r>
        <w:rPr>
          <w:color w:val="222222"/>
          <w:spacing w:val="-3"/>
          <w:sz w:val="23"/>
          <w:szCs w:val="23"/>
        </w:rPr>
        <w:t>月起，长端利率开启趋势性下行，至</w:t>
      </w:r>
      <w:r>
        <w:rPr>
          <w:color w:val="222222"/>
          <w:spacing w:val="-27"/>
          <w:sz w:val="23"/>
          <w:szCs w:val="23"/>
        </w:rPr>
        <w:t xml:space="preserve"> </w:t>
      </w:r>
      <w:r>
        <w:rPr>
          <w:color w:val="222222"/>
          <w:spacing w:val="-3"/>
          <w:sz w:val="23"/>
          <w:szCs w:val="23"/>
        </w:rPr>
        <w:t>8</w:t>
      </w:r>
      <w:r>
        <w:rPr>
          <w:color w:val="222222"/>
          <w:spacing w:val="-3"/>
          <w:sz w:val="23"/>
          <w:szCs w:val="23"/>
        </w:rPr>
        <w:t xml:space="preserve"> </w:t>
      </w:r>
      <w:r>
        <w:rPr>
          <w:color w:val="222222"/>
          <w:spacing w:val="-3"/>
          <w:sz w:val="23"/>
          <w:szCs w:val="23"/>
        </w:rPr>
        <w:t>月中旬债市整体处于</w:t>
      </w:r>
      <w:r>
        <w:rPr>
          <w:color w:val="222222"/>
          <w:sz w:val="23"/>
          <w:szCs w:val="23"/>
        </w:rPr>
        <w:t xml:space="preserve"> </w:t>
      </w:r>
      <w:r>
        <w:rPr>
          <w:color w:val="222222"/>
          <w:spacing w:val="-3"/>
          <w:sz w:val="23"/>
          <w:szCs w:val="23"/>
        </w:rPr>
        <w:t>牛市环境；</w:t>
      </w:r>
      <w:r>
        <w:rPr>
          <w:color w:val="222222"/>
          <w:spacing w:val="66"/>
          <w:sz w:val="23"/>
          <w:szCs w:val="23"/>
        </w:rPr>
        <w:t xml:space="preserve"> </w:t>
      </w:r>
      <w:r>
        <w:rPr>
          <w:color w:val="222222"/>
          <w:spacing w:val="-3"/>
          <w:sz w:val="23"/>
          <w:szCs w:val="23"/>
        </w:rPr>
        <w:t>8</w:t>
      </w:r>
      <w:r>
        <w:rPr>
          <w:color w:val="222222"/>
          <w:spacing w:val="-3"/>
          <w:sz w:val="23"/>
          <w:szCs w:val="23"/>
        </w:rPr>
        <w:t xml:space="preserve"> </w:t>
      </w:r>
      <w:r>
        <w:rPr>
          <w:color w:val="222222"/>
          <w:spacing w:val="-3"/>
          <w:sz w:val="23"/>
          <w:szCs w:val="23"/>
        </w:rPr>
        <w:t>月下旬起，债市陷入回调，长端利率转为上行，但进入四</w:t>
      </w:r>
      <w:r>
        <w:rPr>
          <w:color w:val="222222"/>
          <w:sz w:val="23"/>
          <w:szCs w:val="23"/>
        </w:rPr>
        <w:t xml:space="preserve"> </w:t>
      </w:r>
      <w:r>
        <w:rPr>
          <w:color w:val="222222"/>
          <w:spacing w:val="2"/>
          <w:sz w:val="23"/>
          <w:szCs w:val="23"/>
        </w:rPr>
        <w:t>季度，长端利率上行遇阻，经过一段时间的窄幅震荡后，在年底再度转</w:t>
      </w:r>
      <w:r>
        <w:rPr>
          <w:color w:val="222222"/>
          <w:spacing w:val="18"/>
          <w:sz w:val="23"/>
          <w:szCs w:val="23"/>
        </w:rPr>
        <w:t xml:space="preserve"> </w:t>
      </w:r>
      <w:r>
        <w:rPr>
          <w:color w:val="222222"/>
          <w:spacing w:val="-1"/>
          <w:sz w:val="23"/>
          <w:szCs w:val="23"/>
        </w:rPr>
        <w:t>为下行。</w:t>
      </w:r>
      <w:r>
        <w:rPr>
          <w:color w:val="222222"/>
          <w:spacing w:val="-1"/>
          <w:sz w:val="23"/>
          <w:szCs w:val="23"/>
        </w:rPr>
        <w:t xml:space="preserve"> </w:t>
      </w:r>
      <w:r>
        <w:rPr>
          <w:color w:val="222222"/>
          <w:spacing w:val="-1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全年看，长端利率整体走低</w:t>
      </w:r>
      <w:r>
        <w:rPr>
          <w:color w:val="222222"/>
          <w:spacing w:val="-1"/>
          <w:sz w:val="23"/>
          <w:szCs w:val="23"/>
        </w:rPr>
        <w:t>。短端利率走势与长端利率基本同</w:t>
      </w:r>
      <w:r>
        <w:rPr>
          <w:color w:val="222222"/>
          <w:spacing w:val="6"/>
          <w:sz w:val="23"/>
          <w:szCs w:val="23"/>
        </w:rPr>
        <w:t xml:space="preserve"> </w:t>
      </w:r>
      <w:r>
        <w:rPr>
          <w:color w:val="222222"/>
          <w:spacing w:val="2"/>
          <w:sz w:val="23"/>
          <w:szCs w:val="23"/>
        </w:rPr>
        <w:t>步，个别时间段有所分化——</w:t>
      </w:r>
      <w:r>
        <w:rPr>
          <w:color w:val="222222"/>
          <w:spacing w:val="-89"/>
          <w:sz w:val="23"/>
          <w:szCs w:val="23"/>
        </w:rPr>
        <w:t xml:space="preserve"> </w:t>
      </w:r>
      <w:r>
        <w:rPr>
          <w:color w:val="222222"/>
          <w:spacing w:val="2"/>
          <w:sz w:val="23"/>
          <w:szCs w:val="23"/>
        </w:rPr>
        <w:t>即短端利率因资金面收紧而快速上</w:t>
      </w:r>
      <w:r>
        <w:rPr>
          <w:color w:val="222222"/>
          <w:spacing w:val="1"/>
          <w:sz w:val="23"/>
          <w:szCs w:val="23"/>
        </w:rPr>
        <w:t>行，但</w:t>
      </w:r>
    </w:p>
    <w:p>
      <w:pPr>
        <w:pStyle w:val="BodyText"/>
        <w:spacing w:line="217" w:lineRule="auto"/>
        <w:ind w:left="2443"/>
        <w:rPr>
          <w:sz w:val="23"/>
          <w:szCs w:val="23"/>
        </w:rPr>
      </w:pPr>
      <w:r>
        <w:rPr>
          <w:color w:val="222222"/>
          <w:sz w:val="23"/>
          <w:szCs w:val="23"/>
        </w:rPr>
        <w:t>长端利率因基本面偏弱而有所下行——</w:t>
      </w:r>
      <w:r>
        <w:rPr>
          <w:color w:val="222222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全年看短端利率</w:t>
      </w:r>
      <w:r>
        <w:rPr>
          <w:color w:val="222222"/>
          <w:spacing w:val="-1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表现不及长端</w:t>
      </w:r>
      <w:r>
        <w:rPr>
          <w:color w:val="222222"/>
          <w:spacing w:val="-1"/>
          <w:sz w:val="23"/>
          <w:szCs w:val="23"/>
        </w:rPr>
        <w:t>。</w:t>
      </w:r>
    </w:p>
    <w:p>
      <w:pPr>
        <w:pStyle w:val="BodyText"/>
        <w:spacing w:before="299" w:line="383" w:lineRule="auto"/>
        <w:ind w:left="2428" w:right="1130" w:firstLine="470"/>
        <w:rPr>
          <w:sz w:val="23"/>
          <w:szCs w:val="23"/>
        </w:rPr>
      </w:pPr>
      <w:r>
        <w:rPr>
          <w:color w:val="222222"/>
          <w:spacing w:val="-6"/>
          <w:sz w:val="23"/>
          <w:szCs w:val="23"/>
        </w:rPr>
        <w:t>整体上，截至</w:t>
      </w:r>
      <w:r>
        <w:rPr>
          <w:color w:val="222222"/>
          <w:spacing w:val="-39"/>
          <w:sz w:val="23"/>
          <w:szCs w:val="23"/>
        </w:rPr>
        <w:t xml:space="preserve"> </w:t>
      </w:r>
      <w:r>
        <w:rPr>
          <w:color w:val="222222"/>
          <w:spacing w:val="-6"/>
          <w:sz w:val="23"/>
          <w:szCs w:val="23"/>
        </w:rPr>
        <w:t>12</w:t>
      </w:r>
      <w:r>
        <w:rPr>
          <w:color w:val="222222"/>
          <w:spacing w:val="-43"/>
          <w:sz w:val="23"/>
          <w:szCs w:val="23"/>
        </w:rPr>
        <w:t xml:space="preserve"> </w:t>
      </w:r>
      <w:r>
        <w:rPr>
          <w:color w:val="222222"/>
          <w:spacing w:val="-6"/>
          <w:sz w:val="23"/>
          <w:szCs w:val="23"/>
        </w:rPr>
        <w:t>月</w:t>
      </w:r>
      <w:r>
        <w:rPr>
          <w:color w:val="222222"/>
          <w:spacing w:val="-52"/>
          <w:sz w:val="23"/>
          <w:szCs w:val="23"/>
        </w:rPr>
        <w:t xml:space="preserve"> </w:t>
      </w:r>
      <w:r>
        <w:rPr>
          <w:color w:val="222222"/>
          <w:spacing w:val="-6"/>
          <w:sz w:val="23"/>
          <w:szCs w:val="23"/>
        </w:rPr>
        <w:t>25</w:t>
      </w:r>
      <w:r>
        <w:rPr>
          <w:color w:val="222222"/>
          <w:spacing w:val="-6"/>
          <w:sz w:val="23"/>
          <w:szCs w:val="23"/>
        </w:rPr>
        <w:t xml:space="preserve"> </w:t>
      </w:r>
      <w:r>
        <w:rPr>
          <w:color w:val="222222"/>
          <w:spacing w:val="-6"/>
          <w:sz w:val="23"/>
          <w:szCs w:val="23"/>
        </w:rPr>
        <w:t>日，</w:t>
      </w:r>
      <w:r>
        <w:rPr>
          <w:color w:val="222222"/>
          <w:spacing w:val="-40"/>
          <w:sz w:val="23"/>
          <w:szCs w:val="23"/>
        </w:rPr>
        <w:t xml:space="preserve"> </w:t>
      </w:r>
      <w:r>
        <w:rPr>
          <w:color w:val="222222"/>
          <w:spacing w:val="-6"/>
          <w:sz w:val="23"/>
          <w:szCs w:val="23"/>
        </w:rPr>
        <w:t>10</w:t>
      </w:r>
      <w:r>
        <w:rPr>
          <w:color w:val="222222"/>
          <w:spacing w:val="-50"/>
          <w:sz w:val="23"/>
          <w:szCs w:val="23"/>
        </w:rPr>
        <w:t xml:space="preserve"> </w:t>
      </w:r>
      <w:r>
        <w:rPr>
          <w:color w:val="222222"/>
          <w:spacing w:val="-6"/>
          <w:sz w:val="23"/>
          <w:szCs w:val="23"/>
        </w:rPr>
        <w:t>年期国债收益率较上年末</w:t>
      </w:r>
      <w:r>
        <w:rPr>
          <w:color w:val="222222"/>
          <w:spacing w:val="-7"/>
          <w:sz w:val="23"/>
          <w:szCs w:val="23"/>
        </w:rPr>
        <w:t>下行</w:t>
      </w:r>
      <w:r>
        <w:rPr>
          <w:color w:val="222222"/>
          <w:spacing w:val="-52"/>
          <w:sz w:val="23"/>
          <w:szCs w:val="23"/>
        </w:rPr>
        <w:t xml:space="preserve"> </w:t>
      </w:r>
      <w:r>
        <w:rPr>
          <w:color w:val="222222"/>
          <w:spacing w:val="-7"/>
          <w:sz w:val="23"/>
          <w:szCs w:val="23"/>
        </w:rPr>
        <w:t>27bp，</w:t>
      </w:r>
      <w:r>
        <w:rPr>
          <w:color w:val="222222"/>
          <w:sz w:val="23"/>
          <w:szCs w:val="23"/>
        </w:rPr>
        <w:t xml:space="preserve"> </w:t>
      </w:r>
      <w:r>
        <w:rPr>
          <w:color w:val="222222"/>
          <w:spacing w:val="3"/>
          <w:sz w:val="23"/>
          <w:szCs w:val="23"/>
        </w:rPr>
        <w:t>1</w:t>
      </w:r>
      <w:r>
        <w:rPr>
          <w:color w:val="222222"/>
          <w:spacing w:val="3"/>
          <w:sz w:val="23"/>
          <w:szCs w:val="23"/>
        </w:rPr>
        <w:t xml:space="preserve"> </w:t>
      </w:r>
      <w:r>
        <w:rPr>
          <w:color w:val="222222"/>
          <w:spacing w:val="3"/>
          <w:sz w:val="23"/>
          <w:szCs w:val="23"/>
        </w:rPr>
        <w:t>年期国债收益率较上年末上行</w:t>
      </w:r>
      <w:r>
        <w:rPr>
          <w:color w:val="222222"/>
          <w:spacing w:val="3"/>
          <w:sz w:val="23"/>
          <w:szCs w:val="23"/>
        </w:rPr>
        <w:t xml:space="preserve"> </w:t>
      </w:r>
      <w:r>
        <w:rPr>
          <w:color w:val="222222"/>
          <w:spacing w:val="3"/>
          <w:sz w:val="23"/>
          <w:szCs w:val="23"/>
        </w:rPr>
        <w:t>13</w:t>
      </w:r>
      <w:r>
        <w:rPr>
          <w:color w:val="222222"/>
          <w:sz w:val="23"/>
          <w:szCs w:val="23"/>
        </w:rPr>
        <w:t>bp</w:t>
      </w:r>
      <w:r>
        <w:rPr>
          <w:color w:val="222222"/>
          <w:spacing w:val="3"/>
          <w:sz w:val="23"/>
          <w:szCs w:val="23"/>
        </w:rPr>
        <w:t>，10Y-1</w:t>
      </w:r>
      <w:r>
        <w:rPr>
          <w:color w:val="222222"/>
          <w:spacing w:val="2"/>
          <w:sz w:val="23"/>
          <w:szCs w:val="23"/>
        </w:rPr>
        <w:t>Y</w:t>
      </w:r>
      <w:r>
        <w:rPr>
          <w:color w:val="222222"/>
          <w:spacing w:val="2"/>
          <w:sz w:val="23"/>
          <w:szCs w:val="23"/>
        </w:rPr>
        <w:t xml:space="preserve"> </w:t>
      </w:r>
      <w:r>
        <w:rPr>
          <w:color w:val="222222"/>
          <w:spacing w:val="2"/>
          <w:sz w:val="23"/>
          <w:szCs w:val="23"/>
        </w:rPr>
        <w:t>期限利差较上年末收窄</w:t>
      </w:r>
      <w:r>
        <w:rPr>
          <w:color w:val="222222"/>
          <w:sz w:val="23"/>
          <w:szCs w:val="23"/>
        </w:rPr>
        <w:t xml:space="preserve"> </w:t>
      </w:r>
      <w:r>
        <w:rPr>
          <w:color w:val="222222"/>
          <w:spacing w:val="-5"/>
          <w:sz w:val="23"/>
          <w:szCs w:val="23"/>
        </w:rPr>
        <w:t>40bp，</w:t>
      </w:r>
      <w:r>
        <w:rPr>
          <w:color w:val="222222"/>
          <w:spacing w:val="-5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收益率曲线明显平坦化</w:t>
      </w:r>
      <w:r>
        <w:rPr>
          <w:color w:val="222222"/>
          <w:spacing w:val="-5"/>
          <w:sz w:val="23"/>
          <w:szCs w:val="23"/>
        </w:rPr>
        <w:t>。从中枢水</w:t>
      </w:r>
      <w:r>
        <w:rPr>
          <w:color w:val="222222"/>
          <w:spacing w:val="-6"/>
          <w:sz w:val="23"/>
          <w:szCs w:val="23"/>
        </w:rPr>
        <w:t>平看，截至</w:t>
      </w:r>
      <w:r>
        <w:rPr>
          <w:color w:val="222222"/>
          <w:spacing w:val="-6"/>
          <w:sz w:val="23"/>
          <w:szCs w:val="23"/>
        </w:rPr>
        <w:t xml:space="preserve"> </w:t>
      </w:r>
      <w:r>
        <w:rPr>
          <w:color w:val="222222"/>
          <w:spacing w:val="-6"/>
          <w:sz w:val="23"/>
          <w:szCs w:val="23"/>
        </w:rPr>
        <w:t>12</w:t>
      </w:r>
      <w:r>
        <w:rPr>
          <w:color w:val="222222"/>
          <w:spacing w:val="-33"/>
          <w:sz w:val="23"/>
          <w:szCs w:val="23"/>
        </w:rPr>
        <w:t xml:space="preserve"> </w:t>
      </w:r>
      <w:r>
        <w:rPr>
          <w:color w:val="222222"/>
          <w:spacing w:val="-6"/>
          <w:sz w:val="23"/>
          <w:szCs w:val="23"/>
        </w:rPr>
        <w:t>月</w:t>
      </w:r>
      <w:r>
        <w:rPr>
          <w:color w:val="222222"/>
          <w:spacing w:val="-42"/>
          <w:sz w:val="23"/>
          <w:szCs w:val="23"/>
        </w:rPr>
        <w:t xml:space="preserve"> </w:t>
      </w:r>
      <w:r>
        <w:rPr>
          <w:color w:val="222222"/>
          <w:spacing w:val="-6"/>
          <w:sz w:val="23"/>
          <w:szCs w:val="23"/>
        </w:rPr>
        <w:t>25</w:t>
      </w:r>
      <w:r>
        <w:rPr>
          <w:color w:val="222222"/>
          <w:spacing w:val="-6"/>
          <w:sz w:val="23"/>
          <w:szCs w:val="23"/>
        </w:rPr>
        <w:t xml:space="preserve"> </w:t>
      </w:r>
      <w:r>
        <w:rPr>
          <w:color w:val="222222"/>
          <w:spacing w:val="-6"/>
          <w:sz w:val="23"/>
          <w:szCs w:val="23"/>
        </w:rPr>
        <w:t>日，</w:t>
      </w:r>
      <w:r>
        <w:rPr>
          <w:color w:val="222222"/>
          <w:spacing w:val="-42"/>
          <w:sz w:val="23"/>
          <w:szCs w:val="23"/>
        </w:rPr>
        <w:t xml:space="preserve"> </w:t>
      </w:r>
      <w:r>
        <w:rPr>
          <w:color w:val="222222"/>
          <w:spacing w:val="-6"/>
          <w:sz w:val="23"/>
          <w:szCs w:val="23"/>
        </w:rPr>
        <w:t>10</w:t>
      </w:r>
      <w:r>
        <w:rPr>
          <w:color w:val="222222"/>
          <w:spacing w:val="-42"/>
          <w:sz w:val="23"/>
          <w:szCs w:val="23"/>
        </w:rPr>
        <w:t xml:space="preserve"> </w:t>
      </w:r>
      <w:r>
        <w:rPr>
          <w:color w:val="222222"/>
          <w:spacing w:val="-6"/>
          <w:sz w:val="23"/>
          <w:szCs w:val="23"/>
        </w:rPr>
        <w:t>年</w:t>
      </w:r>
      <w:r>
        <w:rPr>
          <w:color w:val="222222"/>
          <w:sz w:val="23"/>
          <w:szCs w:val="23"/>
        </w:rPr>
        <w:t xml:space="preserve"> </w:t>
      </w:r>
      <w:r>
        <w:rPr>
          <w:color w:val="222222"/>
          <w:sz w:val="23"/>
          <w:szCs w:val="23"/>
        </w:rPr>
        <w:t>期国债收益率均值为</w:t>
      </w:r>
      <w:r>
        <w:rPr>
          <w:color w:val="222222"/>
          <w:sz w:val="23"/>
          <w:szCs w:val="23"/>
        </w:rPr>
        <w:t xml:space="preserve"> </w:t>
      </w:r>
      <w:r>
        <w:rPr>
          <w:color w:val="222222"/>
          <w:sz w:val="23"/>
          <w:szCs w:val="23"/>
        </w:rPr>
        <w:t>2.73%，较上年全年均</w:t>
      </w:r>
      <w:r>
        <w:rPr>
          <w:color w:val="222222"/>
          <w:spacing w:val="-1"/>
          <w:sz w:val="23"/>
          <w:szCs w:val="23"/>
        </w:rPr>
        <w:t>值小幅下降</w:t>
      </w:r>
      <w:r>
        <w:rPr>
          <w:color w:val="222222"/>
          <w:spacing w:val="-1"/>
          <w:sz w:val="23"/>
          <w:szCs w:val="23"/>
        </w:rPr>
        <w:t xml:space="preserve"> </w:t>
      </w:r>
      <w:r>
        <w:rPr>
          <w:color w:val="222222"/>
          <w:spacing w:val="-1"/>
          <w:sz w:val="23"/>
          <w:szCs w:val="23"/>
        </w:rPr>
        <w:t>4bp;1</w:t>
      </w:r>
      <w:r>
        <w:rPr>
          <w:color w:val="222222"/>
          <w:spacing w:val="-1"/>
          <w:sz w:val="23"/>
          <w:szCs w:val="23"/>
        </w:rPr>
        <w:t xml:space="preserve"> </w:t>
      </w:r>
      <w:r>
        <w:rPr>
          <w:color w:val="222222"/>
          <w:spacing w:val="-1"/>
          <w:sz w:val="23"/>
          <w:szCs w:val="23"/>
        </w:rPr>
        <w:t>年期国债</w:t>
      </w:r>
    </w:p>
    <w:p>
      <w:pPr>
        <w:pStyle w:val="BodyText"/>
        <w:spacing w:line="212" w:lineRule="auto"/>
        <w:ind w:left="2442"/>
        <w:rPr>
          <w:sz w:val="23"/>
          <w:szCs w:val="23"/>
        </w:rPr>
      </w:pPr>
      <w:r>
        <w:rPr>
          <w:color w:val="222222"/>
          <w:spacing w:val="-2"/>
          <w:sz w:val="23"/>
          <w:szCs w:val="23"/>
        </w:rPr>
        <w:t>收益率均值为</w:t>
      </w:r>
      <w:r>
        <w:rPr>
          <w:color w:val="222222"/>
          <w:spacing w:val="-43"/>
          <w:sz w:val="23"/>
          <w:szCs w:val="23"/>
        </w:rPr>
        <w:t xml:space="preserve"> </w:t>
      </w:r>
      <w:r>
        <w:rPr>
          <w:color w:val="222222"/>
          <w:spacing w:val="-2"/>
          <w:sz w:val="23"/>
          <w:szCs w:val="23"/>
        </w:rPr>
        <w:t>2.11%，较上年全年均值抬升</w:t>
      </w:r>
      <w:r>
        <w:rPr>
          <w:color w:val="222222"/>
          <w:spacing w:val="-39"/>
          <w:sz w:val="23"/>
          <w:szCs w:val="23"/>
        </w:rPr>
        <w:t xml:space="preserve"> </w:t>
      </w:r>
      <w:r>
        <w:rPr>
          <w:color w:val="222222"/>
          <w:spacing w:val="-2"/>
          <w:sz w:val="23"/>
          <w:szCs w:val="23"/>
        </w:rPr>
        <w:t>13bp。</w:t>
      </w:r>
    </w:p>
    <w:p>
      <w:pPr>
        <w:spacing w:line="329" w:lineRule="auto"/>
        <w:rPr>
          <w:rFonts w:ascii="Arial"/>
          <w:sz w:val="21"/>
        </w:rPr>
      </w:pPr>
    </w:p>
    <w:p>
      <w:pPr>
        <w:spacing w:before="67" w:line="213" w:lineRule="auto"/>
        <w:ind w:left="161"/>
        <w:rPr>
          <w:rFonts w:ascii="STXihei" w:eastAsia="STXihei" w:hAnsi="STXihei" w:cs="STXihei"/>
          <w:sz w:val="19"/>
          <w:szCs w:val="19"/>
        </w:rPr>
      </w:pPr>
      <w:r>
        <w:rPr>
          <w:rFonts w:ascii="STXihei" w:eastAsia="STXihei" w:hAnsi="STXihei" w:cs="STXihei"/>
          <w:spacing w:val="4"/>
          <w:sz w:val="19"/>
          <w:szCs w:val="19"/>
          <w14:textOutline w14:w="3614">
            <w14:solidFill>
              <w14:srgbClr w14:val="000000"/>
            </w14:solidFill>
            <w14:prstDash w14:val="solid"/>
            <w14:miter w14:lim="10"/>
          </w14:textOutline>
        </w:rPr>
        <w:t>图</w:t>
      </w:r>
      <w:r>
        <w:rPr>
          <w:rFonts w:ascii="STXihei" w:eastAsia="STXihei" w:hAnsi="STXihei" w:cs="STXihei"/>
          <w:spacing w:val="35"/>
          <w:w w:val="102"/>
          <w:sz w:val="19"/>
          <w:szCs w:val="19"/>
        </w:rPr>
        <w:t xml:space="preserve"> </w:t>
      </w:r>
      <w:r>
        <w:rPr>
          <w:rFonts w:ascii="STXihei" w:eastAsia="STXihei" w:hAnsi="STXihei" w:cs="STXihei"/>
          <w:spacing w:val="4"/>
          <w:sz w:val="19"/>
          <w:szCs w:val="19"/>
          <w14:textOutline w14:w="3614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STXihei" w:eastAsia="STXihei" w:hAnsi="STXihei" w:cs="STXihei"/>
          <w:spacing w:val="4"/>
          <w:sz w:val="19"/>
          <w:szCs w:val="19"/>
        </w:rPr>
        <w:t xml:space="preserve">   </w:t>
      </w:r>
      <w:r>
        <w:rPr>
          <w:rFonts w:ascii="STXihei" w:eastAsia="STXihei" w:hAnsi="STXihei" w:cs="STXihei"/>
          <w:spacing w:val="4"/>
          <w:sz w:val="19"/>
          <w:szCs w:val="19"/>
          <w14:textOutline w14:w="3614">
            <w14:solidFill>
              <w14:srgbClr w14:val="000000"/>
            </w14:solidFill>
            <w14:prstDash w14:val="solid"/>
            <w14:miter w14:lim="10"/>
          </w14:textOutline>
        </w:rPr>
        <w:t>2023</w:t>
      </w:r>
      <w:r>
        <w:rPr>
          <w:rFonts w:ascii="STXihei" w:eastAsia="STXihei" w:hAnsi="STXihei" w:cs="STXihei"/>
          <w:spacing w:val="16"/>
          <w:w w:val="101"/>
          <w:sz w:val="19"/>
          <w:szCs w:val="19"/>
        </w:rPr>
        <w:t xml:space="preserve"> </w:t>
      </w:r>
      <w:r>
        <w:rPr>
          <w:rFonts w:ascii="STXihei" w:eastAsia="STXihei" w:hAnsi="STXihei" w:cs="STXihei"/>
          <w:spacing w:val="4"/>
          <w:sz w:val="19"/>
          <w:szCs w:val="19"/>
          <w14:textOutline w14:w="3614">
            <w14:solidFill>
              <w14:srgbClr w14:val="000000"/>
            </w14:solidFill>
            <w14:prstDash w14:val="solid"/>
            <w14:miter w14:lim="10"/>
          </w14:textOutline>
        </w:rPr>
        <w:t>年利率及期限利差走势</w:t>
      </w:r>
    </w:p>
    <w:p>
      <w:pPr>
        <w:spacing w:line="48" w:lineRule="exact"/>
        <w:sectPr>
          <w:headerReference w:type="default" r:id="rId12"/>
          <w:footerReference w:type="default" r:id="rId13"/>
          <w:pgSz w:w="11907" w:h="16839"/>
          <w:pgMar w:top="1863" w:right="0" w:bottom="1432" w:left="1116" w:header="624" w:footer="857" w:gutter="0"/>
          <w:pgNumType w:start="3"/>
          <w:cols w:space="708"/>
        </w:sectPr>
      </w:pPr>
    </w:p>
    <w:tbl>
      <w:tblPr>
        <w:tblStyle w:val="TableNormal0"/>
        <w:tblW w:w="9627" w:type="dxa"/>
        <w:tblInd w:w="17" w:type="dxa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</w:tblPr>
      <w:tblGrid>
        <w:gridCol w:w="803"/>
        <w:gridCol w:w="8227"/>
        <w:gridCol w:w="597"/>
      </w:tblGrid>
      <w:tr>
        <w:tblPrEx>
          <w:tblW w:w="9627" w:type="dxa"/>
          <w:tblInd w:w="17" w:type="dxa"/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  <w:tblLayout w:type="fixed"/>
        </w:tblPrEx>
        <w:trPr>
          <w:trHeight w:val="4571"/>
        </w:trPr>
        <w:tc>
          <w:tcPr>
            <w:tcW w:w="803" w:type="dxa"/>
            <w:tcBorders>
              <w:right w:val="nil"/>
            </w:tcBorders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9" w:line="377" w:lineRule="exact"/>
              <w:ind w:left="211"/>
            </w:pPr>
            <w:r>
              <w:drawing>
                <wp:anchor distT="0" distB="0" distL="0" distR="0" simplePos="0" relativeHeight="251664384" behindDoc="1" locked="0" layoutInCell="1" allowOverlap="1">
                  <wp:simplePos x="0" y="0"/>
                  <wp:positionH relativeFrom="column">
                    <wp:posOffset>-5651</wp:posOffset>
                  </wp:positionH>
                  <wp:positionV relativeFrom="paragraph">
                    <wp:posOffset>-241411</wp:posOffset>
                  </wp:positionV>
                  <wp:extent cx="6115557" cy="2913888"/>
                  <wp:effectExtent l="0" t="0" r="0" b="0"/>
                  <wp:wrapNone/>
                  <wp:docPr id="22" name="IM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22"/>
                          <pic:cNvPicPr/>
                        </pic:nvPicPr>
                        <pic:blipFill>
                          <a:blip xmlns:r="http://schemas.openxmlformats.org/officeDocument/2006/relationships"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5557" cy="2913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3"/>
                <w:position w:val="18"/>
              </w:rPr>
              <w:t>3.10</w:t>
            </w:r>
          </w:p>
          <w:p>
            <w:pPr>
              <w:pStyle w:val="TableText"/>
              <w:spacing w:line="172" w:lineRule="auto"/>
              <w:ind w:left="209"/>
            </w:pPr>
            <w:r>
              <w:rPr>
                <w:spacing w:val="-3"/>
              </w:rPr>
              <w:t>2.90</w:t>
            </w:r>
          </w:p>
          <w:p>
            <w:pPr>
              <w:pStyle w:val="TableText"/>
              <w:spacing w:before="180" w:line="172" w:lineRule="auto"/>
              <w:ind w:left="209"/>
            </w:pPr>
            <w:r>
              <w:rPr>
                <w:spacing w:val="-3"/>
              </w:rPr>
              <w:t>2.70</w:t>
            </w:r>
          </w:p>
          <w:p>
            <w:pPr>
              <w:pStyle w:val="TableText"/>
              <w:spacing w:before="180" w:line="172" w:lineRule="auto"/>
              <w:ind w:left="209"/>
            </w:pPr>
            <w:r>
              <w:rPr>
                <w:spacing w:val="-3"/>
              </w:rPr>
              <w:t>2.50</w:t>
            </w:r>
          </w:p>
          <w:p>
            <w:pPr>
              <w:pStyle w:val="TableText"/>
              <w:spacing w:before="179" w:line="173" w:lineRule="auto"/>
              <w:ind w:left="209"/>
            </w:pPr>
            <w:r>
              <w:rPr>
                <w:spacing w:val="-3"/>
              </w:rPr>
              <w:t>2.30</w:t>
            </w:r>
          </w:p>
          <w:p>
            <w:pPr>
              <w:pStyle w:val="TableText"/>
              <w:spacing w:before="179" w:line="173" w:lineRule="auto"/>
              <w:ind w:left="209"/>
            </w:pPr>
            <w:r>
              <w:rPr>
                <w:spacing w:val="-3"/>
              </w:rPr>
              <w:t>2.10</w:t>
            </w:r>
          </w:p>
          <w:p>
            <w:pPr>
              <w:pStyle w:val="TableText"/>
              <w:spacing w:before="179" w:line="173" w:lineRule="auto"/>
              <w:ind w:left="217"/>
            </w:pPr>
            <w:r>
              <w:rPr>
                <w:spacing w:val="-5"/>
              </w:rPr>
              <w:t>1.90</w:t>
            </w:r>
          </w:p>
          <w:p>
            <w:pPr>
              <w:pStyle w:val="TableText"/>
              <w:spacing w:before="179" w:line="173" w:lineRule="auto"/>
              <w:ind w:left="217"/>
            </w:pPr>
            <w:r>
              <w:rPr>
                <w:spacing w:val="-5"/>
              </w:rPr>
              <w:t>1.70</w:t>
            </w:r>
          </w:p>
          <w:p>
            <w:pPr>
              <w:pStyle w:val="TableText"/>
              <w:spacing w:before="180" w:line="173" w:lineRule="auto"/>
              <w:ind w:left="217"/>
            </w:pPr>
            <w:r>
              <w:rPr>
                <w:spacing w:val="-5"/>
              </w:rPr>
              <w:t>1.50</w:t>
            </w:r>
          </w:p>
          <w:p>
            <w:pPr>
              <w:spacing w:before="42" w:line="686" w:lineRule="exact"/>
              <w:ind w:firstLine="90"/>
            </w:pPr>
            <w:r>
              <w:rPr>
                <w:position w:val="-13"/>
              </w:rPr>
              <w:drawing>
                <wp:inline distT="0" distB="0" distL="0" distR="0">
                  <wp:extent cx="428739" cy="435609"/>
                  <wp:effectExtent l="0" t="0" r="0" b="0"/>
                  <wp:docPr id="24" name="IM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 24"/>
                          <pic:cNvPicPr/>
                        </pic:nvPicPr>
                        <pic:blipFill>
                          <a:blip xmlns:r="http://schemas.openxmlformats.org/officeDocument/2006/relationships"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739" cy="435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7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69" w:line="179" w:lineRule="auto"/>
              <w:ind w:left="1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drawing>
                <wp:inline distT="0" distB="0" distL="0" distR="0">
                  <wp:extent cx="243839" cy="67894"/>
                  <wp:effectExtent l="0" t="0" r="0" b="0"/>
                  <wp:docPr id="26" name="IM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 26"/>
                          <pic:cNvPicPr/>
                        </pic:nvPicPr>
                        <pic:blipFill>
                          <a:blip xmlns:r="http://schemas.openxmlformats.org/officeDocument/2006/relationships"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39" cy="67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 xml:space="preserve">10Y-1Y利差:bp，右轴       </w:t>
            </w:r>
            <w:r>
              <w:rPr>
                <w:position w:val="3"/>
                <w:sz w:val="18"/>
                <w:szCs w:val="18"/>
              </w:rPr>
              <w:drawing>
                <wp:inline distT="0" distB="0" distL="0" distR="0">
                  <wp:extent cx="272415" cy="28575"/>
                  <wp:effectExtent l="0" t="0" r="0" b="0"/>
                  <wp:docPr id="28" name="IM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 28"/>
                          <pic:cNvPicPr/>
                        </pic:nvPicPr>
                        <pic:blipFill>
                          <a:blip xmlns:r="http://schemas.openxmlformats.org/officeDocument/2006/relationships"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5" cy="28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 xml:space="preserve">1年期国债到期收益率:%  </w:t>
            </w:r>
            <w:r>
              <w:rPr>
                <w:spacing w:val="-2"/>
                <w:sz w:val="18"/>
                <w:szCs w:val="18"/>
              </w:rPr>
              <w:t xml:space="preserve">      </w:t>
            </w:r>
            <w:r>
              <w:rPr>
                <w:position w:val="3"/>
                <w:sz w:val="18"/>
                <w:szCs w:val="18"/>
              </w:rPr>
              <w:drawing>
                <wp:inline distT="0" distB="0" distL="0" distR="0">
                  <wp:extent cx="272414" cy="28575"/>
                  <wp:effectExtent l="0" t="0" r="0" b="0"/>
                  <wp:docPr id="30" name="IM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 30"/>
                          <pic:cNvPicPr/>
                        </pic:nvPicPr>
                        <pic:blipFill>
                          <a:blip xmlns:r="http://schemas.openxmlformats.org/officeDocument/2006/relationships"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4" cy="28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10年期国债到期收益率:%</w:t>
            </w: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686" w:lineRule="exact"/>
              <w:ind w:firstLine="18"/>
            </w:pPr>
            <w:r>
              <w:rPr>
                <w:position w:val="-13"/>
              </w:rPr>
              <w:drawing>
                <wp:inline distT="0" distB="0" distL="0" distR="0">
                  <wp:extent cx="4923205" cy="435609"/>
                  <wp:effectExtent l="0" t="0" r="0" b="0"/>
                  <wp:docPr id="32" name="IM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 32"/>
                          <pic:cNvPicPr/>
                        </pic:nvPicPr>
                        <pic:blipFill>
                          <a:blip xmlns:r="http://schemas.openxmlformats.org/officeDocument/2006/relationships"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3205" cy="435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dxa"/>
            <w:tcBorders>
              <w:left w:val="nil"/>
            </w:tcBorders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9" w:line="173" w:lineRule="auto"/>
              <w:ind w:left="226"/>
            </w:pPr>
            <w:r>
              <w:rPr>
                <w:spacing w:val="-4"/>
              </w:rPr>
              <w:t>100</w:t>
            </w:r>
          </w:p>
          <w:p>
            <w:pPr>
              <w:pStyle w:val="TableText"/>
              <w:spacing w:before="104" w:line="172" w:lineRule="auto"/>
              <w:ind w:left="218"/>
            </w:pPr>
            <w:r>
              <w:rPr>
                <w:spacing w:val="-2"/>
              </w:rPr>
              <w:t>90</w:t>
            </w:r>
          </w:p>
          <w:p>
            <w:pPr>
              <w:pStyle w:val="TableText"/>
              <w:spacing w:before="105" w:line="172" w:lineRule="auto"/>
              <w:ind w:left="217"/>
            </w:pPr>
            <w:r>
              <w:rPr>
                <w:spacing w:val="-2"/>
              </w:rPr>
              <w:t>80</w:t>
            </w:r>
          </w:p>
          <w:p>
            <w:pPr>
              <w:pStyle w:val="TableText"/>
              <w:spacing w:before="104" w:line="172" w:lineRule="auto"/>
              <w:ind w:left="218"/>
            </w:pPr>
            <w:r>
              <w:rPr>
                <w:spacing w:val="-3"/>
              </w:rPr>
              <w:t>70</w:t>
            </w:r>
          </w:p>
          <w:p>
            <w:pPr>
              <w:pStyle w:val="TableText"/>
              <w:spacing w:before="105" w:line="172" w:lineRule="auto"/>
              <w:ind w:left="219"/>
            </w:pPr>
            <w:r>
              <w:rPr>
                <w:spacing w:val="-3"/>
              </w:rPr>
              <w:t>60</w:t>
            </w:r>
          </w:p>
          <w:p>
            <w:pPr>
              <w:pStyle w:val="TableText"/>
              <w:spacing w:before="103" w:line="173" w:lineRule="auto"/>
              <w:ind w:left="223"/>
            </w:pPr>
            <w:r>
              <w:rPr>
                <w:spacing w:val="-4"/>
              </w:rPr>
              <w:t>50</w:t>
            </w:r>
          </w:p>
          <w:p>
            <w:pPr>
              <w:pStyle w:val="TableText"/>
              <w:spacing w:before="105" w:line="172" w:lineRule="auto"/>
              <w:ind w:left="211"/>
            </w:pPr>
            <w:r>
              <w:rPr>
                <w:spacing w:val="-1"/>
              </w:rPr>
              <w:t>40</w:t>
            </w:r>
          </w:p>
          <w:p>
            <w:pPr>
              <w:pStyle w:val="TableText"/>
              <w:spacing w:before="105" w:line="172" w:lineRule="auto"/>
              <w:ind w:left="221"/>
            </w:pPr>
            <w:r>
              <w:rPr>
                <w:spacing w:val="-3"/>
              </w:rPr>
              <w:t>30</w:t>
            </w:r>
          </w:p>
          <w:p>
            <w:pPr>
              <w:pStyle w:val="TableText"/>
              <w:spacing w:before="105" w:line="172" w:lineRule="auto"/>
              <w:ind w:left="219"/>
            </w:pPr>
            <w:r>
              <w:rPr>
                <w:spacing w:val="-3"/>
              </w:rPr>
              <w:t>20</w:t>
            </w:r>
          </w:p>
          <w:p>
            <w:pPr>
              <w:pStyle w:val="TableText"/>
              <w:spacing w:before="104" w:line="173" w:lineRule="auto"/>
              <w:ind w:left="226"/>
            </w:pPr>
            <w:r>
              <w:rPr>
                <w:spacing w:val="-5"/>
              </w:rPr>
              <w:t>10</w:t>
            </w:r>
          </w:p>
          <w:p>
            <w:pPr>
              <w:pStyle w:val="TableText"/>
              <w:spacing w:before="105" w:line="172" w:lineRule="auto"/>
              <w:ind w:left="217"/>
            </w:pPr>
            <w:r>
              <w:t>0</w:t>
            </w:r>
          </w:p>
        </w:tc>
      </w:tr>
    </w:tbl>
    <w:p>
      <w:pPr>
        <w:spacing w:before="124" w:line="207" w:lineRule="auto"/>
        <w:ind w:left="24"/>
        <w:rPr>
          <w:rFonts w:ascii="STXihei" w:eastAsia="STXihei" w:hAnsi="STXihei" w:cs="STXihei"/>
          <w:sz w:val="16"/>
          <w:szCs w:val="16"/>
        </w:rPr>
      </w:pPr>
      <w:r>
        <w:rPr>
          <w:rFonts w:ascii="STXihei" w:eastAsia="STXihei" w:hAnsi="STXihei" w:cs="STXihei"/>
          <w:spacing w:val="-1"/>
          <w:sz w:val="16"/>
          <w:szCs w:val="16"/>
        </w:rPr>
        <w:t>数据来源：Wind，东方金诚</w:t>
      </w:r>
    </w:p>
    <w:p>
      <w:pPr>
        <w:spacing w:line="207" w:lineRule="auto"/>
        <w:rPr>
          <w:rFonts w:ascii="STXihei" w:eastAsia="STXihei" w:hAnsi="STXihei" w:cs="STXihei"/>
          <w:sz w:val="16"/>
          <w:szCs w:val="16"/>
        </w:rPr>
        <w:sectPr>
          <w:headerReference w:type="default" r:id="rId20"/>
          <w:footerReference w:type="default" r:id="rId21"/>
          <w:type w:val="nextPage"/>
          <w:pgSz w:w="11907" w:h="16839"/>
          <w:pgMar w:top="1863" w:right="0" w:bottom="1432" w:left="1116" w:header="624" w:footer="857" w:gutter="0"/>
          <w:pgNumType w:start="4"/>
          <w:cols w:space="708"/>
          <w:titlePg w:val="0"/>
        </w:sectPr>
      </w:pPr>
    </w:p>
    <w:p>
      <w:pPr>
        <w:pStyle w:val="BodyText"/>
        <w:spacing w:before="158" w:line="383" w:lineRule="auto"/>
        <w:ind w:left="3010" w:right="937" w:firstLine="2"/>
        <w:jc w:val="both"/>
        <w:rPr>
          <w:sz w:val="23"/>
          <w:szCs w:val="23"/>
        </w:rPr>
      </w:pP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2249170</wp:posOffset>
            </wp:positionH>
            <wp:positionV relativeFrom="page">
              <wp:posOffset>1287780</wp:posOffset>
            </wp:positionV>
            <wp:extent cx="120650" cy="4785360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0650" cy="4785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22222"/>
          <w:spacing w:val="1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1</w:t>
      </w:r>
      <w:r>
        <w:rPr>
          <w:color w:val="222222"/>
          <w:spacing w:val="1"/>
          <w:sz w:val="23"/>
          <w:szCs w:val="23"/>
        </w:rPr>
        <w:t xml:space="preserve"> </w:t>
      </w:r>
      <w:r>
        <w:rPr>
          <w:color w:val="222222"/>
          <w:spacing w:val="1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月（春节前</w:t>
      </w:r>
      <w:r>
        <w:rPr>
          <w:color w:val="222222"/>
          <w:spacing w:val="-64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）：</w:t>
      </w:r>
      <w:r>
        <w:rPr>
          <w:color w:val="222222"/>
          <w:spacing w:val="-60"/>
          <w:sz w:val="23"/>
          <w:szCs w:val="23"/>
        </w:rPr>
        <w:t xml:space="preserve"> </w:t>
      </w:r>
      <w:r>
        <w:rPr>
          <w:color w:val="222222"/>
          <w:spacing w:val="1"/>
          <w:sz w:val="23"/>
          <w:szCs w:val="23"/>
        </w:rPr>
        <w:t>随着疫情好转，居民生活快速恢复，春节前出行</w:t>
      </w:r>
      <w:r>
        <w:rPr>
          <w:color w:val="222222"/>
          <w:spacing w:val="1"/>
          <w:sz w:val="23"/>
          <w:szCs w:val="23"/>
        </w:rPr>
        <w:t xml:space="preserve">  </w:t>
      </w:r>
      <w:r>
        <w:rPr>
          <w:color w:val="222222"/>
          <w:spacing w:val="6"/>
          <w:sz w:val="23"/>
          <w:szCs w:val="23"/>
        </w:rPr>
        <w:t>消费大幅回升，加之稳地产政策落地，市场对经济复苏的预期持</w:t>
      </w:r>
      <w:r>
        <w:rPr>
          <w:color w:val="222222"/>
          <w:spacing w:val="6"/>
          <w:sz w:val="23"/>
          <w:szCs w:val="23"/>
        </w:rPr>
        <w:t xml:space="preserve">  </w:t>
      </w:r>
      <w:r>
        <w:rPr>
          <w:color w:val="222222"/>
          <w:spacing w:val="6"/>
          <w:sz w:val="23"/>
          <w:szCs w:val="23"/>
        </w:rPr>
        <w:t>续升温。同时，春节前资金面略收紧，且机构持券过节意</w:t>
      </w:r>
      <w:r>
        <w:rPr>
          <w:color w:val="222222"/>
          <w:spacing w:val="5"/>
          <w:sz w:val="23"/>
          <w:szCs w:val="23"/>
        </w:rPr>
        <w:t>愿不强。</w:t>
      </w:r>
      <w:r>
        <w:rPr>
          <w:color w:val="222222"/>
          <w:sz w:val="23"/>
          <w:szCs w:val="23"/>
        </w:rPr>
        <w:t xml:space="preserve"> </w:t>
      </w:r>
      <w:r>
        <w:rPr>
          <w:color w:val="222222"/>
          <w:spacing w:val="7"/>
          <w:sz w:val="23"/>
          <w:szCs w:val="23"/>
        </w:rPr>
        <w:t>多重利空影响下，这一阶段长短端利率均有所上行，长端利率上</w:t>
      </w:r>
    </w:p>
    <w:p>
      <w:pPr>
        <w:pStyle w:val="BodyText"/>
        <w:spacing w:line="212" w:lineRule="auto"/>
        <w:ind w:left="3006"/>
        <w:rPr>
          <w:sz w:val="23"/>
          <w:szCs w:val="23"/>
        </w:rPr>
      </w:pPr>
      <w:r>
        <w:rPr>
          <w:color w:val="222222"/>
          <w:spacing w:val="-9"/>
          <w:sz w:val="23"/>
          <w:szCs w:val="23"/>
        </w:rPr>
        <w:t>行幅度更大，</w:t>
      </w:r>
      <w:r>
        <w:rPr>
          <w:color w:val="222222"/>
          <w:spacing w:val="77"/>
          <w:sz w:val="23"/>
          <w:szCs w:val="23"/>
        </w:rPr>
        <w:t xml:space="preserve"> </w:t>
      </w:r>
      <w:r>
        <w:rPr>
          <w:color w:val="222222"/>
          <w:spacing w:val="-9"/>
          <w:sz w:val="23"/>
          <w:szCs w:val="23"/>
        </w:rPr>
        <w:t>10</w:t>
      </w:r>
      <w:r>
        <w:rPr>
          <w:color w:val="222222"/>
          <w:spacing w:val="-48"/>
          <w:sz w:val="23"/>
          <w:szCs w:val="23"/>
        </w:rPr>
        <w:t xml:space="preserve"> </w:t>
      </w:r>
      <w:r>
        <w:rPr>
          <w:color w:val="222222"/>
          <w:spacing w:val="-9"/>
          <w:sz w:val="23"/>
          <w:szCs w:val="23"/>
        </w:rPr>
        <w:t>年期国债收益率最高升至</w:t>
      </w:r>
      <w:r>
        <w:rPr>
          <w:color w:val="222222"/>
          <w:spacing w:val="-50"/>
          <w:sz w:val="23"/>
          <w:szCs w:val="23"/>
        </w:rPr>
        <w:t xml:space="preserve"> </w:t>
      </w:r>
      <w:r>
        <w:rPr>
          <w:color w:val="222222"/>
          <w:spacing w:val="-9"/>
          <w:sz w:val="23"/>
          <w:szCs w:val="23"/>
        </w:rPr>
        <w:t>2.93%。</w:t>
      </w:r>
    </w:p>
    <w:p>
      <w:pPr>
        <w:pStyle w:val="BodyText"/>
        <w:spacing w:before="274" w:line="383" w:lineRule="auto"/>
        <w:ind w:left="3002" w:right="1141"/>
        <w:jc w:val="both"/>
        <w:rPr>
          <w:sz w:val="23"/>
          <w:szCs w:val="23"/>
        </w:rPr>
      </w:pPr>
      <w:r>
        <w:rPr>
          <w:color w:val="222222"/>
          <w:spacing w:val="-1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春节至</w:t>
      </w:r>
      <w:r>
        <w:rPr>
          <w:color w:val="222222"/>
          <w:spacing w:val="-57"/>
          <w:sz w:val="23"/>
          <w:szCs w:val="23"/>
        </w:rPr>
        <w:t xml:space="preserve"> </w:t>
      </w:r>
      <w:r>
        <w:rPr>
          <w:color w:val="222222"/>
          <w:spacing w:val="-1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2</w:t>
      </w:r>
      <w:r>
        <w:rPr>
          <w:color w:val="222222"/>
          <w:spacing w:val="-45"/>
          <w:sz w:val="23"/>
          <w:szCs w:val="23"/>
        </w:rPr>
        <w:t xml:space="preserve"> </w:t>
      </w:r>
      <w:r>
        <w:rPr>
          <w:color w:val="222222"/>
          <w:spacing w:val="-1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月</w:t>
      </w:r>
      <w:r>
        <w:rPr>
          <w:color w:val="222222"/>
          <w:spacing w:val="-1"/>
          <w:sz w:val="23"/>
          <w:szCs w:val="23"/>
        </w:rPr>
        <w:t>：年初信贷投放力度较大，跨年</w:t>
      </w:r>
      <w:r>
        <w:rPr>
          <w:color w:val="222222"/>
          <w:spacing w:val="-2"/>
          <w:sz w:val="23"/>
          <w:szCs w:val="23"/>
        </w:rPr>
        <w:t>后资金面继续偏紧，带</w:t>
      </w:r>
      <w:r>
        <w:rPr>
          <w:color w:val="222222"/>
          <w:sz w:val="23"/>
          <w:szCs w:val="23"/>
        </w:rPr>
        <w:t xml:space="preserve"> </w:t>
      </w:r>
      <w:r>
        <w:rPr>
          <w:color w:val="222222"/>
          <w:spacing w:val="7"/>
          <w:sz w:val="23"/>
          <w:szCs w:val="23"/>
        </w:rPr>
        <w:t>动短端利率持续上行，长端利率则因基本面进入真空期而窄幅震</w:t>
      </w:r>
    </w:p>
    <w:p>
      <w:pPr>
        <w:pStyle w:val="BodyText"/>
        <w:spacing w:line="212" w:lineRule="auto"/>
        <w:ind w:left="3016"/>
        <w:rPr>
          <w:sz w:val="23"/>
          <w:szCs w:val="23"/>
        </w:rPr>
      </w:pPr>
      <w:r>
        <w:rPr>
          <w:color w:val="222222"/>
          <w:spacing w:val="-3"/>
          <w:sz w:val="23"/>
          <w:szCs w:val="23"/>
        </w:rPr>
        <w:t>荡，期限利差快速收敛。</w:t>
      </w:r>
    </w:p>
    <w:p>
      <w:pPr>
        <w:pStyle w:val="BodyText"/>
        <w:spacing w:before="275" w:line="383" w:lineRule="auto"/>
        <w:ind w:left="2999" w:right="1131" w:firstLine="2"/>
        <w:jc w:val="both"/>
        <w:rPr>
          <w:sz w:val="23"/>
          <w:szCs w:val="23"/>
        </w:rPr>
      </w:pPr>
      <w:r>
        <w:rPr>
          <w:color w:val="222222"/>
          <w:spacing w:val="-2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3</w:t>
      </w:r>
      <w:r>
        <w:rPr>
          <w:color w:val="222222"/>
          <w:spacing w:val="-24"/>
          <w:sz w:val="23"/>
          <w:szCs w:val="23"/>
        </w:rPr>
        <w:t xml:space="preserve"> </w:t>
      </w:r>
      <w:r>
        <w:rPr>
          <w:color w:val="222222"/>
          <w:spacing w:val="-2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月-6</w:t>
      </w:r>
      <w:r>
        <w:rPr>
          <w:color w:val="222222"/>
          <w:spacing w:val="-23"/>
          <w:sz w:val="23"/>
          <w:szCs w:val="23"/>
        </w:rPr>
        <w:t xml:space="preserve"> </w:t>
      </w:r>
      <w:r>
        <w:rPr>
          <w:color w:val="222222"/>
          <w:spacing w:val="-2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月中旬</w:t>
      </w:r>
      <w:r>
        <w:rPr>
          <w:color w:val="222222"/>
          <w:spacing w:val="-2"/>
          <w:sz w:val="23"/>
          <w:szCs w:val="23"/>
        </w:rPr>
        <w:t>：3</w:t>
      </w:r>
      <w:r>
        <w:rPr>
          <w:color w:val="222222"/>
          <w:spacing w:val="-23"/>
          <w:sz w:val="23"/>
          <w:szCs w:val="23"/>
        </w:rPr>
        <w:t xml:space="preserve"> </w:t>
      </w:r>
      <w:r>
        <w:rPr>
          <w:color w:val="222222"/>
          <w:spacing w:val="-2"/>
          <w:sz w:val="23"/>
          <w:szCs w:val="23"/>
        </w:rPr>
        <w:t>月起基本面修复放缓，特别是房地产市场再度转</w:t>
      </w:r>
      <w:r>
        <w:rPr>
          <w:color w:val="222222"/>
          <w:sz w:val="23"/>
          <w:szCs w:val="23"/>
        </w:rPr>
        <w:t xml:space="preserve"> </w:t>
      </w:r>
      <w:r>
        <w:rPr>
          <w:color w:val="222222"/>
          <w:spacing w:val="-1"/>
          <w:sz w:val="23"/>
          <w:szCs w:val="23"/>
        </w:rPr>
        <w:t>弱，“弱现实”开始主导债市情绪；同时，3</w:t>
      </w:r>
      <w:r>
        <w:rPr>
          <w:color w:val="222222"/>
          <w:spacing w:val="-1"/>
          <w:sz w:val="23"/>
          <w:szCs w:val="23"/>
        </w:rPr>
        <w:t xml:space="preserve"> </w:t>
      </w:r>
      <w:r>
        <w:rPr>
          <w:color w:val="222222"/>
          <w:spacing w:val="-1"/>
          <w:sz w:val="23"/>
          <w:szCs w:val="23"/>
        </w:rPr>
        <w:t>月底央行超预期全面</w:t>
      </w:r>
      <w:r>
        <w:rPr>
          <w:color w:val="222222"/>
          <w:spacing w:val="16"/>
          <w:sz w:val="23"/>
          <w:szCs w:val="23"/>
        </w:rPr>
        <w:t xml:space="preserve"> </w:t>
      </w:r>
      <w:r>
        <w:rPr>
          <w:color w:val="222222"/>
          <w:spacing w:val="-4"/>
          <w:sz w:val="23"/>
          <w:szCs w:val="23"/>
        </w:rPr>
        <w:t>降准，</w:t>
      </w:r>
      <w:r>
        <w:rPr>
          <w:color w:val="222222"/>
          <w:spacing w:val="-4"/>
          <w:sz w:val="23"/>
          <w:szCs w:val="23"/>
        </w:rPr>
        <w:t xml:space="preserve"> </w:t>
      </w:r>
      <w:r>
        <w:rPr>
          <w:color w:val="222222"/>
          <w:spacing w:val="-4"/>
          <w:sz w:val="23"/>
          <w:szCs w:val="23"/>
        </w:rPr>
        <w:t>4</w:t>
      </w:r>
      <w:r>
        <w:rPr>
          <w:color w:val="222222"/>
          <w:spacing w:val="-4"/>
          <w:sz w:val="23"/>
          <w:szCs w:val="23"/>
        </w:rPr>
        <w:t xml:space="preserve"> </w:t>
      </w:r>
      <w:r>
        <w:rPr>
          <w:color w:val="222222"/>
          <w:spacing w:val="-4"/>
          <w:sz w:val="23"/>
          <w:szCs w:val="23"/>
        </w:rPr>
        <w:t>月底开始银行纷纷调降各类存款利率，6</w:t>
      </w:r>
      <w:r>
        <w:rPr>
          <w:color w:val="222222"/>
          <w:spacing w:val="-4"/>
          <w:sz w:val="23"/>
          <w:szCs w:val="23"/>
        </w:rPr>
        <w:t xml:space="preserve"> </w:t>
      </w:r>
      <w:r>
        <w:rPr>
          <w:color w:val="222222"/>
          <w:spacing w:val="-4"/>
          <w:sz w:val="23"/>
          <w:szCs w:val="23"/>
        </w:rPr>
        <w:t>月央行又下调了</w:t>
      </w:r>
      <w:r>
        <w:rPr>
          <w:color w:val="222222"/>
          <w:sz w:val="23"/>
          <w:szCs w:val="23"/>
        </w:rPr>
        <w:t xml:space="preserve"> </w:t>
      </w:r>
      <w:r>
        <w:rPr>
          <w:color w:val="222222"/>
          <w:spacing w:val="-1"/>
          <w:sz w:val="23"/>
          <w:szCs w:val="23"/>
        </w:rPr>
        <w:t>OMO</w:t>
      </w:r>
      <w:r>
        <w:rPr>
          <w:color w:val="222222"/>
          <w:spacing w:val="-34"/>
          <w:sz w:val="23"/>
          <w:szCs w:val="23"/>
        </w:rPr>
        <w:t xml:space="preserve"> </w:t>
      </w:r>
      <w:r>
        <w:rPr>
          <w:color w:val="222222"/>
          <w:spacing w:val="-1"/>
          <w:sz w:val="23"/>
          <w:szCs w:val="23"/>
        </w:rPr>
        <w:t>和</w:t>
      </w:r>
      <w:r>
        <w:rPr>
          <w:color w:val="222222"/>
          <w:spacing w:val="-32"/>
          <w:sz w:val="23"/>
          <w:szCs w:val="23"/>
        </w:rPr>
        <w:t xml:space="preserve"> </w:t>
      </w:r>
      <w:r>
        <w:rPr>
          <w:color w:val="222222"/>
          <w:spacing w:val="-1"/>
          <w:sz w:val="23"/>
          <w:szCs w:val="23"/>
        </w:rPr>
        <w:t>MLF</w:t>
      </w:r>
      <w:r>
        <w:rPr>
          <w:color w:val="222222"/>
          <w:spacing w:val="-27"/>
          <w:sz w:val="23"/>
          <w:szCs w:val="23"/>
        </w:rPr>
        <w:t xml:space="preserve"> </w:t>
      </w:r>
      <w:r>
        <w:rPr>
          <w:color w:val="222222"/>
          <w:spacing w:val="-1"/>
          <w:sz w:val="23"/>
          <w:szCs w:val="23"/>
        </w:rPr>
        <w:t>利率等，在强化货币宽松信号的同时，也带来</w:t>
      </w:r>
      <w:r>
        <w:rPr>
          <w:color w:val="222222"/>
          <w:spacing w:val="-2"/>
          <w:sz w:val="23"/>
          <w:szCs w:val="23"/>
        </w:rPr>
        <w:t>了资金面</w:t>
      </w:r>
      <w:r>
        <w:rPr>
          <w:color w:val="222222"/>
          <w:sz w:val="23"/>
          <w:szCs w:val="23"/>
        </w:rPr>
        <w:t xml:space="preserve"> </w:t>
      </w:r>
      <w:r>
        <w:rPr>
          <w:color w:val="222222"/>
          <w:spacing w:val="7"/>
          <w:sz w:val="23"/>
          <w:szCs w:val="23"/>
        </w:rPr>
        <w:t>的持续宽松。加之股市下跌、海外风险事件引发避险情绪升温等</w:t>
      </w:r>
      <w:r>
        <w:rPr>
          <w:color w:val="222222"/>
          <w:spacing w:val="12"/>
          <w:sz w:val="23"/>
          <w:szCs w:val="23"/>
        </w:rPr>
        <w:t xml:space="preserve"> </w:t>
      </w:r>
      <w:r>
        <w:rPr>
          <w:color w:val="222222"/>
          <w:spacing w:val="7"/>
          <w:sz w:val="23"/>
          <w:szCs w:val="23"/>
        </w:rPr>
        <w:t>利好因素，这一阶段债市持续走牛，收益率曲线陡峭化下移，10</w:t>
      </w:r>
    </w:p>
    <w:p>
      <w:pPr>
        <w:pStyle w:val="BodyText"/>
        <w:spacing w:line="214" w:lineRule="auto"/>
        <w:ind w:left="3002"/>
        <w:rPr>
          <w:sz w:val="23"/>
          <w:szCs w:val="23"/>
        </w:rPr>
      </w:pPr>
      <w:r>
        <w:rPr>
          <w:color w:val="222222"/>
          <w:spacing w:val="-1"/>
          <w:sz w:val="23"/>
          <w:szCs w:val="23"/>
        </w:rPr>
        <w:t>年期国债收益率最低下行至</w:t>
      </w:r>
      <w:r>
        <w:rPr>
          <w:color w:val="222222"/>
          <w:spacing w:val="-49"/>
          <w:sz w:val="23"/>
          <w:szCs w:val="23"/>
        </w:rPr>
        <w:t xml:space="preserve"> </w:t>
      </w:r>
      <w:r>
        <w:rPr>
          <w:color w:val="222222"/>
          <w:spacing w:val="-1"/>
          <w:sz w:val="23"/>
          <w:szCs w:val="23"/>
        </w:rPr>
        <w:t>2.62%。</w:t>
      </w:r>
    </w:p>
    <w:p>
      <w:pPr>
        <w:pStyle w:val="BodyText"/>
        <w:spacing w:before="274" w:line="475" w:lineRule="exact"/>
        <w:ind w:left="3000"/>
        <w:rPr>
          <w:sz w:val="23"/>
          <w:szCs w:val="23"/>
        </w:rPr>
      </w:pPr>
      <w:r>
        <w:rPr>
          <w:color w:val="222222"/>
          <w:spacing w:val="2"/>
          <w:position w:val="18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6</w:t>
      </w:r>
      <w:r>
        <w:rPr>
          <w:color w:val="222222"/>
          <w:spacing w:val="-14"/>
          <w:position w:val="18"/>
          <w:sz w:val="23"/>
          <w:szCs w:val="23"/>
        </w:rPr>
        <w:t xml:space="preserve"> </w:t>
      </w:r>
      <w:r>
        <w:rPr>
          <w:color w:val="222222"/>
          <w:spacing w:val="2"/>
          <w:position w:val="18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月下旬至</w:t>
      </w:r>
      <w:r>
        <w:rPr>
          <w:color w:val="222222"/>
          <w:spacing w:val="-37"/>
          <w:position w:val="18"/>
          <w:sz w:val="23"/>
          <w:szCs w:val="23"/>
        </w:rPr>
        <w:t xml:space="preserve"> </w:t>
      </w:r>
      <w:r>
        <w:rPr>
          <w:color w:val="222222"/>
          <w:spacing w:val="2"/>
          <w:position w:val="18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8</w:t>
      </w:r>
      <w:r>
        <w:rPr>
          <w:color w:val="222222"/>
          <w:spacing w:val="-25"/>
          <w:position w:val="18"/>
          <w:sz w:val="23"/>
          <w:szCs w:val="23"/>
        </w:rPr>
        <w:t xml:space="preserve"> </w:t>
      </w:r>
      <w:r>
        <w:rPr>
          <w:color w:val="222222"/>
          <w:spacing w:val="2"/>
          <w:position w:val="18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月中旬：</w:t>
      </w:r>
      <w:r>
        <w:rPr>
          <w:color w:val="222222"/>
          <w:spacing w:val="2"/>
          <w:position w:val="18"/>
          <w:sz w:val="23"/>
          <w:szCs w:val="23"/>
        </w:rPr>
        <w:t>这一阶段长端利率在“强预期”和“弱现实”</w:t>
      </w:r>
    </w:p>
    <w:p>
      <w:pPr>
        <w:pStyle w:val="BodyText"/>
        <w:spacing w:before="1" w:line="216" w:lineRule="auto"/>
        <w:ind w:left="3015"/>
        <w:rPr>
          <w:sz w:val="23"/>
          <w:szCs w:val="23"/>
        </w:rPr>
      </w:pPr>
      <w:r>
        <w:rPr>
          <w:color w:val="222222"/>
          <w:spacing w:val="-6"/>
          <w:sz w:val="23"/>
          <w:szCs w:val="23"/>
        </w:rPr>
        <w:t>的纠结中震荡下行。</w:t>
      </w:r>
      <w:r>
        <w:rPr>
          <w:color w:val="222222"/>
          <w:spacing w:val="38"/>
          <w:sz w:val="23"/>
          <w:szCs w:val="23"/>
        </w:rPr>
        <w:t xml:space="preserve"> </w:t>
      </w:r>
      <w:r>
        <w:rPr>
          <w:color w:val="222222"/>
          <w:spacing w:val="-6"/>
          <w:sz w:val="23"/>
          <w:szCs w:val="23"/>
        </w:rPr>
        <w:t>6</w:t>
      </w:r>
      <w:r>
        <w:rPr>
          <w:color w:val="222222"/>
          <w:spacing w:val="-6"/>
          <w:sz w:val="23"/>
          <w:szCs w:val="23"/>
        </w:rPr>
        <w:t xml:space="preserve"> </w:t>
      </w:r>
      <w:r>
        <w:rPr>
          <w:color w:val="222222"/>
          <w:spacing w:val="-6"/>
          <w:sz w:val="23"/>
          <w:szCs w:val="23"/>
        </w:rPr>
        <w:t>月中旬国常会提出“研究推动经济持续</w:t>
      </w:r>
      <w:r>
        <w:rPr>
          <w:color w:val="222222"/>
          <w:spacing w:val="-7"/>
          <w:sz w:val="23"/>
          <w:szCs w:val="23"/>
        </w:rPr>
        <w:t>回升</w:t>
      </w:r>
    </w:p>
    <w:p>
      <w:pPr>
        <w:pStyle w:val="BodyText"/>
        <w:spacing w:before="209" w:line="383" w:lineRule="auto"/>
        <w:ind w:left="2999" w:right="1131" w:firstLine="21"/>
        <w:rPr>
          <w:sz w:val="23"/>
          <w:szCs w:val="23"/>
        </w:rPr>
      </w:pPr>
      <w:r>
        <w:rPr>
          <w:color w:val="222222"/>
          <w:spacing w:val="-2"/>
          <w:sz w:val="23"/>
          <w:szCs w:val="23"/>
        </w:rPr>
        <w:t>向好的一批政策措施”，推升稳增长政策预期，加之机构止盈需求</w:t>
      </w:r>
      <w:r>
        <w:rPr>
          <w:color w:val="222222"/>
          <w:spacing w:val="16"/>
          <w:sz w:val="23"/>
          <w:szCs w:val="23"/>
        </w:rPr>
        <w:t xml:space="preserve"> </w:t>
      </w:r>
      <w:r>
        <w:rPr>
          <w:color w:val="222222"/>
          <w:spacing w:val="-1"/>
          <w:sz w:val="23"/>
          <w:szCs w:val="23"/>
        </w:rPr>
        <w:t>升温，债市有所回调，10</w:t>
      </w:r>
      <w:r>
        <w:rPr>
          <w:color w:val="222222"/>
          <w:spacing w:val="-42"/>
          <w:sz w:val="23"/>
          <w:szCs w:val="23"/>
        </w:rPr>
        <w:t xml:space="preserve"> </w:t>
      </w:r>
      <w:r>
        <w:rPr>
          <w:color w:val="222222"/>
          <w:spacing w:val="-1"/>
          <w:sz w:val="23"/>
          <w:szCs w:val="23"/>
        </w:rPr>
        <w:t>年期国债收益率一度回升至</w:t>
      </w:r>
      <w:r>
        <w:rPr>
          <w:color w:val="222222"/>
          <w:spacing w:val="-55"/>
          <w:sz w:val="23"/>
          <w:szCs w:val="23"/>
        </w:rPr>
        <w:t xml:space="preserve"> </w:t>
      </w:r>
      <w:r>
        <w:rPr>
          <w:color w:val="222222"/>
          <w:spacing w:val="-1"/>
          <w:sz w:val="23"/>
          <w:szCs w:val="23"/>
        </w:rPr>
        <w:t>2.69%。但随</w:t>
      </w:r>
      <w:r>
        <w:rPr>
          <w:color w:val="222222"/>
          <w:sz w:val="23"/>
          <w:szCs w:val="23"/>
        </w:rPr>
        <w:t xml:space="preserve"> </w:t>
      </w:r>
      <w:r>
        <w:rPr>
          <w:color w:val="222222"/>
          <w:spacing w:val="-7"/>
          <w:sz w:val="23"/>
          <w:szCs w:val="23"/>
        </w:rPr>
        <w:t>后因基本面持续偏弱且政策不及预期，利率又转而下行。</w:t>
      </w:r>
      <w:r>
        <w:rPr>
          <w:color w:val="222222"/>
          <w:spacing w:val="40"/>
          <w:sz w:val="23"/>
          <w:szCs w:val="23"/>
        </w:rPr>
        <w:t xml:space="preserve"> </w:t>
      </w:r>
      <w:r>
        <w:rPr>
          <w:color w:val="222222"/>
          <w:spacing w:val="-8"/>
          <w:sz w:val="23"/>
          <w:szCs w:val="23"/>
        </w:rPr>
        <w:t>7</w:t>
      </w:r>
      <w:r>
        <w:rPr>
          <w:color w:val="222222"/>
          <w:spacing w:val="-61"/>
          <w:sz w:val="23"/>
          <w:szCs w:val="23"/>
        </w:rPr>
        <w:t xml:space="preserve"> </w:t>
      </w:r>
      <w:r>
        <w:rPr>
          <w:color w:val="222222"/>
          <w:spacing w:val="-8"/>
          <w:sz w:val="23"/>
          <w:szCs w:val="23"/>
        </w:rPr>
        <w:t>月24</w:t>
      </w:r>
      <w:r>
        <w:rPr>
          <w:color w:val="222222"/>
          <w:spacing w:val="-8"/>
          <w:sz w:val="23"/>
          <w:szCs w:val="23"/>
        </w:rPr>
        <w:t xml:space="preserve"> </w:t>
      </w:r>
      <w:r>
        <w:rPr>
          <w:color w:val="222222"/>
          <w:spacing w:val="-8"/>
          <w:sz w:val="23"/>
          <w:szCs w:val="23"/>
        </w:rPr>
        <w:t>日</w:t>
      </w:r>
      <w:r>
        <w:rPr>
          <w:color w:val="222222"/>
          <w:sz w:val="23"/>
          <w:szCs w:val="23"/>
        </w:rPr>
        <w:t xml:space="preserve"> </w:t>
      </w:r>
      <w:r>
        <w:rPr>
          <w:color w:val="222222"/>
          <w:spacing w:val="-1"/>
          <w:sz w:val="23"/>
          <w:szCs w:val="23"/>
        </w:rPr>
        <w:t>中央政治局会议释放稳增长信号，再度引发债市回调，但进</w:t>
      </w:r>
      <w:r>
        <w:rPr>
          <w:color w:val="222222"/>
          <w:spacing w:val="-2"/>
          <w:sz w:val="23"/>
          <w:szCs w:val="23"/>
        </w:rPr>
        <w:t>入</w:t>
      </w:r>
      <w:r>
        <w:rPr>
          <w:color w:val="222222"/>
          <w:spacing w:val="-55"/>
          <w:sz w:val="23"/>
          <w:szCs w:val="23"/>
        </w:rPr>
        <w:t xml:space="preserve"> </w:t>
      </w:r>
      <w:r>
        <w:rPr>
          <w:color w:val="222222"/>
          <w:spacing w:val="-2"/>
          <w:sz w:val="23"/>
          <w:szCs w:val="23"/>
        </w:rPr>
        <w:t>8</w:t>
      </w:r>
      <w:r>
        <w:rPr>
          <w:color w:val="222222"/>
          <w:spacing w:val="-42"/>
          <w:sz w:val="23"/>
          <w:szCs w:val="23"/>
        </w:rPr>
        <w:t xml:space="preserve"> </w:t>
      </w:r>
      <w:r>
        <w:rPr>
          <w:color w:val="222222"/>
          <w:spacing w:val="-2"/>
          <w:sz w:val="23"/>
          <w:szCs w:val="23"/>
        </w:rPr>
        <w:t>月</w:t>
      </w:r>
      <w:r>
        <w:rPr>
          <w:color w:val="222222"/>
          <w:sz w:val="23"/>
          <w:szCs w:val="23"/>
        </w:rPr>
        <w:t xml:space="preserve"> </w:t>
      </w:r>
      <w:r>
        <w:rPr>
          <w:color w:val="222222"/>
          <w:spacing w:val="-4"/>
          <w:sz w:val="23"/>
          <w:szCs w:val="23"/>
        </w:rPr>
        <w:t>后，由于</w:t>
      </w:r>
      <w:r>
        <w:rPr>
          <w:color w:val="222222"/>
          <w:spacing w:val="-4"/>
          <w:sz w:val="23"/>
          <w:szCs w:val="23"/>
        </w:rPr>
        <w:t xml:space="preserve"> </w:t>
      </w:r>
      <w:r>
        <w:rPr>
          <w:color w:val="222222"/>
          <w:spacing w:val="-4"/>
          <w:sz w:val="23"/>
          <w:szCs w:val="23"/>
        </w:rPr>
        <w:t>7</w:t>
      </w:r>
      <w:r>
        <w:rPr>
          <w:color w:val="222222"/>
          <w:spacing w:val="-4"/>
          <w:sz w:val="23"/>
          <w:szCs w:val="23"/>
        </w:rPr>
        <w:t xml:space="preserve"> </w:t>
      </w:r>
      <w:r>
        <w:rPr>
          <w:color w:val="222222"/>
          <w:spacing w:val="-4"/>
          <w:sz w:val="23"/>
          <w:szCs w:val="23"/>
        </w:rPr>
        <w:t>月经济、金融数据不及预期，“弱现实”再占</w:t>
      </w:r>
      <w:r>
        <w:rPr>
          <w:color w:val="222222"/>
          <w:spacing w:val="-5"/>
          <w:sz w:val="23"/>
          <w:szCs w:val="23"/>
        </w:rPr>
        <w:t>上风，加</w:t>
      </w:r>
      <w:r>
        <w:rPr>
          <w:color w:val="222222"/>
          <w:sz w:val="23"/>
          <w:szCs w:val="23"/>
        </w:rPr>
        <w:t xml:space="preserve"> </w:t>
      </w:r>
      <w:r>
        <w:rPr>
          <w:color w:val="222222"/>
          <w:spacing w:val="-9"/>
          <w:sz w:val="23"/>
          <w:szCs w:val="23"/>
        </w:rPr>
        <w:t>之央行意外降息，利率快速下行，</w:t>
      </w:r>
      <w:r>
        <w:rPr>
          <w:color w:val="222222"/>
          <w:spacing w:val="70"/>
          <w:sz w:val="23"/>
          <w:szCs w:val="23"/>
        </w:rPr>
        <w:t xml:space="preserve"> </w:t>
      </w:r>
      <w:r>
        <w:rPr>
          <w:color w:val="222222"/>
          <w:spacing w:val="-9"/>
          <w:sz w:val="23"/>
          <w:szCs w:val="23"/>
        </w:rPr>
        <w:t>10</w:t>
      </w:r>
      <w:r>
        <w:rPr>
          <w:color w:val="222222"/>
          <w:spacing w:val="-38"/>
          <w:sz w:val="23"/>
          <w:szCs w:val="23"/>
        </w:rPr>
        <w:t xml:space="preserve"> </w:t>
      </w:r>
      <w:r>
        <w:rPr>
          <w:color w:val="222222"/>
          <w:spacing w:val="-9"/>
          <w:sz w:val="23"/>
          <w:szCs w:val="23"/>
        </w:rPr>
        <w:t>年期国债收益率在</w:t>
      </w:r>
      <w:r>
        <w:rPr>
          <w:color w:val="222222"/>
          <w:spacing w:val="-41"/>
          <w:sz w:val="23"/>
          <w:szCs w:val="23"/>
        </w:rPr>
        <w:t xml:space="preserve"> </w:t>
      </w:r>
      <w:r>
        <w:rPr>
          <w:color w:val="222222"/>
          <w:spacing w:val="-9"/>
          <w:sz w:val="23"/>
          <w:szCs w:val="23"/>
        </w:rPr>
        <w:t>8</w:t>
      </w:r>
      <w:r>
        <w:rPr>
          <w:color w:val="222222"/>
          <w:spacing w:val="-28"/>
          <w:sz w:val="23"/>
          <w:szCs w:val="23"/>
        </w:rPr>
        <w:t xml:space="preserve"> </w:t>
      </w:r>
      <w:r>
        <w:rPr>
          <w:color w:val="222222"/>
          <w:spacing w:val="-9"/>
          <w:sz w:val="23"/>
          <w:szCs w:val="23"/>
        </w:rPr>
        <w:t>月</w:t>
      </w:r>
      <w:r>
        <w:rPr>
          <w:color w:val="222222"/>
          <w:spacing w:val="-40"/>
          <w:sz w:val="23"/>
          <w:szCs w:val="23"/>
        </w:rPr>
        <w:t xml:space="preserve"> </w:t>
      </w:r>
      <w:r>
        <w:rPr>
          <w:color w:val="222222"/>
          <w:spacing w:val="-9"/>
          <w:sz w:val="23"/>
          <w:szCs w:val="23"/>
        </w:rPr>
        <w:t>2</w:t>
      </w:r>
      <w:r>
        <w:rPr>
          <w:color w:val="222222"/>
          <w:spacing w:val="-10"/>
          <w:sz w:val="23"/>
          <w:szCs w:val="23"/>
        </w:rPr>
        <w:t>1</w:t>
      </w:r>
      <w:r>
        <w:rPr>
          <w:color w:val="222222"/>
          <w:spacing w:val="-10"/>
          <w:sz w:val="23"/>
          <w:szCs w:val="23"/>
        </w:rPr>
        <w:t xml:space="preserve"> </w:t>
      </w:r>
      <w:r>
        <w:rPr>
          <w:color w:val="222222"/>
          <w:spacing w:val="-10"/>
          <w:sz w:val="23"/>
          <w:szCs w:val="23"/>
        </w:rPr>
        <w:t>日</w:t>
      </w:r>
      <w:r>
        <w:rPr>
          <w:color w:val="222222"/>
          <w:sz w:val="23"/>
          <w:szCs w:val="23"/>
        </w:rPr>
        <w:t xml:space="preserve"> </w:t>
      </w:r>
      <w:r>
        <w:rPr>
          <w:color w:val="222222"/>
          <w:sz w:val="23"/>
          <w:szCs w:val="23"/>
        </w:rPr>
        <w:t>降至</w:t>
      </w:r>
      <w:r>
        <w:rPr>
          <w:color w:val="222222"/>
          <w:sz w:val="23"/>
          <w:szCs w:val="23"/>
        </w:rPr>
        <w:t xml:space="preserve"> </w:t>
      </w:r>
      <w:r>
        <w:rPr>
          <w:color w:val="222222"/>
          <w:sz w:val="23"/>
          <w:szCs w:val="23"/>
        </w:rPr>
        <w:t>2.54%的年内最低点。这一阶段</w:t>
      </w:r>
      <w:r>
        <w:rPr>
          <w:color w:val="222222"/>
          <w:spacing w:val="-1"/>
          <w:sz w:val="23"/>
          <w:szCs w:val="23"/>
        </w:rPr>
        <w:t>资金面先宽松后边际收敛，带</w:t>
      </w:r>
    </w:p>
    <w:p>
      <w:pPr>
        <w:pStyle w:val="BodyText"/>
        <w:spacing w:before="1" w:line="212" w:lineRule="auto"/>
        <w:ind w:left="3002"/>
        <w:rPr>
          <w:sz w:val="23"/>
          <w:szCs w:val="23"/>
        </w:rPr>
      </w:pPr>
      <w:r>
        <w:rPr>
          <w:color w:val="222222"/>
          <w:spacing w:val="-1"/>
          <w:sz w:val="23"/>
          <w:szCs w:val="23"/>
        </w:rPr>
        <w:t>动短端利率先下后上，收益率曲线先陡后平。</w:t>
      </w:r>
    </w:p>
    <w:p>
      <w:pPr>
        <w:spacing w:line="212" w:lineRule="auto"/>
        <w:rPr>
          <w:sz w:val="23"/>
          <w:szCs w:val="23"/>
        </w:rPr>
        <w:sectPr>
          <w:headerReference w:type="default" r:id="rId23"/>
          <w:footerReference w:type="default" r:id="rId24"/>
          <w:pgSz w:w="11907" w:h="16839"/>
          <w:pgMar w:top="1863" w:right="0" w:bottom="1432" w:left="1116" w:header="624" w:footer="857" w:gutter="0"/>
          <w:pgNumType w:start="5"/>
          <w:cols w:space="708"/>
        </w:sectPr>
      </w:pPr>
    </w:p>
    <w:p>
      <w:pPr>
        <w:pStyle w:val="BodyText"/>
        <w:spacing w:before="156" w:line="355" w:lineRule="auto"/>
        <w:ind w:left="3001" w:right="1130" w:hanging="576"/>
        <w:rPr>
          <w:sz w:val="23"/>
          <w:szCs w:val="23"/>
        </w:rPr>
      </w:pPr>
      <w:r>
        <w:pict>
          <v:shape id="_x0000_s1032" style="width:144.1pt;height:0.5pt;margin-top:696.94pt;margin-left:56.64pt;mso-position-horizontal-relative:page;mso-position-vertical-relative:page;position:absolute;z-index:251666432" coordorigin="0,0" coordsize="2882,10" o:allowincell="f" path="m,9l2881,9l2881,l,l,9xe" filled="t" fillcolor="black" stroked="f"/>
        </w:pict>
      </w:r>
      <w:r>
        <w:rPr>
          <w:color w:val="222222"/>
          <w:sz w:val="23"/>
          <w:szCs w:val="23"/>
        </w:rPr>
        <w:drawing>
          <wp:inline distT="0" distB="0" distL="0" distR="0">
            <wp:extent cx="120650" cy="120650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22222"/>
          <w:spacing w:val="13"/>
          <w:sz w:val="23"/>
          <w:szCs w:val="23"/>
        </w:rPr>
        <w:t xml:space="preserve">   </w:t>
      </w:r>
      <w:r>
        <w:rPr>
          <w:color w:val="222222"/>
          <w:spacing w:val="-9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8</w:t>
      </w:r>
      <w:r>
        <w:rPr>
          <w:color w:val="222222"/>
          <w:spacing w:val="-9"/>
          <w:sz w:val="23"/>
          <w:szCs w:val="23"/>
        </w:rPr>
        <w:t xml:space="preserve"> </w:t>
      </w:r>
      <w:r>
        <w:rPr>
          <w:color w:val="222222"/>
          <w:spacing w:val="-9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月下旬至</w:t>
      </w:r>
      <w:r>
        <w:rPr>
          <w:color w:val="222222"/>
          <w:spacing w:val="-9"/>
          <w:sz w:val="23"/>
          <w:szCs w:val="23"/>
        </w:rPr>
        <w:t xml:space="preserve"> </w:t>
      </w:r>
      <w:r>
        <w:rPr>
          <w:color w:val="222222"/>
          <w:spacing w:val="-9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10</w:t>
      </w:r>
      <w:r>
        <w:rPr>
          <w:color w:val="222222"/>
          <w:spacing w:val="-9"/>
          <w:sz w:val="23"/>
          <w:szCs w:val="23"/>
        </w:rPr>
        <w:t xml:space="preserve"> </w:t>
      </w:r>
      <w:r>
        <w:rPr>
          <w:color w:val="222222"/>
          <w:spacing w:val="-9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月：</w:t>
      </w:r>
      <w:r>
        <w:rPr>
          <w:color w:val="222222"/>
          <w:spacing w:val="-37"/>
          <w:sz w:val="23"/>
          <w:szCs w:val="23"/>
        </w:rPr>
        <w:t xml:space="preserve"> </w:t>
      </w:r>
      <w:r>
        <w:rPr>
          <w:color w:val="222222"/>
          <w:spacing w:val="-9"/>
          <w:sz w:val="23"/>
          <w:szCs w:val="23"/>
        </w:rPr>
        <w:t>8</w:t>
      </w:r>
      <w:r>
        <w:rPr>
          <w:color w:val="222222"/>
          <w:spacing w:val="-9"/>
          <w:sz w:val="23"/>
          <w:szCs w:val="23"/>
        </w:rPr>
        <w:t xml:space="preserve"> </w:t>
      </w:r>
      <w:r>
        <w:rPr>
          <w:color w:val="222222"/>
          <w:spacing w:val="-9"/>
          <w:sz w:val="23"/>
          <w:szCs w:val="23"/>
        </w:rPr>
        <w:t>月下旬起，</w:t>
      </w:r>
      <w:r>
        <w:rPr>
          <w:color w:val="222222"/>
          <w:spacing w:val="-10"/>
          <w:sz w:val="23"/>
          <w:szCs w:val="23"/>
        </w:rPr>
        <w:t>“稳增长”政策力度持续加大，债</w:t>
      </w:r>
      <w:r>
        <w:rPr>
          <w:color w:val="222222"/>
          <w:sz w:val="23"/>
          <w:szCs w:val="23"/>
        </w:rPr>
        <w:t xml:space="preserve"> </w:t>
      </w:r>
      <w:r>
        <w:rPr>
          <w:color w:val="222222"/>
          <w:spacing w:val="-10"/>
          <w:sz w:val="23"/>
          <w:szCs w:val="23"/>
        </w:rPr>
        <w:t>市预期转向，长端利率开始回调。</w:t>
      </w:r>
      <w:r>
        <w:rPr>
          <w:color w:val="222222"/>
          <w:spacing w:val="33"/>
          <w:sz w:val="23"/>
          <w:szCs w:val="23"/>
        </w:rPr>
        <w:t xml:space="preserve"> </w:t>
      </w:r>
      <w:r>
        <w:rPr>
          <w:color w:val="222222"/>
          <w:spacing w:val="-10"/>
          <w:sz w:val="23"/>
          <w:szCs w:val="23"/>
        </w:rPr>
        <w:t>9</w:t>
      </w:r>
      <w:r>
        <w:rPr>
          <w:color w:val="222222"/>
          <w:spacing w:val="-10"/>
          <w:sz w:val="23"/>
          <w:szCs w:val="23"/>
        </w:rPr>
        <w:t xml:space="preserve"> </w:t>
      </w:r>
      <w:r>
        <w:rPr>
          <w:color w:val="222222"/>
          <w:spacing w:val="-10"/>
          <w:sz w:val="23"/>
          <w:szCs w:val="23"/>
        </w:rPr>
        <w:t>月以来，</w:t>
      </w:r>
      <w:r>
        <w:rPr>
          <w:color w:val="222222"/>
          <w:spacing w:val="26"/>
          <w:sz w:val="23"/>
          <w:szCs w:val="23"/>
        </w:rPr>
        <w:t xml:space="preserve"> </w:t>
      </w:r>
      <w:r>
        <w:rPr>
          <w:color w:val="222222"/>
          <w:spacing w:val="-10"/>
          <w:sz w:val="23"/>
          <w:szCs w:val="23"/>
        </w:rPr>
        <w:t>受稳地产政策</w:t>
      </w:r>
      <w:r>
        <w:rPr>
          <w:color w:val="222222"/>
          <w:spacing w:val="-11"/>
          <w:sz w:val="23"/>
          <w:szCs w:val="23"/>
        </w:rPr>
        <w:t>逐步落</w:t>
      </w:r>
      <w:r>
        <w:rPr>
          <w:color w:val="222222"/>
          <w:sz w:val="23"/>
          <w:szCs w:val="23"/>
        </w:rPr>
        <w:t xml:space="preserve"> </w:t>
      </w:r>
      <w:r>
        <w:rPr>
          <w:color w:val="222222"/>
          <w:spacing w:val="7"/>
          <w:sz w:val="23"/>
          <w:szCs w:val="23"/>
        </w:rPr>
        <w:t>地，经济金融数据超预期，特殊再融资债巨量发行带动资金面持</w:t>
      </w:r>
      <w:r>
        <w:rPr>
          <w:color w:val="222222"/>
          <w:spacing w:val="9"/>
          <w:sz w:val="23"/>
          <w:szCs w:val="23"/>
        </w:rPr>
        <w:t xml:space="preserve"> </w:t>
      </w:r>
      <w:r>
        <w:rPr>
          <w:color w:val="222222"/>
          <w:spacing w:val="-7"/>
          <w:sz w:val="23"/>
          <w:szCs w:val="23"/>
        </w:rPr>
        <w:t>续偏紧，以及增发</w:t>
      </w:r>
      <w:r>
        <w:rPr>
          <w:color w:val="222222"/>
          <w:spacing w:val="-7"/>
          <w:sz w:val="23"/>
          <w:szCs w:val="23"/>
        </w:rPr>
        <w:t xml:space="preserve"> </w:t>
      </w:r>
      <w:r>
        <w:rPr>
          <w:color w:val="222222"/>
          <w:spacing w:val="-7"/>
          <w:sz w:val="23"/>
          <w:szCs w:val="23"/>
        </w:rPr>
        <w:t>1</w:t>
      </w:r>
      <w:r>
        <w:rPr>
          <w:color w:val="222222"/>
          <w:spacing w:val="-7"/>
          <w:sz w:val="23"/>
          <w:szCs w:val="23"/>
        </w:rPr>
        <w:t xml:space="preserve"> </w:t>
      </w:r>
      <w:r>
        <w:rPr>
          <w:color w:val="222222"/>
          <w:spacing w:val="-7"/>
          <w:sz w:val="23"/>
          <w:szCs w:val="23"/>
        </w:rPr>
        <w:t>万亿国债影响，长端利率持续回</w:t>
      </w:r>
      <w:r>
        <w:rPr>
          <w:color w:val="222222"/>
          <w:spacing w:val="-8"/>
          <w:sz w:val="23"/>
          <w:szCs w:val="23"/>
        </w:rPr>
        <w:t>升，</w:t>
      </w:r>
      <w:r>
        <w:rPr>
          <w:color w:val="222222"/>
          <w:spacing w:val="-8"/>
          <w:sz w:val="23"/>
          <w:szCs w:val="23"/>
        </w:rPr>
        <w:t xml:space="preserve">  </w:t>
      </w:r>
      <w:r>
        <w:rPr>
          <w:color w:val="222222"/>
          <w:spacing w:val="-8"/>
          <w:sz w:val="23"/>
          <w:szCs w:val="23"/>
        </w:rPr>
        <w:t>10</w:t>
      </w:r>
      <w:r>
        <w:rPr>
          <w:color w:val="222222"/>
          <w:spacing w:val="-8"/>
          <w:sz w:val="23"/>
          <w:szCs w:val="23"/>
        </w:rPr>
        <w:t xml:space="preserve"> </w:t>
      </w:r>
      <w:r>
        <w:rPr>
          <w:color w:val="222222"/>
          <w:spacing w:val="-8"/>
          <w:sz w:val="23"/>
          <w:szCs w:val="23"/>
        </w:rPr>
        <w:t>年期</w:t>
      </w:r>
      <w:r>
        <w:rPr>
          <w:color w:val="222222"/>
          <w:sz w:val="23"/>
          <w:szCs w:val="23"/>
        </w:rPr>
        <w:t xml:space="preserve"> </w:t>
      </w:r>
      <w:r>
        <w:rPr>
          <w:color w:val="222222"/>
          <w:spacing w:val="-1"/>
          <w:sz w:val="23"/>
          <w:szCs w:val="23"/>
        </w:rPr>
        <w:t>国债收益率最高上行至</w:t>
      </w:r>
      <w:r>
        <w:rPr>
          <w:color w:val="222222"/>
          <w:spacing w:val="-1"/>
          <w:sz w:val="23"/>
          <w:szCs w:val="23"/>
        </w:rPr>
        <w:t xml:space="preserve"> </w:t>
      </w:r>
      <w:r>
        <w:rPr>
          <w:color w:val="222222"/>
          <w:spacing w:val="-1"/>
          <w:sz w:val="23"/>
          <w:szCs w:val="23"/>
        </w:rPr>
        <w:t>2.72%。同期，资金面收紧亦驱动短端利率</w:t>
      </w:r>
      <w:r>
        <w:rPr>
          <w:color w:val="222222"/>
          <w:spacing w:val="17"/>
          <w:sz w:val="23"/>
          <w:szCs w:val="23"/>
        </w:rPr>
        <w:t xml:space="preserve"> </w:t>
      </w:r>
      <w:r>
        <w:rPr>
          <w:color w:val="222222"/>
          <w:spacing w:val="-2"/>
          <w:sz w:val="23"/>
          <w:szCs w:val="23"/>
        </w:rPr>
        <w:t>快速上行，且上行幅度大于长端，债市呈现“熊平”行情。</w:t>
      </w:r>
    </w:p>
    <w:p>
      <w:pPr>
        <w:pStyle w:val="BodyText"/>
        <w:spacing w:before="270" w:line="365" w:lineRule="auto"/>
        <w:ind w:left="2992" w:right="940" w:hanging="567"/>
        <w:rPr>
          <w:sz w:val="23"/>
          <w:szCs w:val="23"/>
        </w:rPr>
      </w:pPr>
      <w:r>
        <w:rPr>
          <w:color w:val="222222"/>
          <w:sz w:val="23"/>
          <w:szCs w:val="23"/>
        </w:rPr>
        <w:drawing>
          <wp:inline distT="0" distB="0" distL="0" distR="0">
            <wp:extent cx="120650" cy="12001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0650" cy="12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22222"/>
          <w:spacing w:val="23"/>
          <w:sz w:val="23"/>
          <w:szCs w:val="23"/>
        </w:rPr>
        <w:t xml:space="preserve">   </w:t>
      </w:r>
      <w:r>
        <w:rPr>
          <w:color w:val="222222"/>
          <w:spacing w:val="-5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11</w:t>
      </w:r>
      <w:r>
        <w:rPr>
          <w:color w:val="222222"/>
          <w:spacing w:val="-5"/>
          <w:sz w:val="23"/>
          <w:szCs w:val="23"/>
        </w:rPr>
        <w:t xml:space="preserve"> </w:t>
      </w:r>
      <w:r>
        <w:rPr>
          <w:color w:val="222222"/>
          <w:spacing w:val="-5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月-12</w:t>
      </w:r>
      <w:r>
        <w:rPr>
          <w:color w:val="222222"/>
          <w:spacing w:val="-5"/>
          <w:sz w:val="23"/>
          <w:szCs w:val="23"/>
        </w:rPr>
        <w:t xml:space="preserve"> </w:t>
      </w:r>
      <w:r>
        <w:rPr>
          <w:color w:val="222222"/>
          <w:spacing w:val="-5"/>
          <w:sz w:val="23"/>
          <w:szCs w:val="23"/>
          <w14:textOutline w14:w="4180">
            <w14:solidFill>
              <w14:srgbClr w14:val="222222"/>
            </w14:solidFill>
            <w14:prstDash w14:val="solid"/>
            <w14:miter w14:lim="10"/>
          </w14:textOutline>
        </w:rPr>
        <w:t>月：</w:t>
      </w:r>
      <w:r>
        <w:rPr>
          <w:color w:val="222222"/>
          <w:spacing w:val="-5"/>
          <w:sz w:val="23"/>
          <w:szCs w:val="23"/>
        </w:rPr>
        <w:t xml:space="preserve"> </w:t>
      </w:r>
      <w:r>
        <w:rPr>
          <w:color w:val="222222"/>
          <w:spacing w:val="-5"/>
          <w:sz w:val="23"/>
          <w:szCs w:val="23"/>
        </w:rPr>
        <w:t>11</w:t>
      </w:r>
      <w:r>
        <w:rPr>
          <w:color w:val="222222"/>
          <w:spacing w:val="-5"/>
          <w:sz w:val="23"/>
          <w:szCs w:val="23"/>
        </w:rPr>
        <w:t xml:space="preserve"> </w:t>
      </w:r>
      <w:r>
        <w:rPr>
          <w:color w:val="222222"/>
          <w:spacing w:val="-5"/>
          <w:sz w:val="23"/>
          <w:szCs w:val="23"/>
        </w:rPr>
        <w:t>月起，受经济再现下行波动，宽货币预期持续升</w:t>
      </w:r>
      <w:r>
        <w:rPr>
          <w:color w:val="222222"/>
          <w:sz w:val="23"/>
          <w:szCs w:val="23"/>
        </w:rPr>
        <w:t xml:space="preserve">  </w:t>
      </w:r>
      <w:r>
        <w:rPr>
          <w:color w:val="222222"/>
          <w:spacing w:val="-3"/>
          <w:sz w:val="23"/>
          <w:szCs w:val="23"/>
        </w:rPr>
        <w:t>温，以及股市下跌等因素提振，长端利率转而下行，截至</w:t>
      </w:r>
      <w:r>
        <w:rPr>
          <w:color w:val="222222"/>
          <w:spacing w:val="-3"/>
          <w:sz w:val="23"/>
          <w:szCs w:val="23"/>
        </w:rPr>
        <w:t xml:space="preserve"> </w:t>
      </w:r>
      <w:r>
        <w:rPr>
          <w:color w:val="222222"/>
          <w:spacing w:val="-3"/>
          <w:sz w:val="23"/>
          <w:szCs w:val="23"/>
        </w:rPr>
        <w:t>12</w:t>
      </w:r>
      <w:r>
        <w:rPr>
          <w:color w:val="222222"/>
          <w:spacing w:val="-8"/>
          <w:sz w:val="23"/>
          <w:szCs w:val="23"/>
        </w:rPr>
        <w:t xml:space="preserve"> </w:t>
      </w:r>
      <w:r>
        <w:rPr>
          <w:color w:val="222222"/>
          <w:spacing w:val="-3"/>
          <w:sz w:val="23"/>
          <w:szCs w:val="23"/>
        </w:rPr>
        <w:t>月</w:t>
      </w:r>
      <w:r>
        <w:rPr>
          <w:color w:val="222222"/>
          <w:spacing w:val="-34"/>
          <w:sz w:val="23"/>
          <w:szCs w:val="23"/>
        </w:rPr>
        <w:t xml:space="preserve"> </w:t>
      </w:r>
      <w:r>
        <w:rPr>
          <w:color w:val="222222"/>
          <w:spacing w:val="-3"/>
          <w:sz w:val="23"/>
          <w:szCs w:val="23"/>
        </w:rPr>
        <w:t>25</w:t>
      </w:r>
      <w:r>
        <w:rPr>
          <w:color w:val="222222"/>
          <w:spacing w:val="-3"/>
          <w:sz w:val="23"/>
          <w:szCs w:val="23"/>
        </w:rPr>
        <w:t xml:space="preserve">  </w:t>
      </w:r>
      <w:r>
        <w:rPr>
          <w:color w:val="222222"/>
          <w:spacing w:val="-5"/>
          <w:sz w:val="23"/>
          <w:szCs w:val="23"/>
        </w:rPr>
        <w:t>日，</w:t>
      </w:r>
      <w:r>
        <w:rPr>
          <w:color w:val="222222"/>
          <w:spacing w:val="-5"/>
          <w:sz w:val="23"/>
          <w:szCs w:val="23"/>
        </w:rPr>
        <w:t xml:space="preserve"> </w:t>
      </w:r>
      <w:r>
        <w:rPr>
          <w:color w:val="222222"/>
          <w:spacing w:val="-5"/>
          <w:sz w:val="23"/>
          <w:szCs w:val="23"/>
        </w:rPr>
        <w:t>10</w:t>
      </w:r>
      <w:r>
        <w:rPr>
          <w:color w:val="222222"/>
          <w:spacing w:val="-49"/>
          <w:sz w:val="23"/>
          <w:szCs w:val="23"/>
        </w:rPr>
        <w:t xml:space="preserve"> </w:t>
      </w:r>
      <w:r>
        <w:rPr>
          <w:color w:val="222222"/>
          <w:spacing w:val="-5"/>
          <w:sz w:val="23"/>
          <w:szCs w:val="23"/>
        </w:rPr>
        <w:t>年期国债收益率已降至</w:t>
      </w:r>
      <w:r>
        <w:rPr>
          <w:color w:val="222222"/>
          <w:spacing w:val="-53"/>
          <w:sz w:val="23"/>
          <w:szCs w:val="23"/>
        </w:rPr>
        <w:t xml:space="preserve"> </w:t>
      </w:r>
      <w:r>
        <w:rPr>
          <w:color w:val="222222"/>
          <w:spacing w:val="-5"/>
          <w:sz w:val="23"/>
          <w:szCs w:val="23"/>
        </w:rPr>
        <w:t>2.57%，接近</w:t>
      </w:r>
      <w:r>
        <w:rPr>
          <w:color w:val="222222"/>
          <w:spacing w:val="-51"/>
          <w:sz w:val="23"/>
          <w:szCs w:val="23"/>
        </w:rPr>
        <w:t xml:space="preserve"> </w:t>
      </w:r>
      <w:r>
        <w:rPr>
          <w:color w:val="222222"/>
          <w:spacing w:val="-5"/>
          <w:sz w:val="23"/>
          <w:szCs w:val="23"/>
        </w:rPr>
        <w:t>8</w:t>
      </w:r>
      <w:r>
        <w:rPr>
          <w:color w:val="222222"/>
          <w:spacing w:val="-43"/>
          <w:sz w:val="23"/>
          <w:szCs w:val="23"/>
        </w:rPr>
        <w:t xml:space="preserve"> </w:t>
      </w:r>
      <w:r>
        <w:rPr>
          <w:color w:val="222222"/>
          <w:spacing w:val="-5"/>
          <w:sz w:val="23"/>
          <w:szCs w:val="23"/>
        </w:rPr>
        <w:t>月超预期降息后达到</w:t>
      </w:r>
      <w:r>
        <w:rPr>
          <w:color w:val="222222"/>
          <w:spacing w:val="-5"/>
          <w:sz w:val="23"/>
          <w:szCs w:val="23"/>
        </w:rPr>
        <w:t xml:space="preserve">  </w:t>
      </w:r>
      <w:r>
        <w:rPr>
          <w:color w:val="222222"/>
          <w:spacing w:val="-9"/>
          <w:sz w:val="23"/>
          <w:szCs w:val="23"/>
        </w:rPr>
        <w:t>的年内最低点。短端利率走势则先上后下，</w:t>
      </w:r>
      <w:r>
        <w:rPr>
          <w:color w:val="222222"/>
          <w:spacing w:val="73"/>
          <w:sz w:val="23"/>
          <w:szCs w:val="23"/>
        </w:rPr>
        <w:t xml:space="preserve"> </w:t>
      </w:r>
      <w:r>
        <w:rPr>
          <w:color w:val="222222"/>
          <w:spacing w:val="-9"/>
          <w:sz w:val="23"/>
          <w:szCs w:val="23"/>
        </w:rPr>
        <w:t>11</w:t>
      </w:r>
      <w:r>
        <w:rPr>
          <w:color w:val="222222"/>
          <w:spacing w:val="-23"/>
          <w:sz w:val="23"/>
          <w:szCs w:val="23"/>
        </w:rPr>
        <w:t xml:space="preserve"> </w:t>
      </w:r>
      <w:r>
        <w:rPr>
          <w:color w:val="222222"/>
          <w:spacing w:val="-9"/>
          <w:sz w:val="23"/>
          <w:szCs w:val="23"/>
        </w:rPr>
        <w:t>月至</w:t>
      </w:r>
      <w:r>
        <w:rPr>
          <w:color w:val="222222"/>
          <w:spacing w:val="-9"/>
          <w:sz w:val="23"/>
          <w:szCs w:val="23"/>
        </w:rPr>
        <w:t xml:space="preserve"> </w:t>
      </w:r>
      <w:r>
        <w:rPr>
          <w:color w:val="222222"/>
          <w:spacing w:val="-9"/>
          <w:sz w:val="23"/>
          <w:szCs w:val="23"/>
        </w:rPr>
        <w:t>12</w:t>
      </w:r>
      <w:r>
        <w:rPr>
          <w:color w:val="222222"/>
          <w:spacing w:val="-9"/>
          <w:sz w:val="23"/>
          <w:szCs w:val="23"/>
        </w:rPr>
        <w:t xml:space="preserve"> </w:t>
      </w:r>
      <w:r>
        <w:rPr>
          <w:color w:val="222222"/>
          <w:spacing w:val="-9"/>
          <w:sz w:val="23"/>
          <w:szCs w:val="23"/>
        </w:rPr>
        <w:t>月上旬，资</w:t>
      </w:r>
      <w:r>
        <w:rPr>
          <w:color w:val="222222"/>
          <w:spacing w:val="-9"/>
          <w:sz w:val="23"/>
          <w:szCs w:val="23"/>
        </w:rPr>
        <w:t xml:space="preserve">  </w:t>
      </w:r>
      <w:r>
        <w:rPr>
          <w:color w:val="222222"/>
          <w:spacing w:val="7"/>
          <w:sz w:val="23"/>
          <w:szCs w:val="23"/>
        </w:rPr>
        <w:t>金价格持续居于高位，特别是同业存单利率在政策利率</w:t>
      </w:r>
      <w:r>
        <w:rPr>
          <w:color w:val="222222"/>
          <w:spacing w:val="6"/>
          <w:sz w:val="23"/>
          <w:szCs w:val="23"/>
        </w:rPr>
        <w:t>上方持续</w:t>
      </w:r>
      <w:r>
        <w:rPr>
          <w:color w:val="222222"/>
          <w:spacing w:val="6"/>
          <w:sz w:val="23"/>
          <w:szCs w:val="23"/>
        </w:rPr>
        <w:t xml:space="preserve">  </w:t>
      </w:r>
      <w:r>
        <w:rPr>
          <w:color w:val="222222"/>
          <w:spacing w:val="-1"/>
          <w:sz w:val="23"/>
          <w:szCs w:val="23"/>
        </w:rPr>
        <w:t>上行，债市短端利率继续冲高，但自</w:t>
      </w:r>
      <w:r>
        <w:rPr>
          <w:color w:val="222222"/>
          <w:spacing w:val="-1"/>
          <w:sz w:val="23"/>
          <w:szCs w:val="23"/>
        </w:rPr>
        <w:t xml:space="preserve"> </w:t>
      </w:r>
      <w:r>
        <w:rPr>
          <w:color w:val="222222"/>
          <w:spacing w:val="-1"/>
          <w:sz w:val="23"/>
          <w:szCs w:val="23"/>
        </w:rPr>
        <w:t>12</w:t>
      </w:r>
      <w:r>
        <w:rPr>
          <w:color w:val="222222"/>
          <w:spacing w:val="-1"/>
          <w:sz w:val="23"/>
          <w:szCs w:val="23"/>
        </w:rPr>
        <w:t xml:space="preserve"> </w:t>
      </w:r>
      <w:r>
        <w:rPr>
          <w:color w:val="222222"/>
          <w:spacing w:val="-1"/>
          <w:sz w:val="23"/>
          <w:szCs w:val="23"/>
        </w:rPr>
        <w:t>月中旬起，央行资金投放</w:t>
      </w:r>
      <w:r>
        <w:rPr>
          <w:color w:val="222222"/>
          <w:spacing w:val="-1"/>
          <w:sz w:val="23"/>
          <w:szCs w:val="23"/>
        </w:rPr>
        <w:t xml:space="preserve">  </w:t>
      </w:r>
      <w:r>
        <w:rPr>
          <w:color w:val="222222"/>
          <w:spacing w:val="-2"/>
          <w:sz w:val="23"/>
          <w:szCs w:val="23"/>
        </w:rPr>
        <w:t>增加，当月</w:t>
      </w:r>
      <w:r>
        <w:rPr>
          <w:color w:val="222222"/>
          <w:spacing w:val="-42"/>
          <w:sz w:val="23"/>
          <w:szCs w:val="23"/>
        </w:rPr>
        <w:t xml:space="preserve"> </w:t>
      </w:r>
      <w:r>
        <w:rPr>
          <w:color w:val="222222"/>
          <w:spacing w:val="-2"/>
          <w:sz w:val="23"/>
          <w:szCs w:val="23"/>
        </w:rPr>
        <w:t>MLF</w:t>
      </w:r>
      <w:r>
        <w:rPr>
          <w:color w:val="222222"/>
          <w:spacing w:val="-35"/>
          <w:sz w:val="23"/>
          <w:szCs w:val="23"/>
        </w:rPr>
        <w:t xml:space="preserve"> </w:t>
      </w:r>
      <w:r>
        <w:rPr>
          <w:color w:val="222222"/>
          <w:spacing w:val="-2"/>
          <w:sz w:val="23"/>
          <w:szCs w:val="23"/>
        </w:rPr>
        <w:t>大幅加量续作，带动资金面转松，短端利率开始回</w:t>
      </w:r>
      <w:r>
        <w:rPr>
          <w:color w:val="222222"/>
          <w:spacing w:val="-2"/>
          <w:sz w:val="23"/>
          <w:szCs w:val="23"/>
        </w:rPr>
        <w:t xml:space="preserve">  </w:t>
      </w:r>
      <w:r>
        <w:rPr>
          <w:color w:val="222222"/>
          <w:spacing w:val="6"/>
          <w:sz w:val="23"/>
          <w:szCs w:val="23"/>
        </w:rPr>
        <w:t>落。这一阶段，随短端利率走势切换，收益率曲线先延续平坦化、</w:t>
      </w:r>
      <w:r>
        <w:rPr>
          <w:color w:val="222222"/>
          <w:spacing w:val="10"/>
          <w:sz w:val="23"/>
          <w:szCs w:val="23"/>
        </w:rPr>
        <w:t xml:space="preserve"> </w:t>
      </w:r>
      <w:r>
        <w:rPr>
          <w:color w:val="222222"/>
          <w:spacing w:val="-4"/>
          <w:sz w:val="23"/>
          <w:szCs w:val="23"/>
        </w:rPr>
        <w:t>后有所走陡。</w:t>
      </w:r>
    </w:p>
    <w:p>
      <w:pPr>
        <w:spacing w:line="436" w:lineRule="auto"/>
        <w:rPr>
          <w:rFonts w:ascii="Arial"/>
          <w:sz w:val="21"/>
        </w:rPr>
      </w:pPr>
    </w:p>
    <w:p>
      <w:pPr>
        <w:spacing w:before="95" w:line="225" w:lineRule="auto"/>
        <w:ind w:left="2435"/>
        <w:rPr>
          <w:rFonts w:ascii="Microsoft YaHei Light" w:eastAsia="Microsoft YaHei Light" w:hAnsi="Microsoft YaHei Light" w:cs="Microsoft YaHei Light"/>
          <w:sz w:val="15"/>
          <w:szCs w:val="15"/>
        </w:rPr>
      </w:pPr>
      <w:r>
        <w:rPr>
          <w:rFonts w:ascii="Microsoft YaHei Light" w:eastAsia="Microsoft YaHei Light" w:hAnsi="Microsoft YaHei Light" w:cs="Microsoft YaHei Light"/>
          <w:color w:val="C00000"/>
          <w:spacing w:val="5"/>
          <w:sz w:val="23"/>
          <w:szCs w:val="23"/>
        </w:rPr>
        <w:t>二、</w:t>
      </w:r>
      <w:r>
        <w:rPr>
          <w:rFonts w:ascii="Microsoft YaHei Light" w:eastAsia="Microsoft YaHei Light" w:hAnsi="Microsoft YaHei Light" w:cs="Microsoft YaHei Light"/>
          <w:color w:val="C00000"/>
          <w:spacing w:val="48"/>
          <w:sz w:val="23"/>
          <w:szCs w:val="23"/>
        </w:rPr>
        <w:t xml:space="preserve"> </w:t>
      </w:r>
      <w:r>
        <w:rPr>
          <w:rFonts w:ascii="Microsoft YaHei Light" w:eastAsia="Microsoft YaHei Light" w:hAnsi="Microsoft YaHei Light" w:cs="Microsoft YaHei Light"/>
          <w:color w:val="C00000"/>
          <w:spacing w:val="5"/>
          <w:sz w:val="23"/>
          <w:szCs w:val="23"/>
        </w:rPr>
        <w:t>2024 年经济基本面展望</w:t>
      </w:r>
      <w:r>
        <w:rPr>
          <w:rFonts w:ascii="Microsoft YaHei Light" w:eastAsia="Microsoft YaHei Light" w:hAnsi="Microsoft YaHei Light" w:cs="Microsoft YaHei Light"/>
          <w:color w:val="C00000"/>
          <w:spacing w:val="5"/>
          <w:position w:val="10"/>
          <w:sz w:val="15"/>
          <w:szCs w:val="15"/>
        </w:rPr>
        <w:t>1</w:t>
      </w:r>
    </w:p>
    <w:p>
      <w:pPr>
        <w:spacing w:line="430" w:lineRule="auto"/>
        <w:rPr>
          <w:rFonts w:ascii="Arial"/>
          <w:sz w:val="21"/>
        </w:rPr>
      </w:pPr>
    </w:p>
    <w:p>
      <w:pPr>
        <w:pStyle w:val="BodyText"/>
        <w:spacing w:before="75" w:line="218" w:lineRule="auto"/>
        <w:ind w:left="2911"/>
        <w:rPr>
          <w:sz w:val="23"/>
          <w:szCs w:val="23"/>
        </w:rPr>
      </w:pPr>
      <w:r>
        <w:rPr>
          <w:color w:val="C00000"/>
          <w:spacing w:val="-5"/>
          <w:sz w:val="23"/>
          <w:szCs w:val="23"/>
          <w14:textOutline w14:w="4180">
            <w14:solidFill>
              <w14:srgbClr w14:val="C00000"/>
            </w14:solidFill>
            <w14:prstDash w14:val="solid"/>
            <w14:miter w14:lim="10"/>
          </w14:textOutline>
        </w:rPr>
        <w:t>（一）经济增长</w:t>
      </w:r>
    </w:p>
    <w:p>
      <w:pPr>
        <w:spacing w:line="284" w:lineRule="auto"/>
        <w:rPr>
          <w:rFonts w:ascii="Arial"/>
          <w:sz w:val="21"/>
        </w:rPr>
      </w:pPr>
    </w:p>
    <w:p>
      <w:pPr>
        <w:pStyle w:val="BodyText"/>
        <w:spacing w:before="75" w:line="383" w:lineRule="auto"/>
        <w:ind w:left="2429" w:right="1130" w:firstLine="462"/>
        <w:jc w:val="both"/>
        <w:rPr>
          <w:sz w:val="23"/>
          <w:szCs w:val="23"/>
        </w:rPr>
      </w:pPr>
      <w:r>
        <w:rPr>
          <w:color w:val="222222"/>
          <w:spacing w:val="2"/>
          <w:sz w:val="23"/>
          <w:szCs w:val="23"/>
        </w:rPr>
        <w:t>2023</w:t>
      </w:r>
      <w:r>
        <w:rPr>
          <w:color w:val="222222"/>
          <w:spacing w:val="2"/>
          <w:sz w:val="23"/>
          <w:szCs w:val="23"/>
        </w:rPr>
        <w:t xml:space="preserve"> </w:t>
      </w:r>
      <w:r>
        <w:rPr>
          <w:color w:val="222222"/>
          <w:spacing w:val="2"/>
          <w:sz w:val="23"/>
          <w:szCs w:val="23"/>
        </w:rPr>
        <w:t>年前三季度，</w:t>
      </w:r>
      <w:r>
        <w:rPr>
          <w:color w:val="222222"/>
          <w:sz w:val="23"/>
          <w:szCs w:val="23"/>
        </w:rPr>
        <w:t>GDP</w:t>
      </w:r>
      <w:r>
        <w:rPr>
          <w:color w:val="222222"/>
          <w:spacing w:val="41"/>
          <w:sz w:val="23"/>
          <w:szCs w:val="23"/>
        </w:rPr>
        <w:t xml:space="preserve"> </w:t>
      </w:r>
      <w:r>
        <w:rPr>
          <w:color w:val="222222"/>
          <w:spacing w:val="2"/>
          <w:sz w:val="23"/>
          <w:szCs w:val="23"/>
        </w:rPr>
        <w:t>累计同比增速为</w:t>
      </w:r>
      <w:r>
        <w:rPr>
          <w:color w:val="222222"/>
          <w:spacing w:val="2"/>
          <w:sz w:val="23"/>
          <w:szCs w:val="23"/>
        </w:rPr>
        <w:t xml:space="preserve"> </w:t>
      </w:r>
      <w:r>
        <w:rPr>
          <w:color w:val="222222"/>
          <w:spacing w:val="2"/>
          <w:sz w:val="23"/>
          <w:szCs w:val="23"/>
        </w:rPr>
        <w:t>5</w:t>
      </w:r>
      <w:r>
        <w:rPr>
          <w:color w:val="222222"/>
          <w:spacing w:val="1"/>
          <w:sz w:val="23"/>
          <w:szCs w:val="23"/>
        </w:rPr>
        <w:t>.2%，预计全年增速将为</w:t>
      </w:r>
      <w:r>
        <w:rPr>
          <w:color w:val="222222"/>
          <w:sz w:val="23"/>
          <w:szCs w:val="23"/>
        </w:rPr>
        <w:t xml:space="preserve"> </w:t>
      </w:r>
      <w:r>
        <w:rPr>
          <w:color w:val="222222"/>
          <w:spacing w:val="-6"/>
          <w:sz w:val="23"/>
          <w:szCs w:val="23"/>
        </w:rPr>
        <w:t>5.3%，较</w:t>
      </w:r>
      <w:r>
        <w:rPr>
          <w:color w:val="222222"/>
          <w:spacing w:val="-38"/>
          <w:sz w:val="23"/>
          <w:szCs w:val="23"/>
        </w:rPr>
        <w:t xml:space="preserve"> </w:t>
      </w:r>
      <w:r>
        <w:rPr>
          <w:color w:val="222222"/>
          <w:spacing w:val="-6"/>
          <w:sz w:val="23"/>
          <w:szCs w:val="23"/>
        </w:rPr>
        <w:t>2022</w:t>
      </w:r>
      <w:r>
        <w:rPr>
          <w:color w:val="222222"/>
          <w:spacing w:val="-35"/>
          <w:sz w:val="23"/>
          <w:szCs w:val="23"/>
        </w:rPr>
        <w:t xml:space="preserve"> </w:t>
      </w:r>
      <w:r>
        <w:rPr>
          <w:color w:val="222222"/>
          <w:spacing w:val="-6"/>
          <w:sz w:val="23"/>
          <w:szCs w:val="23"/>
        </w:rPr>
        <w:t>年加快</w:t>
      </w:r>
      <w:r>
        <w:rPr>
          <w:color w:val="222222"/>
          <w:spacing w:val="-38"/>
          <w:sz w:val="23"/>
          <w:szCs w:val="23"/>
        </w:rPr>
        <w:t xml:space="preserve"> </w:t>
      </w:r>
      <w:r>
        <w:rPr>
          <w:color w:val="222222"/>
          <w:spacing w:val="-6"/>
          <w:sz w:val="23"/>
          <w:szCs w:val="23"/>
        </w:rPr>
        <w:t>2.3</w:t>
      </w:r>
      <w:r>
        <w:rPr>
          <w:color w:val="222222"/>
          <w:spacing w:val="-41"/>
          <w:sz w:val="23"/>
          <w:szCs w:val="23"/>
        </w:rPr>
        <w:t xml:space="preserve"> </w:t>
      </w:r>
      <w:r>
        <w:rPr>
          <w:color w:val="222222"/>
          <w:spacing w:val="-6"/>
          <w:sz w:val="23"/>
          <w:szCs w:val="23"/>
        </w:rPr>
        <w:t>个百分点。</w:t>
      </w:r>
      <w:r>
        <w:rPr>
          <w:color w:val="222222"/>
          <w:spacing w:val="31"/>
          <w:sz w:val="23"/>
          <w:szCs w:val="23"/>
        </w:rPr>
        <w:t xml:space="preserve"> </w:t>
      </w:r>
      <w:r>
        <w:rPr>
          <w:color w:val="222222"/>
          <w:spacing w:val="-6"/>
          <w:sz w:val="23"/>
          <w:szCs w:val="23"/>
        </w:rPr>
        <w:t>但</w:t>
      </w:r>
      <w:r>
        <w:rPr>
          <w:color w:val="222222"/>
          <w:spacing w:val="-38"/>
          <w:sz w:val="23"/>
          <w:szCs w:val="23"/>
        </w:rPr>
        <w:t xml:space="preserve"> </w:t>
      </w:r>
      <w:r>
        <w:rPr>
          <w:color w:val="222222"/>
          <w:spacing w:val="-6"/>
          <w:sz w:val="23"/>
          <w:szCs w:val="23"/>
        </w:rPr>
        <w:t>2023</w:t>
      </w:r>
      <w:r>
        <w:rPr>
          <w:color w:val="222222"/>
          <w:spacing w:val="-38"/>
          <w:sz w:val="23"/>
          <w:szCs w:val="23"/>
        </w:rPr>
        <w:t xml:space="preserve"> </w:t>
      </w:r>
      <w:r>
        <w:rPr>
          <w:color w:val="222222"/>
          <w:spacing w:val="-6"/>
          <w:sz w:val="23"/>
          <w:szCs w:val="23"/>
        </w:rPr>
        <w:t>年</w:t>
      </w:r>
      <w:r>
        <w:rPr>
          <w:color w:val="222222"/>
          <w:spacing w:val="-37"/>
          <w:sz w:val="23"/>
          <w:szCs w:val="23"/>
        </w:rPr>
        <w:t xml:space="preserve"> </w:t>
      </w:r>
      <w:r>
        <w:rPr>
          <w:color w:val="222222"/>
          <w:spacing w:val="-6"/>
          <w:sz w:val="23"/>
          <w:szCs w:val="23"/>
        </w:rPr>
        <w:t>GDP</w:t>
      </w:r>
      <w:r>
        <w:rPr>
          <w:color w:val="222222"/>
          <w:spacing w:val="-7"/>
          <w:sz w:val="23"/>
          <w:szCs w:val="23"/>
        </w:rPr>
        <w:t xml:space="preserve"> </w:t>
      </w:r>
      <w:r>
        <w:rPr>
          <w:color w:val="222222"/>
          <w:spacing w:val="-7"/>
          <w:sz w:val="23"/>
          <w:szCs w:val="23"/>
        </w:rPr>
        <w:t>同比读数抬升主要</w:t>
      </w:r>
      <w:r>
        <w:rPr>
          <w:color w:val="222222"/>
          <w:sz w:val="23"/>
          <w:szCs w:val="23"/>
        </w:rPr>
        <w:t xml:space="preserve"> </w:t>
      </w:r>
      <w:r>
        <w:rPr>
          <w:color w:val="222222"/>
          <w:spacing w:val="-1"/>
          <w:sz w:val="23"/>
          <w:szCs w:val="23"/>
        </w:rPr>
        <w:t>受低基数拉动，剔除基数扰动，GDP</w:t>
      </w:r>
      <w:r>
        <w:rPr>
          <w:color w:val="222222"/>
          <w:spacing w:val="-1"/>
          <w:sz w:val="23"/>
          <w:szCs w:val="23"/>
        </w:rPr>
        <w:t xml:space="preserve"> </w:t>
      </w:r>
      <w:r>
        <w:rPr>
          <w:color w:val="222222"/>
          <w:spacing w:val="-1"/>
          <w:sz w:val="23"/>
          <w:szCs w:val="23"/>
        </w:rPr>
        <w:t>两年平均增速仅为</w:t>
      </w:r>
      <w:r>
        <w:rPr>
          <w:color w:val="222222"/>
          <w:spacing w:val="-1"/>
          <w:sz w:val="23"/>
          <w:szCs w:val="23"/>
        </w:rPr>
        <w:t xml:space="preserve"> </w:t>
      </w:r>
      <w:r>
        <w:rPr>
          <w:color w:val="222222"/>
          <w:spacing w:val="-1"/>
          <w:sz w:val="23"/>
          <w:szCs w:val="23"/>
        </w:rPr>
        <w:t>4.2%，明显低于</w:t>
      </w:r>
    </w:p>
    <w:p>
      <w:pPr>
        <w:pStyle w:val="BodyText"/>
        <w:spacing w:before="1" w:line="212" w:lineRule="auto"/>
        <w:ind w:left="2439"/>
        <w:rPr>
          <w:sz w:val="23"/>
          <w:szCs w:val="23"/>
        </w:rPr>
      </w:pPr>
      <w:r>
        <w:rPr>
          <w:color w:val="222222"/>
          <w:spacing w:val="-1"/>
          <w:sz w:val="23"/>
          <w:szCs w:val="23"/>
        </w:rPr>
        <w:t>潜在经济增长水平，这也是宏观政策显著加大逆周期调节力度的原因。</w:t>
      </w: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  <w:r>
        <w:rPr>
          <w:rFonts w:ascii="Arial"/>
          <w:sz w:val="21"/>
        </w:rPr>
        <w:br/>
      </w:r>
      <w:r>
        <w:rPr>
          <w:rFonts w:ascii="Arial"/>
          <w:sz w:val="21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https://d.book118.com/108141061001006024</w:t>
        </w:r>
      </w:hyperlink>
    </w:p>
    <w:p>
      <w:pPr>
        <w:spacing w:line="284" w:lineRule="auto"/>
        <w:rPr>
          <w:rFonts w:ascii="Arial"/>
          <w:sz w:val="21"/>
        </w:rPr>
      </w:pPr>
    </w:p>
    <w:sectPr>
      <w:headerReference w:type="default" r:id="rId27"/>
      <w:footerReference w:type="default" r:id="rId28"/>
      <w:pgSz w:w="11907" w:h="16839"/>
      <w:pgMar w:top="1863" w:right="0" w:bottom="1432" w:left="1116" w:header="624" w:footer="857" w:gutter="0"/>
      <w:pgNumType w:start="6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35" w:lineRule="auto"/>
      <w:ind w:left="695"/>
      <w:rPr>
        <w:rFonts w:ascii="SimHei" w:eastAsia="SimHei" w:hAnsi="SimHei" w:cs="SimHei"/>
        <w:sz w:val="24"/>
        <w:szCs w:val="24"/>
      </w:rPr>
    </w:pPr>
    <w:r>
      <w:rPr>
        <w:rFonts w:ascii="SimHei" w:eastAsia="SimHei" w:hAnsi="SimHei" w:cs="SimHei"/>
        <w:color w:val="333333"/>
        <w:spacing w:val="-2"/>
        <w:sz w:val="24"/>
        <w:szCs w:val="24"/>
      </w:rPr>
      <w:t>关注东方金诚公众号</w:t>
    </w:r>
  </w:p>
  <w:p>
    <w:pPr>
      <w:spacing w:line="214" w:lineRule="auto"/>
      <w:ind w:left="690"/>
      <w:rPr>
        <w:rFonts w:ascii="SimHei" w:eastAsia="SimHei" w:hAnsi="SimHei" w:cs="SimHei"/>
        <w:sz w:val="24"/>
        <w:szCs w:val="24"/>
      </w:rPr>
    </w:pPr>
    <w:r>
      <w:rPr>
        <w:rFonts w:ascii="SimHei" w:eastAsia="SimHei" w:hAnsi="SimHei" w:cs="SimHei"/>
        <w:color w:val="333333"/>
        <w:spacing w:val="11"/>
        <w:sz w:val="24"/>
        <w:szCs w:val="24"/>
      </w:rPr>
      <w:t>获取</w:t>
    </w:r>
    <w:r>
      <w:rPr>
        <w:rFonts w:ascii="SimHei" w:eastAsia="SimHei" w:hAnsi="SimHei" w:cs="SimHei"/>
        <w:color w:val="333333"/>
        <w:spacing w:val="-67"/>
        <w:sz w:val="24"/>
        <w:szCs w:val="24"/>
      </w:rPr>
      <w:t xml:space="preserve"> </w:t>
    </w:r>
    <w:r>
      <w:rPr>
        <w:rFonts w:ascii="SimHei" w:eastAsia="SimHei" w:hAnsi="SimHei" w:cs="SimHei"/>
        <w:color w:val="333333"/>
        <w:spacing w:val="11"/>
        <w:sz w:val="24"/>
        <w:szCs w:val="24"/>
      </w:rPr>
      <w:t>更</w:t>
    </w:r>
    <w:r>
      <w:rPr>
        <w:rFonts w:ascii="SimHei" w:eastAsia="SimHei" w:hAnsi="SimHei" w:cs="SimHei"/>
        <w:color w:val="333333"/>
        <w:spacing w:val="-65"/>
        <w:sz w:val="24"/>
        <w:szCs w:val="24"/>
      </w:rPr>
      <w:t xml:space="preserve"> </w:t>
    </w:r>
    <w:r>
      <w:rPr>
        <w:rFonts w:ascii="SimHei" w:eastAsia="SimHei" w:hAnsi="SimHei" w:cs="SimHei"/>
        <w:color w:val="333333"/>
        <w:spacing w:val="11"/>
        <w:sz w:val="24"/>
        <w:szCs w:val="24"/>
      </w:rPr>
      <w:t>多研究报</w:t>
    </w:r>
    <w:r>
      <w:rPr>
        <w:rFonts w:ascii="SimHei" w:eastAsia="SimHei" w:hAnsi="SimHei" w:cs="SimHei"/>
        <w:color w:val="333333"/>
        <w:spacing w:val="-71"/>
        <w:sz w:val="24"/>
        <w:szCs w:val="24"/>
      </w:rPr>
      <w:t xml:space="preserve"> </w:t>
    </w:r>
    <w:r>
      <w:rPr>
        <w:rFonts w:ascii="SimHei" w:eastAsia="SimHei" w:hAnsi="SimHei" w:cs="SimHei"/>
        <w:color w:val="333333"/>
        <w:spacing w:val="11"/>
        <w:sz w:val="24"/>
        <w:szCs w:val="24"/>
      </w:rPr>
      <w:t>告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35" w:lineRule="auto"/>
      <w:ind w:left="695"/>
      <w:rPr>
        <w:rFonts w:ascii="SimHei" w:eastAsia="SimHei" w:hAnsi="SimHei" w:cs="SimHei"/>
        <w:sz w:val="24"/>
        <w:szCs w:val="24"/>
      </w:rPr>
    </w:pPr>
    <w:r>
      <w:rPr>
        <w:rFonts w:ascii="SimHei" w:eastAsia="SimHei" w:hAnsi="SimHei" w:cs="SimHei"/>
        <w:color w:val="333333"/>
        <w:spacing w:val="-2"/>
        <w:sz w:val="24"/>
        <w:szCs w:val="24"/>
      </w:rPr>
      <w:t>关注东方金诚公众号</w:t>
    </w:r>
  </w:p>
  <w:p>
    <w:pPr>
      <w:spacing w:line="214" w:lineRule="auto"/>
      <w:ind w:left="690"/>
      <w:rPr>
        <w:rFonts w:ascii="SimHei" w:eastAsia="SimHei" w:hAnsi="SimHei" w:cs="SimHei"/>
        <w:sz w:val="24"/>
        <w:szCs w:val="24"/>
      </w:rPr>
    </w:pPr>
    <w:r>
      <w:rPr>
        <w:rFonts w:ascii="SimHei" w:eastAsia="SimHei" w:hAnsi="SimHei" w:cs="SimHei"/>
        <w:color w:val="333333"/>
        <w:spacing w:val="11"/>
        <w:sz w:val="24"/>
        <w:szCs w:val="24"/>
      </w:rPr>
      <w:t>获取</w:t>
    </w:r>
    <w:r>
      <w:rPr>
        <w:rFonts w:ascii="SimHei" w:eastAsia="SimHei" w:hAnsi="SimHei" w:cs="SimHei"/>
        <w:color w:val="333333"/>
        <w:spacing w:val="-67"/>
        <w:sz w:val="24"/>
        <w:szCs w:val="24"/>
      </w:rPr>
      <w:t xml:space="preserve"> </w:t>
    </w:r>
    <w:r>
      <w:rPr>
        <w:rFonts w:ascii="SimHei" w:eastAsia="SimHei" w:hAnsi="SimHei" w:cs="SimHei"/>
        <w:color w:val="333333"/>
        <w:spacing w:val="11"/>
        <w:sz w:val="24"/>
        <w:szCs w:val="24"/>
      </w:rPr>
      <w:t>更</w:t>
    </w:r>
    <w:r>
      <w:rPr>
        <w:rFonts w:ascii="SimHei" w:eastAsia="SimHei" w:hAnsi="SimHei" w:cs="SimHei"/>
        <w:color w:val="333333"/>
        <w:spacing w:val="-65"/>
        <w:sz w:val="24"/>
        <w:szCs w:val="24"/>
      </w:rPr>
      <w:t xml:space="preserve"> </w:t>
    </w:r>
    <w:r>
      <w:rPr>
        <w:rFonts w:ascii="SimHei" w:eastAsia="SimHei" w:hAnsi="SimHei" w:cs="SimHei"/>
        <w:color w:val="333333"/>
        <w:spacing w:val="11"/>
        <w:sz w:val="24"/>
        <w:szCs w:val="24"/>
      </w:rPr>
      <w:t>多研究报</w:t>
    </w:r>
    <w:r>
      <w:rPr>
        <w:rFonts w:ascii="SimHei" w:eastAsia="SimHei" w:hAnsi="SimHei" w:cs="SimHei"/>
        <w:color w:val="333333"/>
        <w:spacing w:val="-71"/>
        <w:sz w:val="24"/>
        <w:szCs w:val="24"/>
      </w:rPr>
      <w:t xml:space="preserve"> </w:t>
    </w:r>
    <w:r>
      <w:rPr>
        <w:rFonts w:ascii="SimHei" w:eastAsia="SimHei" w:hAnsi="SimHei" w:cs="SimHei"/>
        <w:color w:val="333333"/>
        <w:spacing w:val="11"/>
        <w:sz w:val="24"/>
        <w:szCs w:val="24"/>
      </w:rPr>
      <w:t>告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96" w:after="143" w:line="196" w:lineRule="auto"/>
      <w:ind w:left="7486"/>
      <w:rPr>
        <w:rFonts w:ascii="Arial" w:eastAsia="Arial" w:hAnsi="Arial" w:cs="Arial"/>
        <w:sz w:val="24"/>
        <w:szCs w:val="24"/>
      </w:rPr>
    </w:pPr>
    <w: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1165225</wp:posOffset>
              </wp:positionH>
              <wp:positionV relativeFrom="page">
                <wp:posOffset>9788525</wp:posOffset>
              </wp:positionV>
              <wp:extent cx="228600" cy="359409"/>
              <wp:effectExtent l="0" t="0" r="0" b="0"/>
              <wp:wrapNone/>
              <wp:docPr id="18" name="Rect 1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1165225" y="9788525"/>
                        <a:ext cx="228600" cy="359409"/>
                      </a:xfrm>
                      <a:prstGeom prst="rect">
                        <a:avLst/>
                      </a:prstGeom>
                      <a:solidFill>
                        <a:srgbClr val="C00000">
                          <a:alpha val="69803"/>
                        </a:srgbClr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18" o:spid="_x0000_s2054" style="width:18pt;height:28.3pt;margin-top:770.75pt;margin-left:91.75pt;mso-position-horizontal-relative:page;mso-position-vertical-relative:page;mso-wrap-distance-bottom:0;mso-wrap-distance-left:0;mso-wrap-distance-right:0;mso-wrap-distance-top:0;position:absolute;v-text-anchor:top;z-index:-251658240" o:allowincell="f" fillcolor="#c00000" stroked="f">
              <v:fill opacity="45747f"/>
            </v:rect>
          </w:pict>
        </mc:Fallback>
      </mc:AlternateConten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8.4pt;height:28.35pt;margin-top:0.05pt;margin-left:0.85pt;position:absolute;z-index:251661312" filled="t" fillcolor="#c00000" stroked="f">
          <o:lock v:ext="edit" aspectratio="f"/>
          <v:textbox inset="0,0,0,0">
            <w:txbxContent>
              <w:p>
                <w:pPr>
                  <w:spacing w:before="197" w:line="194" w:lineRule="auto"/>
                  <w:ind w:left="234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FFFFFF"/>
                    <w:sz w:val="24"/>
                    <w:szCs w:val="24"/>
                  </w:rPr>
                  <w:t>1</w:t>
                </w:r>
              </w:p>
            </w:txbxContent>
          </v:textbox>
        </v:shape>
      </w:pict>
    </w: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1477010</wp:posOffset>
          </wp:positionH>
          <wp:positionV relativeFrom="page">
            <wp:posOffset>9782810</wp:posOffset>
          </wp:positionV>
          <wp:extent cx="3253105" cy="359409"/>
          <wp:effectExtent l="0" t="0" r="0" b="0"/>
          <wp:wrapNone/>
          <wp:docPr id="20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 2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3253105" cy="3594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color w:val="666666"/>
        <w:spacing w:val="-1"/>
        <w:sz w:val="24"/>
        <w:szCs w:val="24"/>
      </w:rPr>
      <w:t>www.dfratings.com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96" w:after="143" w:line="196" w:lineRule="auto"/>
      <w:ind w:left="7486"/>
      <w:rPr>
        <w:rFonts w:ascii="Arial" w:eastAsia="Arial" w:hAnsi="Arial" w:cs="Arial"/>
        <w:sz w:val="24"/>
        <w:szCs w:val="24"/>
      </w:rPr>
    </w:pPr>
    <w:r>
      <mc:AlternateContent>
        <mc:Choice Requires="wps">
          <w:drawing>
            <wp:anchor distT="0" distB="0" distL="0" distR="0" simplePos="0" relativeHeight="251663360" behindDoc="1" locked="0" layoutInCell="0" allowOverlap="1">
              <wp:simplePos x="0" y="0"/>
              <wp:positionH relativeFrom="page">
                <wp:posOffset>1165225</wp:posOffset>
              </wp:positionH>
              <wp:positionV relativeFrom="page">
                <wp:posOffset>9788525</wp:posOffset>
              </wp:positionV>
              <wp:extent cx="228600" cy="359409"/>
              <wp:effectExtent l="0" t="0" r="0" b="0"/>
              <wp:wrapNone/>
              <wp:docPr id="1748369816" name="Rect 1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1165225" y="9788525"/>
                        <a:ext cx="228600" cy="359409"/>
                      </a:xfrm>
                      <a:prstGeom prst="rect">
                        <a:avLst/>
                      </a:prstGeom>
                      <a:solidFill>
                        <a:srgbClr val="C00000">
                          <a:alpha val="69803"/>
                        </a:srgbClr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18" o:spid="_x0000_s2057" style="width:18pt;height:28.3pt;margin-top:770.75pt;margin-left:91.75pt;mso-position-horizontal-relative:page;mso-position-vertical-relative:page;mso-wrap-distance-bottom:0;mso-wrap-distance-left:0;mso-wrap-distance-right:0;mso-wrap-distance-top:0;position:absolute;v-text-anchor:top;z-index:-251654144" o:allowincell="f" fillcolor="#c00000" stroked="f">
              <v:fill opacity="45747f"/>
            </v:rect>
          </w:pict>
        </mc:Fallback>
      </mc:AlternateConten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8.4pt;height:28.35pt;margin-top:0.05pt;margin-left:0.85pt;position:absolute;z-index:251665408" filled="t" fillcolor="#c00000" stroked="f">
          <o:lock v:ext="edit" aspectratio="f"/>
          <v:textbox inset="0,0,0,0">
            <w:txbxContent>
              <w:p>
                <w:pPr>
                  <w:spacing w:before="197" w:line="194" w:lineRule="auto"/>
                  <w:ind w:left="234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FFFFFF"/>
                    <w:sz w:val="24"/>
                    <w:szCs w:val="24"/>
                  </w:rPr>
                  <w:t>1</w:t>
                </w:r>
              </w:p>
            </w:txbxContent>
          </v:textbox>
        </v:shape>
      </w:pict>
    </w: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1477010</wp:posOffset>
          </wp:positionH>
          <wp:positionV relativeFrom="page">
            <wp:posOffset>9782810</wp:posOffset>
          </wp:positionV>
          <wp:extent cx="3253105" cy="359409"/>
          <wp:effectExtent l="0" t="0" r="0" b="0"/>
          <wp:wrapNone/>
          <wp:docPr id="730182664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182664" name="IM 2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3253105" cy="3594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color w:val="666666"/>
        <w:spacing w:val="-1"/>
        <w:sz w:val="24"/>
        <w:szCs w:val="24"/>
      </w:rPr>
      <w:t>www.dfratings.com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96" w:after="143" w:line="196" w:lineRule="auto"/>
      <w:ind w:left="7486"/>
      <w:rPr>
        <w:rFonts w:ascii="Arial" w:eastAsia="Arial" w:hAnsi="Arial" w:cs="Arial"/>
        <w:sz w:val="24"/>
        <w:szCs w:val="24"/>
      </w:rPr>
    </w:pPr>
    <w:r>
      <mc:AlternateContent>
        <mc:Choice Requires="wps">
          <w:drawing>
            <wp:anchor distT="0" distB="0" distL="0" distR="0" simplePos="0" relativeHeight="251667456" behindDoc="1" locked="0" layoutInCell="0" allowOverlap="1">
              <wp:simplePos x="0" y="0"/>
              <wp:positionH relativeFrom="page">
                <wp:posOffset>1165225</wp:posOffset>
              </wp:positionH>
              <wp:positionV relativeFrom="page">
                <wp:posOffset>9788525</wp:posOffset>
              </wp:positionV>
              <wp:extent cx="228600" cy="359409"/>
              <wp:effectExtent l="0" t="0" r="0" b="0"/>
              <wp:wrapNone/>
              <wp:docPr id="34" name="Rect 3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1165225" y="9788525"/>
                        <a:ext cx="228600" cy="359409"/>
                      </a:xfrm>
                      <a:prstGeom prst="rect">
                        <a:avLst/>
                      </a:prstGeom>
                      <a:solidFill>
                        <a:srgbClr val="C00000">
                          <a:alpha val="69803"/>
                        </a:srgbClr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34" o:spid="_x0000_s2059" style="width:18pt;height:28.3pt;margin-top:770.75pt;margin-left:91.75pt;mso-position-horizontal-relative:page;mso-position-vertical-relative:page;mso-wrap-distance-bottom:0;mso-wrap-distance-left:0;mso-wrap-distance-right:0;mso-wrap-distance-top:0;position:absolute;v-text-anchor:top;z-index:-251650048" o:allowincell="f" fillcolor="#c00000" stroked="f">
              <v:fill opacity="45747f"/>
            </v:rect>
          </w:pict>
        </mc:Fallback>
      </mc:AlternateConten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8.4pt;height:28.35pt;margin-top:0.05pt;margin-left:0.85pt;position:absolute;z-index:251669504" filled="t" fillcolor="#c00000" stroked="f">
          <o:lock v:ext="edit" aspectratio="f"/>
          <v:textbox inset="0,0,0,0">
            <w:txbxContent>
              <w:p>
                <w:pPr>
                  <w:spacing w:before="197" w:line="194" w:lineRule="auto"/>
                  <w:ind w:left="221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FFFFFF"/>
                    <w:sz w:val="24"/>
                    <w:szCs w:val="24"/>
                  </w:rPr>
                  <w:t>2</w:t>
                </w:r>
              </w:p>
            </w:txbxContent>
          </v:textbox>
        </v:shape>
      </w:pict>
    </w:r>
    <w:r>
      <w:drawing>
        <wp:anchor distT="0" distB="0" distL="0" distR="0" simplePos="0" relativeHeight="251668480" behindDoc="0" locked="0" layoutInCell="0" allowOverlap="1">
          <wp:simplePos x="0" y="0"/>
          <wp:positionH relativeFrom="page">
            <wp:posOffset>1477010</wp:posOffset>
          </wp:positionH>
          <wp:positionV relativeFrom="page">
            <wp:posOffset>9782810</wp:posOffset>
          </wp:positionV>
          <wp:extent cx="3253105" cy="359409"/>
          <wp:effectExtent l="0" t="0" r="0" b="0"/>
          <wp:wrapNone/>
          <wp:docPr id="36" name="IM 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 3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3253105" cy="3594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color w:val="666666"/>
        <w:spacing w:val="-1"/>
        <w:sz w:val="24"/>
        <w:szCs w:val="24"/>
      </w:rPr>
      <w:t>www.dfratings.com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96" w:after="143" w:line="196" w:lineRule="auto"/>
      <w:ind w:left="7486"/>
      <w:rPr>
        <w:rFonts w:ascii="Arial" w:eastAsia="Arial" w:hAnsi="Arial" w:cs="Arial"/>
        <w:sz w:val="24"/>
        <w:szCs w:val="24"/>
      </w:rPr>
    </w:pPr>
    <w:r>
      <mc:AlternateContent>
        <mc:Choice Requires="wps">
          <w:drawing>
            <wp:anchor distT="0" distB="0" distL="0" distR="0" simplePos="0" relativeHeight="251671552" behindDoc="1" locked="0" layoutInCell="0" allowOverlap="1">
              <wp:simplePos x="0" y="0"/>
              <wp:positionH relativeFrom="page">
                <wp:posOffset>1165225</wp:posOffset>
              </wp:positionH>
              <wp:positionV relativeFrom="page">
                <wp:posOffset>9788525</wp:posOffset>
              </wp:positionV>
              <wp:extent cx="228600" cy="359409"/>
              <wp:effectExtent l="0" t="0" r="0" b="0"/>
              <wp:wrapNone/>
              <wp:docPr id="40" name="Rect 4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1165225" y="9788525"/>
                        <a:ext cx="228600" cy="359409"/>
                      </a:xfrm>
                      <a:prstGeom prst="rect">
                        <a:avLst/>
                      </a:prstGeom>
                      <a:solidFill>
                        <a:srgbClr val="C00000">
                          <a:alpha val="69803"/>
                        </a:srgbClr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40" o:spid="_x0000_s2062" style="width:18pt;height:28.3pt;margin-top:770.75pt;margin-left:91.75pt;mso-position-horizontal-relative:page;mso-position-vertical-relative:page;mso-wrap-distance-bottom:0;mso-wrap-distance-left:0;mso-wrap-distance-right:0;mso-wrap-distance-top:0;position:absolute;v-text-anchor:top;z-index:-251645952" o:allowincell="f" fillcolor="#c00000" stroked="f">
              <v:fill opacity="45747f"/>
            </v:rect>
          </w:pict>
        </mc:Fallback>
      </mc:AlternateConten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28.4pt;height:28.35pt;margin-top:0.05pt;margin-left:0.85pt;position:absolute;z-index:251673600" filled="t" fillcolor="#c00000" stroked="f">
          <o:lock v:ext="edit" aspectratio="f"/>
          <v:textbox inset="0,0,0,0">
            <w:txbxContent>
              <w:p>
                <w:pPr>
                  <w:spacing w:before="197" w:line="194" w:lineRule="auto"/>
                  <w:ind w:left="224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FFFFFF"/>
                    <w:sz w:val="24"/>
                    <w:szCs w:val="24"/>
                  </w:rPr>
                  <w:t>3</w:t>
                </w:r>
              </w:p>
            </w:txbxContent>
          </v:textbox>
        </v:shape>
      </w:pict>
    </w:r>
    <w:r>
      <w:drawing>
        <wp:anchor distT="0" distB="0" distL="0" distR="0" simplePos="0" relativeHeight="251672576" behindDoc="0" locked="0" layoutInCell="0" allowOverlap="1">
          <wp:simplePos x="0" y="0"/>
          <wp:positionH relativeFrom="page">
            <wp:posOffset>1477010</wp:posOffset>
          </wp:positionH>
          <wp:positionV relativeFrom="page">
            <wp:posOffset>9782810</wp:posOffset>
          </wp:positionV>
          <wp:extent cx="3253105" cy="359409"/>
          <wp:effectExtent l="0" t="0" r="0" b="0"/>
          <wp:wrapNone/>
          <wp:docPr id="42" name="IM 4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 4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3253105" cy="3594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color w:val="666666"/>
        <w:spacing w:val="-1"/>
        <w:sz w:val="24"/>
        <w:szCs w:val="24"/>
      </w:rPr>
      <w:t>www.dfratings.com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7" w:lineRule="auto"/>
      <w:rPr>
        <w:rFonts w:ascii="Arial"/>
        <w:sz w:val="21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268853" cy="1231900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268853" cy="1231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2286000" cy="10667365"/>
              <wp:effectExtent l="0" t="0" r="0" b="0"/>
              <wp:wrapNone/>
              <wp:docPr id="4" name="Rect 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2286000" cy="1066736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4" o:spid="_x0000_s2049" style="width:180pt;height:839.95pt;margin-top:0;margin-left:0;mso-position-horizontal-relative:page;mso-position-vertical-relative:page;mso-wrap-distance-bottom:0;mso-wrap-distance-left:0;mso-wrap-distance-right:0;mso-wrap-distance-top:0;position:absolute;v-text-anchor:top;z-index:-251658240" o:allowincell="f" fillcolor="#f2f2f2" stroked="f"/>
          </w:pict>
        </mc:Fallback>
      </mc:AlternateContent>
    </w:r>
  </w:p>
  <w:p>
    <w:pPr>
      <w:spacing w:line="257" w:lineRule="auto"/>
      <w:rPr>
        <w:rFonts w:ascii="Arial"/>
        <w:sz w:val="21"/>
      </w:rPr>
    </w:pPr>
  </w:p>
  <w:p>
    <w:pPr>
      <w:spacing w:before="91" w:line="219" w:lineRule="auto"/>
      <w:ind w:left="6446"/>
      <w:rPr>
        <w:rFonts w:ascii="SimHei" w:eastAsia="SimHei" w:hAnsi="SimHei" w:cs="SimHei"/>
        <w:sz w:val="28"/>
        <w:szCs w:val="28"/>
      </w:rPr>
    </w:pPr>
    <w:r>
      <w:rPr>
        <w:rFonts w:ascii="SimHei" w:eastAsia="SimHei" w:hAnsi="SimHei" w:cs="SimHei"/>
        <w:color w:val="C00000"/>
        <w:spacing w:val="-1"/>
        <w:sz w:val="28"/>
        <w:szCs w:val="28"/>
        <w14:textOutline w14:w="5094">
          <w14:solidFill>
            <w14:srgbClr w14:val="C00000"/>
          </w14:solidFill>
          <w14:prstDash w14:val="solid"/>
          <w14:miter w14:lim="10"/>
        </w14:textOutline>
      </w:rPr>
      <w:t>利率中枢仍趋下移</w:t>
    </w:r>
  </w:p>
  <w:p>
    <w:pPr>
      <w:spacing w:before="285" w:line="226" w:lineRule="auto"/>
      <w:ind w:left="7978"/>
      <w:rPr>
        <w:rFonts w:ascii="SimHei" w:eastAsia="SimHei" w:hAnsi="SimHei" w:cs="SimHei"/>
        <w:sz w:val="25"/>
        <w:szCs w:val="25"/>
      </w:rPr>
    </w:pPr>
    <w:r>
      <w:rPr>
        <w:rFonts w:ascii="SimHei" w:eastAsia="SimHei" w:hAnsi="SimHei" w:cs="SimHei"/>
        <w:color w:val="C00000"/>
        <w:spacing w:val="8"/>
        <w:sz w:val="25"/>
        <w:szCs w:val="25"/>
        <w14:textOutline w14:w="4702">
          <w14:solidFill>
            <w14:srgbClr w14:val="C00000"/>
          </w14:solidFill>
          <w14:prstDash w14:val="solid"/>
          <w14:miter w14:lim="10"/>
        </w14:textOutline>
      </w:rPr>
      <w:t>——2024</w:t>
    </w:r>
    <w:r>
      <w:rPr>
        <w:rFonts w:ascii="SimHei" w:eastAsia="SimHei" w:hAnsi="SimHei" w:cs="SimHei"/>
        <w:color w:val="C00000"/>
        <w:spacing w:val="-40"/>
        <w:sz w:val="25"/>
        <w:szCs w:val="25"/>
      </w:rPr>
      <w:t xml:space="preserve"> </w:t>
    </w:r>
    <w:r>
      <w:rPr>
        <w:rFonts w:ascii="SimHei" w:eastAsia="SimHei" w:hAnsi="SimHei" w:cs="SimHei"/>
        <w:color w:val="C00000"/>
        <w:spacing w:val="8"/>
        <w:sz w:val="25"/>
        <w:szCs w:val="25"/>
        <w14:textOutline w14:w="4702">
          <w14:solidFill>
            <w14:srgbClr w14:val="C00000"/>
          </w14:solidFill>
          <w14:prstDash w14:val="solid"/>
          <w14:miter w14:lim="10"/>
        </w14:textOutline>
      </w:rPr>
      <w:t>年利率债市场展望</w:t>
    </w:r>
  </w:p>
  <w:p>
    <w:pPr>
      <w:spacing w:before="312" w:line="18" w:lineRule="exact"/>
      <w:ind w:left="4552"/>
      <w:rPr>
        <w:rFonts w:ascii="DengXian" w:eastAsia="DengXian" w:hAnsi="DengXian" w:cs="DengXian"/>
        <w:sz w:val="21"/>
        <w:szCs w:val="21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594pt;height:14.1pt;margin-top:9.5pt;margin-left:-1pt;position:absolute;z-index:251661312" filled="f" stroked="f">
          <o:lock v:ext="edit" aspectratio="f"/>
          <v:textbox inset="0,0,0,0">
            <w:txbxContent>
              <w:p>
                <w:pPr>
                  <w:tabs>
                    <w:tab w:val="left" w:pos="11859"/>
                  </w:tabs>
                  <w:spacing w:before="20" w:line="241" w:lineRule="exact"/>
                  <w:ind w:left="20"/>
                  <w:rPr>
                    <w:rFonts w:ascii="Arial"/>
                    <w:sz w:val="21"/>
                  </w:rPr>
                </w:pPr>
                <w:r>
                  <w:rPr>
                    <w:rFonts w:ascii="Arial" w:eastAsia="Arial" w:hAnsi="Arial" w:cs="Arial"/>
                    <w:sz w:val="21"/>
                    <w:szCs w:val="21"/>
                    <w:u w:val="single" w:color="auto"/>
                  </w:rPr>
                  <w:tab/>
                </w:r>
              </w:p>
            </w:txbxContent>
          </v:textbox>
        </v:shape>
      </w:pict>
    </w:r>
    <w:r>
      <w:rPr>
        <w:rFonts w:ascii="DengXian" w:eastAsia="DengXian" w:hAnsi="DengXian" w:cs="DengXian"/>
        <w:position w:val="-4"/>
        <w:sz w:val="21"/>
        <w:szCs w:val="21"/>
      </w:rPr>
      <w:t>·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7" w:lineRule="auto"/>
      <w:rPr>
        <w:rFonts w:ascii="Arial"/>
        <w:sz w:val="21"/>
      </w:rPr>
    </w:pP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268853" cy="1231900"/>
          <wp:effectExtent l="0" t="0" r="0" b="0"/>
          <wp:wrapNone/>
          <wp:docPr id="206521726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521726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268853" cy="1231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0" distR="0" simplePos="0" relativeHeight="251663360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2286000" cy="10667365"/>
              <wp:effectExtent l="0" t="0" r="0" b="0"/>
              <wp:wrapNone/>
              <wp:docPr id="1577433193" name="Rect 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2286000" cy="1066736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4" o:spid="_x0000_s2051" style="width:180pt;height:839.95pt;margin-top:0;margin-left:0;mso-position-horizontal-relative:page;mso-position-vertical-relative:page;mso-wrap-distance-bottom:0;mso-wrap-distance-left:0;mso-wrap-distance-right:0;mso-wrap-distance-top:0;position:absolute;v-text-anchor:top;z-index:-251654144" o:allowincell="f" fillcolor="#f2f2f2" stroked="f"/>
          </w:pict>
        </mc:Fallback>
      </mc:AlternateContent>
    </w:r>
  </w:p>
  <w:p>
    <w:pPr>
      <w:spacing w:line="257" w:lineRule="auto"/>
      <w:rPr>
        <w:rFonts w:ascii="Arial"/>
        <w:sz w:val="21"/>
      </w:rPr>
    </w:pPr>
  </w:p>
  <w:p>
    <w:pPr>
      <w:spacing w:before="91" w:line="219" w:lineRule="auto"/>
      <w:ind w:left="6446"/>
      <w:rPr>
        <w:rFonts w:ascii="SimHei" w:eastAsia="SimHei" w:hAnsi="SimHei" w:cs="SimHei"/>
        <w:sz w:val="28"/>
        <w:szCs w:val="28"/>
      </w:rPr>
    </w:pPr>
    <w:r>
      <w:rPr>
        <w:rFonts w:ascii="SimHei" w:eastAsia="SimHei" w:hAnsi="SimHei" w:cs="SimHei"/>
        <w:color w:val="C00000"/>
        <w:spacing w:val="-1"/>
        <w:sz w:val="28"/>
        <w:szCs w:val="28"/>
        <w14:textOutline w14:w="5094">
          <w14:solidFill>
            <w14:srgbClr w14:val="C00000"/>
          </w14:solidFill>
          <w14:prstDash w14:val="solid"/>
          <w14:miter w14:lim="10"/>
        </w14:textOutline>
      </w:rPr>
      <w:t>利率中枢仍趋下移</w:t>
    </w:r>
  </w:p>
  <w:p>
    <w:pPr>
      <w:spacing w:before="285" w:line="226" w:lineRule="auto"/>
      <w:ind w:left="7978"/>
      <w:rPr>
        <w:rFonts w:ascii="SimHei" w:eastAsia="SimHei" w:hAnsi="SimHei" w:cs="SimHei"/>
        <w:sz w:val="25"/>
        <w:szCs w:val="25"/>
      </w:rPr>
    </w:pPr>
    <w:r>
      <w:rPr>
        <w:rFonts w:ascii="SimHei" w:eastAsia="SimHei" w:hAnsi="SimHei" w:cs="SimHei"/>
        <w:color w:val="C00000"/>
        <w:spacing w:val="8"/>
        <w:sz w:val="25"/>
        <w:szCs w:val="25"/>
        <w14:textOutline w14:w="4702">
          <w14:solidFill>
            <w14:srgbClr w14:val="C00000"/>
          </w14:solidFill>
          <w14:prstDash w14:val="solid"/>
          <w14:miter w14:lim="10"/>
        </w14:textOutline>
      </w:rPr>
      <w:t>——2024</w:t>
    </w:r>
    <w:r>
      <w:rPr>
        <w:rFonts w:ascii="SimHei" w:eastAsia="SimHei" w:hAnsi="SimHei" w:cs="SimHei"/>
        <w:color w:val="C00000"/>
        <w:spacing w:val="-40"/>
        <w:sz w:val="25"/>
        <w:szCs w:val="25"/>
      </w:rPr>
      <w:t xml:space="preserve"> </w:t>
    </w:r>
    <w:r>
      <w:rPr>
        <w:rFonts w:ascii="SimHei" w:eastAsia="SimHei" w:hAnsi="SimHei" w:cs="SimHei"/>
        <w:color w:val="C00000"/>
        <w:spacing w:val="8"/>
        <w:sz w:val="25"/>
        <w:szCs w:val="25"/>
        <w14:textOutline w14:w="4702">
          <w14:solidFill>
            <w14:srgbClr w14:val="C00000"/>
          </w14:solidFill>
          <w14:prstDash w14:val="solid"/>
          <w14:miter w14:lim="10"/>
        </w14:textOutline>
      </w:rPr>
      <w:t>年利率债市场展望</w:t>
    </w:r>
  </w:p>
  <w:p>
    <w:pPr>
      <w:spacing w:before="312" w:line="18" w:lineRule="exact"/>
      <w:ind w:left="4552"/>
      <w:rPr>
        <w:rFonts w:ascii="DengXian" w:eastAsia="DengXian" w:hAnsi="DengXian" w:cs="DengXian"/>
        <w:sz w:val="21"/>
        <w:szCs w:val="21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594pt;height:14.1pt;margin-top:9.5pt;margin-left:-1pt;position:absolute;z-index:251665408" filled="f" stroked="f">
          <o:lock v:ext="edit" aspectratio="f"/>
          <v:textbox inset="0,0,0,0">
            <w:txbxContent>
              <w:p>
                <w:pPr>
                  <w:tabs>
                    <w:tab w:val="left" w:pos="11859"/>
                  </w:tabs>
                  <w:spacing w:before="20" w:line="241" w:lineRule="exact"/>
                  <w:ind w:left="20"/>
                  <w:rPr>
                    <w:rFonts w:ascii="Arial"/>
                    <w:sz w:val="21"/>
                  </w:rPr>
                </w:pPr>
                <w:r>
                  <w:rPr>
                    <w:rFonts w:ascii="Arial" w:eastAsia="Arial" w:hAnsi="Arial" w:cs="Arial"/>
                    <w:sz w:val="21"/>
                    <w:szCs w:val="21"/>
                    <w:u w:val="single" w:color="auto"/>
                  </w:rPr>
                  <w:tab/>
                </w:r>
              </w:p>
            </w:txbxContent>
          </v:textbox>
        </v:shape>
      </w:pict>
    </w:r>
    <w:r>
      <w:rPr>
        <w:rFonts w:ascii="DengXian" w:eastAsia="DengXian" w:hAnsi="DengXian" w:cs="DengXian"/>
        <w:position w:val="-4"/>
        <w:sz w:val="21"/>
        <w:szCs w:val="21"/>
      </w:rPr>
      <w:t>·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641" w:lineRule="exact"/>
      <w:ind w:firstLine="5322"/>
    </w:pP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709294</wp:posOffset>
          </wp:positionH>
          <wp:positionV relativeFrom="page">
            <wp:posOffset>440004</wp:posOffset>
          </wp:positionV>
          <wp:extent cx="1518919" cy="341934"/>
          <wp:effectExtent l="0" t="0" r="0" b="0"/>
          <wp:wrapNone/>
          <wp:docPr id="16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 1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18919" cy="3419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position w:val="-1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i2053" type="#_x0000_t202" style="width:273.35pt;height:32.1pt;mso-position-horizontal-relative:char;mso-position-vertical-relative:line" filled="t" fillcolor="#d0000f" stroked="f">
          <o:lock v:ext="edit" aspectratio="f"/>
          <v:textbox inset="0,0,0,0">
            <w:txbxContent>
              <w:p>
                <w:pPr>
                  <w:spacing w:before="214" w:line="220" w:lineRule="auto"/>
                  <w:ind w:left="2966"/>
                  <w:rPr>
                    <w:rFonts w:ascii="SimHei" w:eastAsia="SimHei" w:hAnsi="SimHei" w:cs="SimHei"/>
                    <w:sz w:val="21"/>
                    <w:szCs w:val="21"/>
                  </w:rPr>
                </w:pPr>
                <w:r>
                  <w:rPr>
                    <w:rFonts w:ascii="SimHei" w:eastAsia="SimHei" w:hAnsi="SimHei" w:cs="SimHei"/>
                    <w:color w:val="FFFFFF"/>
                    <w:spacing w:val="-1"/>
                    <w:sz w:val="21"/>
                    <w:szCs w:val="21"/>
                    <w14:textOutline w14:w="3831">
                      <w14:solidFill>
                        <w14:srgbClr w14:val="FFFFFF"/>
                      </w14:solidFill>
                      <w14:prstDash w14:val="solid"/>
                      <w14:miter w14:lim="10"/>
                    </w14:textOutline>
                  </w:rPr>
                  <w:t>2024</w:t>
                </w:r>
                <w:r>
                  <w:rPr>
                    <w:rFonts w:ascii="SimHei" w:eastAsia="SimHei" w:hAnsi="SimHei" w:cs="SimHei"/>
                    <w:color w:val="FFFFFF"/>
                    <w:spacing w:val="-36"/>
                    <w:sz w:val="21"/>
                    <w:szCs w:val="21"/>
                  </w:rPr>
                  <w:t xml:space="preserve"> </w:t>
                </w:r>
                <w:r>
                  <w:rPr>
                    <w:rFonts w:ascii="SimHei" w:eastAsia="SimHei" w:hAnsi="SimHei" w:cs="SimHei"/>
                    <w:color w:val="FFFFFF"/>
                    <w:spacing w:val="-1"/>
                    <w:sz w:val="21"/>
                    <w:szCs w:val="21"/>
                    <w14:textOutline w14:w="3831">
                      <w14:solidFill>
                        <w14:srgbClr w14:val="FFFFFF"/>
                      </w14:solidFill>
                      <w14:prstDash w14:val="solid"/>
                      <w14:miter w14:lim="10"/>
                    </w14:textOutline>
                  </w:rPr>
                  <w:t>年利率债市场展望</w:t>
                </w:r>
              </w:p>
            </w:txbxContent>
          </v:textbox>
          <w10:wrap type="none"/>
        </v:shape>
      </w:pict>
    </w:r>
  </w:p>
  <w:p>
    <w:pPr>
      <w:spacing w:line="272" w:lineRule="auto"/>
      <w:rPr>
        <w:rFonts w:ascii="Arial"/>
        <w:sz w:val="21"/>
      </w:rPr>
    </w:pPr>
  </w:p>
  <w:p>
    <w:pPr>
      <w:spacing w:line="273" w:lineRule="auto"/>
      <w:rPr>
        <w:rFonts w:ascii="Arial"/>
        <w:sz w:val="21"/>
      </w:rPr>
    </w:pPr>
  </w:p>
  <w:p>
    <w:pPr>
      <w:spacing w:before="31" w:line="8" w:lineRule="exact"/>
      <w:ind w:left="31"/>
      <w:rPr>
        <w:rFonts w:ascii="DengXian" w:eastAsia="DengXian" w:hAnsi="DengXian" w:cs="DengXian"/>
        <w:sz w:val="9"/>
        <w:szCs w:val="9"/>
      </w:rPr>
    </w:pPr>
    <w:r>
      <w:rPr>
        <w:rFonts w:ascii="DengXian" w:eastAsia="DengXian" w:hAnsi="DengXian" w:cs="DengXian"/>
        <w:spacing w:val="10"/>
        <w:w w:val="104"/>
        <w:position w:val="-2"/>
        <w:sz w:val="9"/>
        <w:szCs w:val="9"/>
      </w:rPr>
      <w:t>·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641" w:lineRule="exact"/>
      <w:ind w:firstLine="5322"/>
    </w:pPr>
    <w:r>
      <w:drawing>
        <wp:anchor distT="0" distB="0" distL="0" distR="0" simplePos="0" relativeHeight="251667456" behindDoc="0" locked="0" layoutInCell="0" allowOverlap="1">
          <wp:simplePos x="0" y="0"/>
          <wp:positionH relativeFrom="page">
            <wp:posOffset>709294</wp:posOffset>
          </wp:positionH>
          <wp:positionV relativeFrom="page">
            <wp:posOffset>440004</wp:posOffset>
          </wp:positionV>
          <wp:extent cx="1518919" cy="341934"/>
          <wp:effectExtent l="0" t="0" r="0" b="0"/>
          <wp:wrapNone/>
          <wp:docPr id="2035615230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5615230" name="IM 1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18919" cy="3419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position w:val="-1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i2056" type="#_x0000_t202" style="width:273.35pt;height:32.1pt;mso-position-horizontal-relative:char;mso-position-vertical-relative:line" filled="t" fillcolor="#d0000f" stroked="f">
          <o:lock v:ext="edit" aspectratio="f"/>
          <v:textbox inset="0,0,0,0">
            <w:txbxContent>
              <w:p>
                <w:pPr>
                  <w:spacing w:before="214" w:line="220" w:lineRule="auto"/>
                  <w:ind w:left="2966"/>
                  <w:rPr>
                    <w:rFonts w:ascii="SimHei" w:eastAsia="SimHei" w:hAnsi="SimHei" w:cs="SimHei"/>
                    <w:sz w:val="21"/>
                    <w:szCs w:val="21"/>
                  </w:rPr>
                </w:pPr>
                <w:r>
                  <w:rPr>
                    <w:rFonts w:ascii="SimHei" w:eastAsia="SimHei" w:hAnsi="SimHei" w:cs="SimHei"/>
                    <w:color w:val="FFFFFF"/>
                    <w:spacing w:val="-1"/>
                    <w:sz w:val="21"/>
                    <w:szCs w:val="21"/>
                    <w14:textOutline w14:w="3831">
                      <w14:solidFill>
                        <w14:srgbClr w14:val="FFFFFF"/>
                      </w14:solidFill>
                      <w14:prstDash w14:val="solid"/>
                      <w14:miter w14:lim="10"/>
                    </w14:textOutline>
                  </w:rPr>
                  <w:t>2024</w:t>
                </w:r>
                <w:r>
                  <w:rPr>
                    <w:rFonts w:ascii="SimHei" w:eastAsia="SimHei" w:hAnsi="SimHei" w:cs="SimHei"/>
                    <w:color w:val="FFFFFF"/>
                    <w:spacing w:val="-36"/>
                    <w:sz w:val="21"/>
                    <w:szCs w:val="21"/>
                  </w:rPr>
                  <w:t xml:space="preserve"> </w:t>
                </w:r>
                <w:r>
                  <w:rPr>
                    <w:rFonts w:ascii="SimHei" w:eastAsia="SimHei" w:hAnsi="SimHei" w:cs="SimHei"/>
                    <w:color w:val="FFFFFF"/>
                    <w:spacing w:val="-1"/>
                    <w:sz w:val="21"/>
                    <w:szCs w:val="21"/>
                    <w14:textOutline w14:w="3831">
                      <w14:solidFill>
                        <w14:srgbClr w14:val="FFFFFF"/>
                      </w14:solidFill>
                      <w14:prstDash w14:val="solid"/>
                      <w14:miter w14:lim="10"/>
                    </w14:textOutline>
                  </w:rPr>
                  <w:t>年利率债市场展望</w:t>
                </w:r>
              </w:p>
            </w:txbxContent>
          </v:textbox>
          <w10:wrap type="none"/>
        </v:shape>
      </w:pict>
    </w:r>
  </w:p>
  <w:p>
    <w:pPr>
      <w:spacing w:line="272" w:lineRule="auto"/>
      <w:rPr>
        <w:rFonts w:ascii="Arial"/>
        <w:sz w:val="21"/>
      </w:rPr>
    </w:pPr>
  </w:p>
  <w:p>
    <w:pPr>
      <w:spacing w:line="273" w:lineRule="auto"/>
      <w:rPr>
        <w:rFonts w:ascii="Arial"/>
        <w:sz w:val="21"/>
      </w:rPr>
    </w:pPr>
  </w:p>
  <w:p>
    <w:pPr>
      <w:spacing w:before="31" w:line="8" w:lineRule="exact"/>
      <w:ind w:left="31"/>
      <w:rPr>
        <w:rFonts w:ascii="DengXian" w:eastAsia="DengXian" w:hAnsi="DengXian" w:cs="DengXian"/>
        <w:sz w:val="9"/>
        <w:szCs w:val="9"/>
      </w:rPr>
    </w:pPr>
    <w:r>
      <w:rPr>
        <w:rFonts w:ascii="DengXian" w:eastAsia="DengXian" w:hAnsi="DengXian" w:cs="DengXian"/>
        <w:spacing w:val="10"/>
        <w:w w:val="104"/>
        <w:position w:val="-2"/>
        <w:sz w:val="9"/>
        <w:szCs w:val="9"/>
      </w:rPr>
      <w:t>·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641" w:lineRule="exact"/>
      <w:ind w:firstLine="5322"/>
    </w:pPr>
    <w:r>
      <w:drawing>
        <wp:anchor distT="0" distB="0" distL="0" distR="0" simplePos="0" relativeHeight="251668480" behindDoc="0" locked="0" layoutInCell="0" allowOverlap="1">
          <wp:simplePos x="0" y="0"/>
          <wp:positionH relativeFrom="page">
            <wp:posOffset>709294</wp:posOffset>
          </wp:positionH>
          <wp:positionV relativeFrom="page">
            <wp:posOffset>440004</wp:posOffset>
          </wp:positionV>
          <wp:extent cx="1518919" cy="341934"/>
          <wp:effectExtent l="0" t="0" r="0" b="0"/>
          <wp:wrapNone/>
          <wp:docPr id="1503289454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3289454" name="IM 1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18919" cy="3419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position w:val="-1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i2061" type="#_x0000_t202" style="width:273.35pt;height:32.1pt;mso-position-horizontal-relative:char;mso-position-vertical-relative:line" filled="t" fillcolor="#d0000f" stroked="f">
          <o:lock v:ext="edit" aspectratio="f"/>
          <v:textbox inset="0,0,0,0">
            <w:txbxContent>
              <w:p>
                <w:pPr>
                  <w:spacing w:before="214" w:line="220" w:lineRule="auto"/>
                  <w:ind w:left="2966"/>
                  <w:rPr>
                    <w:rFonts w:ascii="SimHei" w:eastAsia="SimHei" w:hAnsi="SimHei" w:cs="SimHei"/>
                    <w:sz w:val="21"/>
                    <w:szCs w:val="21"/>
                  </w:rPr>
                </w:pPr>
                <w:r>
                  <w:rPr>
                    <w:rFonts w:ascii="SimHei" w:eastAsia="SimHei" w:hAnsi="SimHei" w:cs="SimHei"/>
                    <w:color w:val="FFFFFF"/>
                    <w:spacing w:val="-1"/>
                    <w:sz w:val="21"/>
                    <w:szCs w:val="21"/>
                    <w14:textOutline w14:w="3831">
                      <w14:solidFill>
                        <w14:srgbClr w14:val="FFFFFF"/>
                      </w14:solidFill>
                      <w14:prstDash w14:val="solid"/>
                      <w14:miter w14:lim="10"/>
                    </w14:textOutline>
                  </w:rPr>
                  <w:t>2024</w:t>
                </w:r>
                <w:r>
                  <w:rPr>
                    <w:rFonts w:ascii="SimHei" w:eastAsia="SimHei" w:hAnsi="SimHei" w:cs="SimHei"/>
                    <w:color w:val="FFFFFF"/>
                    <w:spacing w:val="-36"/>
                    <w:sz w:val="21"/>
                    <w:szCs w:val="21"/>
                  </w:rPr>
                  <w:t xml:space="preserve"> </w:t>
                </w:r>
                <w:r>
                  <w:rPr>
                    <w:rFonts w:ascii="SimHei" w:eastAsia="SimHei" w:hAnsi="SimHei" w:cs="SimHei"/>
                    <w:color w:val="FFFFFF"/>
                    <w:spacing w:val="-1"/>
                    <w:sz w:val="21"/>
                    <w:szCs w:val="21"/>
                    <w14:textOutline w14:w="3831">
                      <w14:solidFill>
                        <w14:srgbClr w14:val="FFFFFF"/>
                      </w14:solidFill>
                      <w14:prstDash w14:val="solid"/>
                      <w14:miter w14:lim="10"/>
                    </w14:textOutline>
                  </w:rPr>
                  <w:t>年利率债市场展望</w:t>
                </w:r>
              </w:p>
            </w:txbxContent>
          </v:textbox>
          <w10:wrap type="none"/>
        </v:shape>
      </w:pict>
    </w:r>
  </w:p>
  <w:p>
    <w:pPr>
      <w:spacing w:line="272" w:lineRule="auto"/>
      <w:rPr>
        <w:rFonts w:ascii="Arial"/>
        <w:sz w:val="21"/>
      </w:rPr>
    </w:pPr>
  </w:p>
  <w:p>
    <w:pPr>
      <w:spacing w:line="273" w:lineRule="auto"/>
      <w:rPr>
        <w:rFonts w:ascii="Arial"/>
        <w:sz w:val="21"/>
      </w:rPr>
    </w:pPr>
  </w:p>
  <w:p>
    <w:pPr>
      <w:spacing w:before="31" w:line="8" w:lineRule="exact"/>
      <w:ind w:left="31"/>
      <w:rPr>
        <w:rFonts w:ascii="DengXian" w:eastAsia="DengXian" w:hAnsi="DengXian" w:cs="DengXian"/>
        <w:sz w:val="9"/>
        <w:szCs w:val="9"/>
      </w:rPr>
    </w:pPr>
    <w:r>
      <w:rPr>
        <w:rFonts w:ascii="DengXian" w:eastAsia="DengXian" w:hAnsi="DengXian" w:cs="DengXian"/>
        <w:spacing w:val="10"/>
        <w:w w:val="104"/>
        <w:position w:val="-2"/>
        <w:sz w:val="9"/>
        <w:szCs w:val="9"/>
      </w:rPr>
      <w:t>·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641" w:lineRule="exact"/>
      <w:ind w:firstLine="5322"/>
    </w:pPr>
    <w:r>
      <w:drawing>
        <wp:anchor distT="0" distB="0" distL="0" distR="0" simplePos="0" relativeHeight="251669504" behindDoc="0" locked="0" layoutInCell="0" allowOverlap="1">
          <wp:simplePos x="0" y="0"/>
          <wp:positionH relativeFrom="page">
            <wp:posOffset>709294</wp:posOffset>
          </wp:positionH>
          <wp:positionV relativeFrom="page">
            <wp:posOffset>440004</wp:posOffset>
          </wp:positionV>
          <wp:extent cx="1518919" cy="341934"/>
          <wp:effectExtent l="0" t="0" r="0" b="0"/>
          <wp:wrapNone/>
          <wp:docPr id="682646556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2646556" name="IM 1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18919" cy="3419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position w:val="-1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i2064" type="#_x0000_t202" style="width:273.35pt;height:32.1pt;mso-position-horizontal-relative:char;mso-position-vertical-relative:line" filled="t" fillcolor="#d0000f" stroked="f">
          <o:lock v:ext="edit" aspectratio="f"/>
          <v:textbox inset="0,0,0,0">
            <w:txbxContent>
              <w:p>
                <w:pPr>
                  <w:spacing w:before="214" w:line="220" w:lineRule="auto"/>
                  <w:ind w:left="2966"/>
                  <w:rPr>
                    <w:rFonts w:ascii="SimHei" w:eastAsia="SimHei" w:hAnsi="SimHei" w:cs="SimHei"/>
                    <w:sz w:val="21"/>
                    <w:szCs w:val="21"/>
                  </w:rPr>
                </w:pPr>
                <w:r>
                  <w:rPr>
                    <w:rFonts w:ascii="SimHei" w:eastAsia="SimHei" w:hAnsi="SimHei" w:cs="SimHei"/>
                    <w:color w:val="FFFFFF"/>
                    <w:spacing w:val="-1"/>
                    <w:sz w:val="21"/>
                    <w:szCs w:val="21"/>
                    <w14:textOutline w14:w="3831">
                      <w14:solidFill>
                        <w14:srgbClr w14:val="FFFFFF"/>
                      </w14:solidFill>
                      <w14:prstDash w14:val="solid"/>
                      <w14:miter w14:lim="10"/>
                    </w14:textOutline>
                  </w:rPr>
                  <w:t>2024</w:t>
                </w:r>
                <w:r>
                  <w:rPr>
                    <w:rFonts w:ascii="SimHei" w:eastAsia="SimHei" w:hAnsi="SimHei" w:cs="SimHei"/>
                    <w:color w:val="FFFFFF"/>
                    <w:spacing w:val="-36"/>
                    <w:sz w:val="21"/>
                    <w:szCs w:val="21"/>
                  </w:rPr>
                  <w:t xml:space="preserve"> </w:t>
                </w:r>
                <w:r>
                  <w:rPr>
                    <w:rFonts w:ascii="SimHei" w:eastAsia="SimHei" w:hAnsi="SimHei" w:cs="SimHei"/>
                    <w:color w:val="FFFFFF"/>
                    <w:spacing w:val="-1"/>
                    <w:sz w:val="21"/>
                    <w:szCs w:val="21"/>
                    <w14:textOutline w14:w="3831">
                      <w14:solidFill>
                        <w14:srgbClr w14:val="FFFFFF"/>
                      </w14:solidFill>
                      <w14:prstDash w14:val="solid"/>
                      <w14:miter w14:lim="10"/>
                    </w14:textOutline>
                  </w:rPr>
                  <w:t>年利率债市场展望</w:t>
                </w:r>
              </w:p>
            </w:txbxContent>
          </v:textbox>
          <w10:wrap type="none"/>
        </v:shape>
      </w:pict>
    </w:r>
  </w:p>
  <w:p>
    <w:pPr>
      <w:spacing w:line="272" w:lineRule="auto"/>
      <w:rPr>
        <w:rFonts w:ascii="Arial"/>
        <w:sz w:val="21"/>
      </w:rPr>
    </w:pPr>
  </w:p>
  <w:p>
    <w:pPr>
      <w:spacing w:line="273" w:lineRule="auto"/>
      <w:rPr>
        <w:rFonts w:ascii="Arial"/>
        <w:sz w:val="21"/>
      </w:rPr>
    </w:pPr>
  </w:p>
  <w:p>
    <w:pPr>
      <w:spacing w:before="31" w:line="8" w:lineRule="exact"/>
      <w:ind w:left="31"/>
      <w:rPr>
        <w:rFonts w:ascii="DengXian" w:eastAsia="DengXian" w:hAnsi="DengXian" w:cs="DengXian"/>
        <w:sz w:val="9"/>
        <w:szCs w:val="9"/>
      </w:rPr>
    </w:pPr>
    <w:r>
      <w:rPr>
        <w:rFonts w:ascii="DengXian" w:eastAsia="DengXian" w:hAnsi="DengXian" w:cs="DengXian"/>
        <w:spacing w:val="10"/>
        <w:w w:val="104"/>
        <w:position w:val="-2"/>
        <w:sz w:val="9"/>
        <w:szCs w:val="9"/>
      </w:rPr>
      <w:t>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KaiTi" w:eastAsia="KaiTi" w:hAnsi="KaiTi" w:cs="KaiTi"/>
      <w:sz w:val="22"/>
      <w:szCs w:val="22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Microsoft YaHei" w:eastAsia="Microsoft YaHei" w:hAnsi="Microsoft YaHei" w:cs="Microsoft YaHei"/>
      <w:sz w:val="16"/>
      <w:szCs w:val="16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image" Target="media/image8.png" /><Relationship Id="rId15" Type="http://schemas.openxmlformats.org/officeDocument/2006/relationships/image" Target="media/image9.png" /><Relationship Id="rId16" Type="http://schemas.openxmlformats.org/officeDocument/2006/relationships/image" Target="media/image10.jpeg" /><Relationship Id="rId17" Type="http://schemas.openxmlformats.org/officeDocument/2006/relationships/image" Target="media/image11.png" /><Relationship Id="rId18" Type="http://schemas.openxmlformats.org/officeDocument/2006/relationships/image" Target="media/image12.png" /><Relationship Id="rId19" Type="http://schemas.openxmlformats.org/officeDocument/2006/relationships/image" Target="media/image13.png" /><Relationship Id="rId2" Type="http://schemas.openxmlformats.org/officeDocument/2006/relationships/webSettings" Target="webSettings.xml" /><Relationship Id="rId20" Type="http://schemas.openxmlformats.org/officeDocument/2006/relationships/header" Target="header4.xml" /><Relationship Id="rId21" Type="http://schemas.openxmlformats.org/officeDocument/2006/relationships/footer" Target="footer4.xml" /><Relationship Id="rId22" Type="http://schemas.openxmlformats.org/officeDocument/2006/relationships/image" Target="media/image14.png" /><Relationship Id="rId23" Type="http://schemas.openxmlformats.org/officeDocument/2006/relationships/header" Target="header5.xml" /><Relationship Id="rId24" Type="http://schemas.openxmlformats.org/officeDocument/2006/relationships/footer" Target="footer5.xml" /><Relationship Id="rId25" Type="http://schemas.openxmlformats.org/officeDocument/2006/relationships/image" Target="media/image15.png" /><Relationship Id="rId26" Type="http://schemas.openxmlformats.org/officeDocument/2006/relationships/hyperlink" Target="https://d.book118.com/108141061001006024" TargetMode="External" /><Relationship Id="rId27" Type="http://schemas.openxmlformats.org/officeDocument/2006/relationships/header" Target="header6.xml" /><Relationship Id="rId28" Type="http://schemas.openxmlformats.org/officeDocument/2006/relationships/footer" Target="footer6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image" Target="media/image5.png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2024年利率债市场展望</dc:title>
  <dc:creator>若木</dc:creator>
  <cp:keywords>这里是题记</cp:keywords>
  <cp:revision>0</cp:revision>
  <dcterms:created xsi:type="dcterms:W3CDTF">2024-01-06T20:46:25Z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2024-01-06T21:10:00Z</vt:filetime>
  </property>
  <property fmtid="{D5CDD505-2E9C-101B-9397-08002B2CF9AE}" pid="3" name="CRO">
    <vt:lpwstr>wqlLaW5nc29mdCBQREYgdG8gV1BTIDkw</vt:lpwstr>
  </property>
</Properties>
</file>