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2018-2023年山西体育职业学院高职单招（数学／语文／英语）历年常考试题库含答案解析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《马伶传》中的“分宜”“昆山”依次指（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A.分宜人、顾秉谦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B.严嵩、昆山人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C.严嵩、顾秉谦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D.分宜人、昆山人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“不义不暱，厚将崩”出自（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A.《季氏将伐颛臾》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C.《大同》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D.《郑伯克段于鄢》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《短歌行》（其一）的主旨是（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A.感叹人生几何，去日苦多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B.感伤亲朋离散，孤苦无依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C.感慨功业未成，忧从中来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D.渴望招纳贤才，建功立业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下列作品中，通篇采用寓言形式说理的是（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B.《季氏将伐颛臾》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C.《冯谖客孟尝君》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下列关于作家、作品搭配错误的是（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A.鲁迅——《灯下漫笔》、《论毅力》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B.茅盾——《子夜》、《香市》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C.巴金——《爱尔克的灯光》、《家》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D.曹禺——《雷雨》、《日出》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下面不是茅盾的著名短篇小说集的是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A.《春蚕》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B.《沉落集》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C.《泡沫》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D.《烟云集》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下列属于闻一多的作品是（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A.《女神》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B.《北方》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C.《死水》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D.《猛虎集》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柳永《八声甘州（对潇潇暮雨洒江天）》中贯穿全词的句子是（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A.是处红衰翠减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B.惟有长江水，无语东流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C.不忍登高临远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D.叹年来踪迹，何事苦淹留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“既来之，则安之”这句古语出自（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D.《战国策》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《谈时间》主要论述（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A.时间的作用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B.要挽住时光的流逝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C.如何去打发我们所能掌握的尚未逝去的时间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以1870年“普法战争”为背景的小说是（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A.《断魂枪》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B.《米龙老爹》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C.《麦琪的礼物》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D.《苦恼》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《渭南文集》的作者是（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A.杜牧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B.李商隐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C.陆游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小说《风波》的中心情节线索是（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A.九斤老太的五十大寿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B.七斤的飞黄腾达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C.皇帝坐了龙庭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D.辫子事件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奠定郭沫若在中国现代文学史上的地位的是他于1921年出版的诗集（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A.《尝试集》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B.《红烛》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C.《女神》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D.《北方》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https://d.book118.com/115110334330011112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11511033433001111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