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40" w:lineRule="auto"/>
        <w:jc w:val="center"/>
        <w:rPr>
          <w:rFonts w:ascii="黑体" w:eastAsia="黑体" w:hAnsi="黑体" w:cs="Times New Roman"/>
          <w:sz w:val="36"/>
          <w:szCs w:val="36"/>
        </w:rPr>
      </w:pPr>
      <w:bookmarkStart w:id="0" w:name="_Toc21289_WPSOffice_Level1"/>
      <w:bookmarkStart w:id="1" w:name="_Toc31286"/>
    </w:p>
    <w:p>
      <w:pPr>
        <w:spacing w:line="240" w:lineRule="auto"/>
        <w:jc w:val="center"/>
        <w:rPr>
          <w:rFonts w:ascii="黑体" w:eastAsia="黑体" w:hAnsi="黑体" w:cs="Times New Roman"/>
          <w:sz w:val="36"/>
          <w:szCs w:val="36"/>
        </w:rPr>
      </w:pPr>
    </w:p>
    <w:p>
      <w:pPr>
        <w:spacing w:line="240" w:lineRule="auto"/>
        <w:jc w:val="center"/>
        <w:rPr>
          <w:rFonts w:ascii="黑体" w:eastAsia="黑体" w:hAnsi="黑体" w:cs="Times New Roman"/>
          <w:sz w:val="36"/>
          <w:szCs w:val="36"/>
        </w:rPr>
      </w:pPr>
    </w:p>
    <w:p>
      <w:pPr>
        <w:spacing w:line="240" w:lineRule="auto"/>
        <w:jc w:val="center"/>
        <w:rPr>
          <w:rFonts w:ascii="黑体" w:eastAsia="黑体" w:hAnsi="黑体" w:cs="Times New Roman"/>
          <w:sz w:val="36"/>
          <w:szCs w:val="36"/>
        </w:rPr>
      </w:pPr>
    </w:p>
    <w:p>
      <w:pPr>
        <w:spacing w:line="240" w:lineRule="auto"/>
        <w:jc w:val="center"/>
        <w:rPr>
          <w:rFonts w:ascii="黑体" w:eastAsia="黑体" w:hAnsi="黑体" w:cs="Times New Roman"/>
          <w:sz w:val="36"/>
          <w:szCs w:val="36"/>
        </w:rPr>
      </w:pPr>
      <w:bookmarkStart w:id="2" w:name="_GoBack"/>
      <w:bookmarkEnd w:id="2"/>
    </w:p>
    <w:p>
      <w:pPr>
        <w:spacing w:line="240" w:lineRule="auto"/>
        <w:jc w:val="center"/>
        <w:rPr>
          <w:rFonts w:ascii="黑体" w:eastAsia="黑体" w:hAnsi="黑体" w:cs="Times New Roman"/>
          <w:sz w:val="36"/>
          <w:szCs w:val="36"/>
        </w:rPr>
      </w:pPr>
    </w:p>
    <w:tbl>
      <w:tblPr>
        <w:tblStyle w:val="TableNormal"/>
        <w:tblW w:w="623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1"/>
        <w:gridCol w:w="4729"/>
      </w:tblGrid>
      <w:tr>
        <w:tblPrEx>
          <w:tblW w:w="6230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1" w:type="dxa"/>
          </w:tcPr>
          <w:p>
            <w:pPr>
              <w:spacing w:line="240" w:lineRule="auto"/>
              <w:jc w:val="center"/>
              <w:rPr>
                <w:rFonts w:ascii="华文中宋" w:eastAsia="华文中宋" w:hAnsi="华文中宋" w:cs="Times New Roman"/>
                <w:sz w:val="32"/>
                <w:szCs w:val="32"/>
              </w:rPr>
            </w:pPr>
            <w:r>
              <w:rPr>
                <w:rFonts w:ascii="华文中宋" w:eastAsia="华文中宋" w:hAnsi="华文中宋" w:cs="Times New Roman" w:hint="eastAsia"/>
                <w:sz w:val="32"/>
                <w:szCs w:val="32"/>
              </w:rPr>
              <w:t>题    目</w:t>
            </w:r>
          </w:p>
        </w:tc>
        <w:tc>
          <w:tcPr>
            <w:tcW w:w="4729" w:type="dxa"/>
            <w:vAlign w:val="center"/>
          </w:tcPr>
          <w:p>
            <w:pPr>
              <w:spacing w:line="240" w:lineRule="auto"/>
              <w:rPr>
                <w:rFonts w:ascii="华文中宋" w:eastAsia="华文中宋" w:hAnsi="华文中宋" w:cs="Times New Roman"/>
                <w:sz w:val="32"/>
                <w:szCs w:val="32"/>
                <w:u w:val="single"/>
              </w:rPr>
            </w:pPr>
            <w:r>
              <w:rPr>
                <w:rFonts w:ascii="华文中宋" w:eastAsia="华文中宋" w:hAnsi="华文中宋" w:cs="Times New Roman" w:hint="eastAsia"/>
                <w:sz w:val="32"/>
                <w:szCs w:val="32"/>
                <w:u w:val="single"/>
              </w:rPr>
              <w:t>钨镍基葡萄糖电化学传感器研究</w:t>
            </w:r>
          </w:p>
        </w:tc>
      </w:tr>
    </w:tbl>
    <w:p>
      <w:pPr>
        <w:sectPr>
          <w:headerReference w:type="default" r:id="rId5"/>
          <w:pgSz w:w="11906" w:h="16838"/>
          <w:pgMar w:top="1417" w:right="1417" w:bottom="1417" w:left="1701" w:header="851" w:footer="992" w:gutter="0"/>
          <w:pgNumType w:fmt="upperRoman"/>
          <w:cols w:num="1" w:space="0"/>
          <w:docGrid w:type="lines" w:linePitch="312" w:charSpace="0"/>
        </w:sectPr>
      </w:pPr>
    </w:p>
    <w:p>
      <w:pPr>
        <w:pStyle w:val="Heading1"/>
        <w:jc w:val="center"/>
      </w:pPr>
      <w:r>
        <w:rPr>
          <w:rFonts w:hint="eastAsia"/>
        </w:rPr>
        <w:t>摘  要</w:t>
      </w:r>
      <w:bookmarkEnd w:id="0"/>
      <w:bookmarkEnd w:id="1"/>
    </w:p>
    <w:p>
      <w:pPr>
        <w:ind w:firstLine="480"/>
        <w:rPr>
          <w:rFonts w:cs="Times New Roman"/>
          <w:szCs w:val="22"/>
        </w:rPr>
      </w:pPr>
      <w:r>
        <w:rPr>
          <w:rFonts w:ascii="宋体" w:hAnsi="宋体" w:cs="宋体" w:hint="eastAsia"/>
          <w:color w:val="000000"/>
        </w:rPr>
        <w:t>本文使用静电纺丝技术制备出不同</w:t>
      </w:r>
      <w:r>
        <w:rPr>
          <w:rFonts w:asciiTheme="minorEastAsia" w:eastAsiaTheme="minorEastAsia" w:hAnsiTheme="minorEastAsia" w:cstheme="minorEastAsia" w:hint="eastAsia"/>
          <w:szCs w:val="22"/>
        </w:rPr>
        <w:t>前驱体比例的</w:t>
      </w:r>
      <w:r>
        <w:rPr>
          <w:rFonts w:ascii="宋体" w:hAnsi="宋体" w:cs="宋体" w:hint="eastAsia"/>
          <w:color w:val="000000"/>
        </w:rPr>
        <w:t>硅钨镍复合纳米纤维，然后高温煅烧</w:t>
      </w:r>
      <w:r>
        <w:rPr>
          <w:rFonts w:cs="Times New Roman"/>
          <w:color w:val="000000"/>
        </w:rPr>
        <w:t>（600℃ 5h）</w:t>
      </w:r>
      <w:r>
        <w:rPr>
          <w:rFonts w:ascii="宋体" w:hAnsi="宋体" w:cs="宋体" w:hint="eastAsia"/>
          <w:color w:val="000000"/>
        </w:rPr>
        <w:t>后得到钨镍硅氧化物复合</w:t>
      </w:r>
      <w:r>
        <w:rPr>
          <w:rFonts w:cs="Times New Roman" w:hint="eastAsia"/>
          <w:color w:val="000000"/>
        </w:rPr>
        <w:t>CNF（</w:t>
      </w:r>
      <w:r>
        <w:rPr>
          <w:rFonts w:ascii="宋体" w:hAnsi="宋体" w:cs="宋体" w:hint="eastAsia"/>
          <w:color w:val="000000"/>
        </w:rPr>
        <w:t>纳米碳纤维</w:t>
      </w:r>
      <w:r>
        <w:rPr>
          <w:rFonts w:cs="Times New Roman" w:hint="eastAsia"/>
          <w:color w:val="000000"/>
        </w:rPr>
        <w:t>）修饰FTO电极。采用SEM、XRD、EDS、红外和拉曼等技术</w:t>
      </w:r>
      <w:r>
        <w:rPr>
          <w:rFonts w:ascii="宋体" w:hAnsi="宋体" w:cs="宋体" w:hint="eastAsia"/>
          <w:color w:val="000000"/>
        </w:rPr>
        <w:t>分别对样品的形貌、组成、结构进行了表征</w:t>
      </w:r>
      <w:r>
        <w:rPr>
          <w:rFonts w:cs="Times New Roman" w:hint="eastAsia"/>
        </w:rPr>
        <w:t>。</w:t>
      </w:r>
      <w:r>
        <w:rPr>
          <w:rFonts w:cs="Times New Roman" w:hint="eastAsia"/>
          <w:color w:val="000000"/>
        </w:rPr>
        <w:t>采用循环伏安法研究了其催化氧化葡萄糖的电化学行为，探讨了不同比例的SiWNi比例对催化氧化葡萄糖的影响和葡萄糖浓度与电流之间的关系。</w:t>
      </w:r>
      <w:r>
        <w:rPr>
          <w:rFonts w:cs="Times New Roman"/>
        </w:rPr>
        <w:t>氧化峰电流密度与葡萄糖浓度呈良好的</w:t>
      </w:r>
      <w:r>
        <w:rPr>
          <w:rFonts w:cs="Times New Roman" w:hint="eastAsia"/>
        </w:rPr>
        <w:t>线性关系，线性范围为</w:t>
      </w:r>
      <w:r>
        <w:rPr>
          <w:rFonts w:cs="Times New Roman"/>
        </w:rPr>
        <w:t>2</w:t>
      </w:r>
      <w:r>
        <w:rPr>
          <w:rFonts w:cs="Times New Roman" w:hint="eastAsia"/>
        </w:rPr>
        <w:t>.44</w:t>
      </w:r>
      <w:r>
        <w:rPr>
          <w:rFonts w:cs="Times New Roman"/>
        </w:rPr>
        <w:t>×10</w:t>
      </w:r>
      <w:r>
        <w:rPr>
          <w:rFonts w:cs="Times New Roman"/>
          <w:vertAlign w:val="superscript"/>
        </w:rPr>
        <w:t>-3</w:t>
      </w:r>
      <w:r>
        <w:rPr>
          <w:rFonts w:cs="Times New Roman"/>
        </w:rPr>
        <w:t xml:space="preserve">M </w:t>
      </w:r>
      <w:r>
        <w:rPr>
          <w:rFonts w:cs="Times New Roman" w:hint="eastAsia"/>
        </w:rPr>
        <w:t>到</w:t>
      </w:r>
      <w:r>
        <w:rPr>
          <w:rFonts w:cs="Times New Roman"/>
        </w:rPr>
        <w:t>2×10</w:t>
      </w:r>
      <w:r>
        <w:rPr>
          <w:rFonts w:cs="Times New Roman"/>
          <w:vertAlign w:val="superscript"/>
        </w:rPr>
        <w:t>-</w:t>
      </w:r>
      <w:r>
        <w:rPr>
          <w:rFonts w:cs="Times New Roman" w:hint="eastAsia"/>
          <w:vertAlign w:val="superscript"/>
        </w:rPr>
        <w:t>2</w:t>
      </w:r>
      <w:r>
        <w:rPr>
          <w:rFonts w:cs="Times New Roman"/>
        </w:rPr>
        <w:t xml:space="preserve"> M, </w:t>
      </w:r>
      <w:r>
        <w:rPr>
          <w:rFonts w:cs="Times New Roman" w:hint="eastAsia"/>
        </w:rPr>
        <w:t>，线性方程为</w:t>
      </w:r>
      <w:r>
        <w:rPr>
          <w:rFonts w:cs="Times New Roman"/>
        </w:rPr>
        <w:t>I(10</w:t>
      </w:r>
      <w:r>
        <w:rPr>
          <w:rFonts w:cs="Times New Roman"/>
          <w:vertAlign w:val="superscript"/>
        </w:rPr>
        <w:t>-</w:t>
      </w:r>
      <w:r>
        <w:rPr>
          <w:rFonts w:cs="Times New Roman" w:hint="eastAsia"/>
          <w:vertAlign w:val="superscript"/>
        </w:rPr>
        <w:t>3</w:t>
      </w:r>
      <w:r>
        <w:rPr>
          <w:rFonts w:cs="Times New Roman"/>
        </w:rPr>
        <w:t>A)=</w:t>
      </w:r>
      <w:r>
        <w:rPr>
          <w:rFonts w:cs="Times New Roman" w:hint="eastAsia"/>
        </w:rPr>
        <w:t>499.84021</w:t>
      </w:r>
      <w:r>
        <w:rPr>
          <w:rFonts w:cs="Times New Roman"/>
        </w:rPr>
        <w:t>c(mol/L)</w:t>
      </w:r>
      <w:r>
        <w:rPr>
          <w:rFonts w:cs="Times New Roman" w:hint="eastAsia"/>
        </w:rPr>
        <w:t xml:space="preserve"> </w:t>
      </w:r>
      <w:r>
        <w:rPr>
          <w:rFonts w:cs="Times New Roman"/>
        </w:rPr>
        <w:t>+</w:t>
      </w:r>
      <w:r>
        <w:rPr>
          <w:rFonts w:cs="Times New Roman" w:hint="eastAsia"/>
        </w:rPr>
        <w:t>0.66761，</w:t>
      </w:r>
      <w:r>
        <w:rPr>
          <w:rFonts w:ascii="宋体" w:hAnsi="宋体" w:cs="宋体" w:hint="eastAsia"/>
        </w:rPr>
        <w:t>相关系数为</w:t>
      </w:r>
      <w:r>
        <w:rPr>
          <w:rFonts w:cs="Times New Roman"/>
        </w:rPr>
        <w:t>0.99</w:t>
      </w:r>
      <w:r>
        <w:rPr>
          <w:rFonts w:cs="Times New Roman" w:hint="eastAsia"/>
        </w:rPr>
        <w:t>571，检测限为</w:t>
      </w:r>
      <w:r>
        <w:rPr>
          <w:rFonts w:cs="Times New Roman"/>
        </w:rPr>
        <w:t xml:space="preserve"> </w:t>
      </w:r>
      <w:r>
        <w:rPr>
          <w:rFonts w:cs="Times New Roman" w:hint="eastAsia"/>
        </w:rPr>
        <w:t>2.444</w:t>
      </w:r>
      <w:r>
        <w:rPr>
          <w:rFonts w:cs="Times New Roman"/>
        </w:rPr>
        <w:t>×10</w:t>
      </w:r>
      <w:r>
        <w:rPr>
          <w:rFonts w:cs="Times New Roman"/>
          <w:vertAlign w:val="superscript"/>
        </w:rPr>
        <w:t>-</w:t>
      </w:r>
      <w:r>
        <w:rPr>
          <w:rFonts w:cs="Times New Roman" w:hint="eastAsia"/>
          <w:vertAlign w:val="superscript"/>
        </w:rPr>
        <w:t>5</w:t>
      </w:r>
      <w:r>
        <w:rPr>
          <w:rFonts w:cs="Times New Roman" w:hint="eastAsia"/>
        </w:rPr>
        <w:t>mol/L(S/N=3)。</w:t>
      </w:r>
      <w:r>
        <w:rPr>
          <w:rFonts w:cs="Times New Roman" w:hint="eastAsia"/>
          <w:color w:val="000000"/>
        </w:rPr>
        <w:t>结果表明硅</w:t>
      </w:r>
      <w:r>
        <w:rPr>
          <w:rFonts w:asciiTheme="minorEastAsia" w:eastAsiaTheme="minorEastAsia" w:hAnsiTheme="minorEastAsia" w:cstheme="minorEastAsia" w:hint="eastAsia"/>
          <w:szCs w:val="22"/>
        </w:rPr>
        <w:t>钨镍前驱体摩尔比比例为</w:t>
      </w:r>
      <w:r>
        <w:rPr>
          <w:rFonts w:cs="Times New Roman"/>
          <w:szCs w:val="22"/>
        </w:rPr>
        <w:t>1:12</w:t>
      </w:r>
      <w:r>
        <w:rPr>
          <w:rFonts w:cs="Times New Roman" w:hint="eastAsia"/>
          <w:szCs w:val="22"/>
        </w:rPr>
        <w:t>时相比较其他传感器具有良好的催化能力和较好的稳定性</w:t>
      </w:r>
      <w:r>
        <w:rPr>
          <w:rFonts w:hint="eastAsia"/>
          <w:bCs/>
        </w:rPr>
        <w:t>。制备的</w:t>
      </w:r>
      <w:r>
        <w:rPr>
          <w:rFonts w:cs="Times New Roman"/>
        </w:rPr>
        <w:t>SiWNi</w:t>
      </w:r>
      <w:r>
        <w:rPr>
          <w:rFonts w:cs="Times New Roman"/>
          <w:vertAlign w:val="subscript"/>
        </w:rPr>
        <w:t>1/</w:t>
      </w:r>
      <w:r>
        <w:rPr>
          <w:rFonts w:cs="Times New Roman" w:hint="eastAsia"/>
          <w:vertAlign w:val="subscript"/>
        </w:rPr>
        <w:t>1</w:t>
      </w:r>
      <w:r>
        <w:rPr>
          <w:rFonts w:cs="Times New Roman"/>
          <w:vertAlign w:val="subscript"/>
        </w:rPr>
        <w:t>2</w:t>
      </w:r>
      <w:r>
        <w:rPr>
          <w:rFonts w:cs="Times New Roman" w:hint="eastAsia"/>
        </w:rPr>
        <w:t>-FTO</w:t>
      </w:r>
      <w:r>
        <w:rPr>
          <w:rFonts w:hint="eastAsia"/>
          <w:bCs/>
        </w:rPr>
        <w:t>具有良好的</w:t>
      </w:r>
      <w:r>
        <w:rPr>
          <w:rFonts w:ascii="宋体" w:hAnsi="宋体" w:cs="宋体" w:hint="eastAsia"/>
          <w:bCs/>
        </w:rPr>
        <w:t>检测葡萄糖性能。同时采用</w:t>
      </w:r>
      <w:r>
        <w:rPr>
          <w:rFonts w:ascii="宋体" w:hAnsi="宋体" w:cs="宋体" w:hint="eastAsia"/>
          <w:color w:val="000000"/>
        </w:rPr>
        <w:t>同样的制备方法得到一部分样品氧化煅烧，另一部分碳化。得到钨镍氧化物复合</w:t>
      </w:r>
      <w:r>
        <w:rPr>
          <w:rFonts w:cs="Times New Roman" w:hint="eastAsia"/>
          <w:color w:val="000000"/>
        </w:rPr>
        <w:t>CNF（</w:t>
      </w:r>
      <w:r>
        <w:rPr>
          <w:rFonts w:ascii="宋体" w:hAnsi="宋体" w:cs="宋体" w:hint="eastAsia"/>
          <w:color w:val="000000"/>
        </w:rPr>
        <w:t>纳米碳纤维</w:t>
      </w:r>
      <w:r>
        <w:rPr>
          <w:rFonts w:cs="Times New Roman" w:hint="eastAsia"/>
          <w:color w:val="000000"/>
        </w:rPr>
        <w:t>）修饰FTO电极。采用SEM</w:t>
      </w:r>
      <w:r>
        <w:rPr>
          <w:rFonts w:ascii="宋体" w:hAnsi="宋体" w:cs="宋体" w:hint="eastAsia"/>
          <w:color w:val="000000"/>
        </w:rPr>
        <w:t>分别对样品的形貌进行了表征</w:t>
      </w:r>
      <w:r>
        <w:rPr>
          <w:rFonts w:cs="Times New Roman" w:hint="eastAsia"/>
        </w:rPr>
        <w:t>。</w:t>
      </w:r>
      <w:r>
        <w:rPr>
          <w:rFonts w:cs="Times New Roman" w:hint="eastAsia"/>
          <w:color w:val="000000"/>
        </w:rPr>
        <w:t>采用循环伏安法研究了其催化氧化葡萄糖的电化学行为，结果表明硅</w:t>
      </w:r>
      <w:r>
        <w:rPr>
          <w:rFonts w:asciiTheme="minorEastAsia" w:eastAsiaTheme="minorEastAsia" w:hAnsiTheme="minorEastAsia" w:cstheme="minorEastAsia" w:hint="eastAsia"/>
          <w:szCs w:val="22"/>
        </w:rPr>
        <w:t>钨镍前驱体摩尔比比例为</w:t>
      </w:r>
      <w:r>
        <w:rPr>
          <w:rFonts w:cs="Times New Roman"/>
          <w:szCs w:val="22"/>
        </w:rPr>
        <w:t>1:2</w:t>
      </w:r>
      <w:r>
        <w:rPr>
          <w:rFonts w:cs="Times New Roman" w:hint="eastAsia"/>
          <w:szCs w:val="22"/>
        </w:rPr>
        <w:t>时相比较其他传感器具有一定的催化能力和较好的稳定性。</w:t>
      </w:r>
    </w:p>
    <w:p>
      <w:pPr>
        <w:ind w:firstLine="480"/>
        <w:rPr>
          <w:rFonts w:cs="Times New Roman"/>
          <w:szCs w:val="22"/>
        </w:rPr>
      </w:pPr>
    </w:p>
    <w:p>
      <w:pPr>
        <w:ind w:firstLine="480"/>
        <w:rPr>
          <w:rFonts w:cs="Times New Roman"/>
          <w:szCs w:val="22"/>
        </w:rPr>
      </w:pPr>
    </w:p>
    <w:p>
      <w:pPr>
        <w:ind w:left="938" w:hanging="938" w:hangingChars="391"/>
        <w:rPr>
          <w:rFonts w:cs="Times New Roman"/>
          <w:color w:val="000000"/>
        </w:rPr>
      </w:pPr>
      <w:r>
        <w:rPr>
          <w:rFonts w:cs="Times New Roman" w:hint="eastAsia"/>
          <w:b/>
        </w:rPr>
        <w:t xml:space="preserve">关键词 </w:t>
      </w:r>
      <w:r>
        <w:rPr>
          <w:rFonts w:cs="Times New Roman" w:hint="eastAsia"/>
          <w:bCs/>
        </w:rPr>
        <w:t xml:space="preserve"> 静电纺丝  </w:t>
      </w:r>
      <w:r>
        <w:rPr>
          <w:rFonts w:ascii="宋体" w:hAnsi="宋体" w:cs="宋体" w:hint="eastAsia"/>
          <w:color w:val="000000"/>
        </w:rPr>
        <w:t xml:space="preserve">硅钨镍复合纳米纤维  </w:t>
      </w:r>
      <w:r>
        <w:rPr>
          <w:rFonts w:cs="Times New Roman" w:hint="eastAsia"/>
          <w:color w:val="000000"/>
        </w:rPr>
        <w:t xml:space="preserve">FTO电极  循环伏安法  葡萄糖  </w:t>
      </w:r>
    </w:p>
    <w:p>
      <w:pPr>
        <w:ind w:left="938" w:hanging="938" w:hangingChars="391"/>
        <w:rPr>
          <w:rFonts w:cs="Times New Roman"/>
          <w:color w:val="000000"/>
        </w:rPr>
      </w:pPr>
    </w:p>
    <w:p>
      <w:pPr>
        <w:ind w:left="938" w:hanging="938" w:hangingChars="391"/>
        <w:rPr>
          <w:rFonts w:cs="Times New Roman"/>
          <w:color w:val="000000"/>
        </w:rPr>
      </w:pPr>
    </w:p>
    <w:p>
      <w:pPr>
        <w:ind w:left="938" w:hanging="938" w:hangingChars="391"/>
        <w:rPr>
          <w:rFonts w:cs="Times New Roman"/>
          <w:color w:val="000000"/>
        </w:rPr>
      </w:pPr>
    </w:p>
    <w:p>
      <w:pPr>
        <w:ind w:left="938" w:hanging="938" w:hangingChars="391"/>
        <w:rPr>
          <w:rFonts w:cs="Times New Roman"/>
          <w:color w:val="000000"/>
        </w:rPr>
      </w:pPr>
    </w:p>
    <w:p>
      <w:pPr>
        <w:ind w:left="938" w:hanging="938" w:hangingChars="391"/>
        <w:rPr>
          <w:rFonts w:cs="Times New Roman"/>
          <w:color w:val="000000"/>
        </w:rPr>
      </w:pPr>
    </w:p>
    <w:p>
      <w:pPr>
        <w:ind w:left="938" w:hanging="938" w:hangingChars="391"/>
        <w:rPr>
          <w:rFonts w:cs="Times New Roman"/>
          <w:color w:val="000000"/>
        </w:rPr>
      </w:pPr>
    </w:p>
    <w:p>
      <w:pPr>
        <w:ind w:left="938" w:hanging="938" w:hangingChars="391"/>
        <w:rPr>
          <w:rFonts w:cs="Times New Roman"/>
          <w:color w:val="000000"/>
        </w:rPr>
      </w:pPr>
    </w:p>
    <w:p>
      <w:pPr>
        <w:ind w:left="938" w:hanging="938" w:hangingChars="391"/>
        <w:rPr>
          <w:rFonts w:cs="Times New Roman"/>
          <w:color w:val="000000"/>
        </w:rPr>
      </w:pPr>
    </w:p>
    <w:p>
      <w:pPr>
        <w:ind w:left="938" w:hanging="938" w:hangingChars="391"/>
        <w:rPr>
          <w:rFonts w:cs="Times New Roman"/>
          <w:color w:val="000000"/>
        </w:rPr>
      </w:pPr>
    </w:p>
    <w:p>
      <w:pPr>
        <w:ind w:left="938" w:hanging="938" w:hangingChars="391"/>
        <w:rPr>
          <w:rFonts w:cs="Times New Roman"/>
          <w:color w:val="000000"/>
        </w:rPr>
      </w:pPr>
    </w:p>
    <w:p>
      <w:pPr>
        <w:ind w:left="938" w:hanging="938" w:hangingChars="391"/>
        <w:rPr>
          <w:rFonts w:cs="Times New Roman"/>
          <w:color w:val="000000"/>
        </w:rPr>
      </w:pPr>
    </w:p>
    <w:p>
      <w:pPr>
        <w:ind w:left="938" w:hanging="938" w:hangingChars="391"/>
        <w:rPr>
          <w:rFonts w:cs="Times New Roman"/>
          <w:color w:val="000000"/>
        </w:rPr>
      </w:pPr>
    </w:p>
    <w:p>
      <w:pPr>
        <w:ind w:left="938" w:hanging="938" w:hangingChars="391"/>
        <w:rPr>
          <w:rFonts w:cs="Times New Roman"/>
          <w:color w:val="000000"/>
        </w:rPr>
      </w:pPr>
    </w:p>
    <w:p>
      <w:pPr>
        <w:ind w:left="938" w:hanging="938" w:hangingChars="391"/>
        <w:rPr>
          <w:rFonts w:cs="Times New Roman"/>
          <w:color w:val="000000"/>
        </w:rPr>
      </w:pPr>
    </w:p>
    <w:p>
      <w:pPr>
        <w:ind w:left="938" w:hanging="938" w:hangingChars="391"/>
        <w:rPr>
          <w:rFonts w:cs="Times New Roman"/>
          <w:color w:val="000000"/>
        </w:rPr>
      </w:pPr>
    </w:p>
    <w:p>
      <w:pPr>
        <w:rPr>
          <w:rFonts w:cs="Times New Roman"/>
          <w:color w:val="000000"/>
        </w:rPr>
      </w:pPr>
      <w:r>
        <w:rPr>
          <w:rFonts w:cs="Times New Roman"/>
          <w:color w:val="000000"/>
        </w:rPr>
        <w:br/>
      </w:r>
      <w:r>
        <w:rPr>
          <w:rFonts w:cs="Times New Roman"/>
          <w:color w:val="000000"/>
        </w:rPr>
        <w:br/>
      </w:r>
    </w:p>
    <w:p>
      <w:pPr>
        <w:widowControl/>
        <w:spacing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https://d.book118.com/115143100243011113</w:t>
        </w:r>
      </w:hyperlink>
    </w:p>
    <w:p>
      <w:pPr>
        <w:rPr>
          <w:rFonts w:cs="Times New Roman"/>
          <w:color w:val="000000"/>
        </w:rPr>
      </w:pPr>
    </w:p>
    <w:sectPr>
      <w:headerReference w:type="default" r:id="rId7"/>
      <w:footerReference w:type="default" r:id="rId8"/>
      <w:pgSz w:w="11906" w:h="16838"/>
      <w:pgMar w:top="1417" w:right="1417" w:bottom="1417" w:left="1701" w:header="851" w:footer="992" w:gutter="0"/>
      <w:pgNumType w:fmt="upperRoman" w:start="1"/>
      <w:cols w:num="1" w:space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swiss"/>
    <w:pitch w:val="default"/>
    <w:sig w:usb0="E0002EFF" w:usb1="C000785B" w:usb2="00000009" w:usb3="00000000" w:csb0="4004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imesNewRomanPSMT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eastAsiaTheme="minor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9" name="文本框 2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II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9" o:spid="_x0000_s2049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5824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II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eastAsiaTheme="minor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single" w:sz="4" w:space="1" w:color="auto"/>
      </w:pBdr>
      <w:jc w:val="center"/>
      <w:rPr>
        <w:rFonts w:eastAsiaTheme="minor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83BEBDFC"/>
    <w:multiLevelType w:val="singleLevel"/>
    <w:tmpl w:val="83BEBDFC"/>
    <w:lvl w:ilvl="0">
      <w:start w:val="1"/>
      <w:numFmt w:val="decimal"/>
      <w:suff w:val="space"/>
      <w:lvlText w:val="%1."/>
      <w:lvlJc w:val="left"/>
    </w:lvl>
  </w:abstractNum>
  <w:abstractNum w:abstractNumId="1">
    <w:nsid w:val="CA401011"/>
    <w:multiLevelType w:val="singleLevel"/>
    <w:tmpl w:val="CA401011"/>
    <w:lvl w:ilvl="0">
      <w:start w:val="1"/>
      <w:numFmt w:val="decimal"/>
      <w:suff w:val="space"/>
      <w:lvlText w:val="%1."/>
      <w:lvlJc w:val="left"/>
    </w:lvl>
  </w:abstractNum>
  <w:abstractNum w:abstractNumId="2">
    <w:nsid w:val="D46A0A13"/>
    <w:multiLevelType w:val="singleLevel"/>
    <w:tmpl w:val="D46A0A13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3">
    <w:nsid w:val="033D69C8"/>
    <w:multiLevelType w:val="multilevel"/>
    <w:tmpl w:val="033D69C8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4">
    <w:nsid w:val="2EB7D8CF"/>
    <w:multiLevelType w:val="singleLevel"/>
    <w:tmpl w:val="2EB7D8CF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5">
    <w:nsid w:val="54DC307E"/>
    <w:multiLevelType w:val="singleLevel"/>
    <w:tmpl w:val="54DC307E"/>
    <w:lvl w:ilvl="0">
      <w:start w:val="1"/>
      <w:numFmt w:val="decimal"/>
      <w:suff w:val="space"/>
      <w:lvlText w:val="[%1]"/>
      <w:lvlJc w:val="left"/>
    </w:lvl>
  </w:abstractNum>
  <w:abstractNum w:abstractNumId="6">
    <w:nsid w:val="68FC3104"/>
    <w:multiLevelType w:val="singleLevel"/>
    <w:tmpl w:val="68FC3104"/>
    <w:lvl w:ilvl="0">
      <w:start w:val="1"/>
      <w:numFmt w:val="decimal"/>
      <w:suff w:val="space"/>
      <w:lvlText w:val="%1.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6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embedSystemFonts/>
  <w:attachedTemplate r:id="rId1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C127E9C"/>
    <w:rsid w:val="00005300"/>
    <w:rsid w:val="006C4A98"/>
    <w:rsid w:val="02D07677"/>
    <w:rsid w:val="0614261A"/>
    <w:rsid w:val="078C3D3E"/>
    <w:rsid w:val="083E3A33"/>
    <w:rsid w:val="08F96272"/>
    <w:rsid w:val="0E8F05F3"/>
    <w:rsid w:val="0E9F5ED3"/>
    <w:rsid w:val="17F8599D"/>
    <w:rsid w:val="180C3E95"/>
    <w:rsid w:val="183400C1"/>
    <w:rsid w:val="189C6282"/>
    <w:rsid w:val="18C82123"/>
    <w:rsid w:val="1A330192"/>
    <w:rsid w:val="1B94238C"/>
    <w:rsid w:val="22386759"/>
    <w:rsid w:val="242077C4"/>
    <w:rsid w:val="24D041C3"/>
    <w:rsid w:val="28AB5360"/>
    <w:rsid w:val="295B7E1C"/>
    <w:rsid w:val="2A9E7FA5"/>
    <w:rsid w:val="2BF03510"/>
    <w:rsid w:val="2D4A62AB"/>
    <w:rsid w:val="30525804"/>
    <w:rsid w:val="308D62D0"/>
    <w:rsid w:val="36931723"/>
    <w:rsid w:val="39F858AE"/>
    <w:rsid w:val="3AAC51ED"/>
    <w:rsid w:val="3BB4669E"/>
    <w:rsid w:val="3DD14D85"/>
    <w:rsid w:val="3E3F40FA"/>
    <w:rsid w:val="3E8F62EA"/>
    <w:rsid w:val="3F446638"/>
    <w:rsid w:val="3FC72414"/>
    <w:rsid w:val="407B1058"/>
    <w:rsid w:val="40F13D98"/>
    <w:rsid w:val="44FE7026"/>
    <w:rsid w:val="45DC51EE"/>
    <w:rsid w:val="4AEE6666"/>
    <w:rsid w:val="4D061611"/>
    <w:rsid w:val="4D935D1D"/>
    <w:rsid w:val="4FC1465B"/>
    <w:rsid w:val="51A77C88"/>
    <w:rsid w:val="53636775"/>
    <w:rsid w:val="55446B08"/>
    <w:rsid w:val="5871737E"/>
    <w:rsid w:val="59921749"/>
    <w:rsid w:val="5C287CCC"/>
    <w:rsid w:val="5E0847DA"/>
    <w:rsid w:val="5F347F54"/>
    <w:rsid w:val="5F4A65B5"/>
    <w:rsid w:val="5FAC6323"/>
    <w:rsid w:val="5FF12D4F"/>
    <w:rsid w:val="605F472F"/>
    <w:rsid w:val="60DC39B0"/>
    <w:rsid w:val="63E53D7E"/>
    <w:rsid w:val="65A22D21"/>
    <w:rsid w:val="65E43901"/>
    <w:rsid w:val="696D62FD"/>
    <w:rsid w:val="6AA23EBF"/>
    <w:rsid w:val="6BDA4754"/>
    <w:rsid w:val="6C127E9C"/>
    <w:rsid w:val="6D535020"/>
    <w:rsid w:val="6D786590"/>
    <w:rsid w:val="6F8356F2"/>
    <w:rsid w:val="6FE4271C"/>
    <w:rsid w:val="70C05EAE"/>
    <w:rsid w:val="71212E1F"/>
    <w:rsid w:val="74A56731"/>
    <w:rsid w:val="75B70225"/>
    <w:rsid w:val="75EC62B4"/>
    <w:rsid w:val="76B47519"/>
    <w:rsid w:val="786B2D88"/>
    <w:rsid w:val="7A3026E3"/>
    <w:rsid w:val="7B13730D"/>
    <w:rsid w:val="7C8676E3"/>
    <w:rsid w:val="7D8C6B1A"/>
    <w:rsid w:val="7EB8342F"/>
  </w:rsids>
  <w:docVars>
    <w:docVar w:name="commondata" w:val="eyJoZGlkIjoiZGY5OGNiNGUyMjQ5MmI4ZDQ3ZjRhNGEzOTgxOWU3NG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semiHidden="0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 w:qFormat="1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 w:qFormat="1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line="400" w:lineRule="exact"/>
      <w:jc w:val="both"/>
    </w:pPr>
    <w:rPr>
      <w:rFonts w:ascii="Times New Roman" w:eastAsia="宋体" w:hAnsi="Times New Roman" w:cstheme="minorBidi"/>
      <w:kern w:val="2"/>
      <w:sz w:val="24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260" w:after="260"/>
      <w:outlineLvl w:val="0"/>
    </w:pPr>
    <w:rPr>
      <w:rFonts w:asciiTheme="minorHAnsi" w:hAnsiTheme="minorHAnsi"/>
      <w:b/>
      <w:bCs/>
      <w:kern w:val="44"/>
      <w:sz w:val="30"/>
      <w:szCs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after="260"/>
      <w:outlineLvl w:val="1"/>
    </w:pPr>
    <w:rPr>
      <w:rFonts w:ascii="Arial" w:hAnsi="Arial"/>
      <w:b/>
      <w:sz w:val="28"/>
    </w:rPr>
  </w:style>
  <w:style w:type="paragraph" w:styleId="Heading3">
    <w:name w:val="heading 3"/>
    <w:basedOn w:val="Normal"/>
    <w:next w:val="Normal"/>
    <w:unhideWhenUsed/>
    <w:qFormat/>
    <w:pPr>
      <w:keepNext/>
      <w:keepLines/>
      <w:spacing w:before="260" w:after="260"/>
      <w:outlineLvl w:val="2"/>
    </w:pPr>
    <w:rPr>
      <w:rFonts w:asciiTheme="minorHAnsi" w:hAnsiTheme="minorHAns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TOC3">
    <w:name w:val="toc 3"/>
    <w:basedOn w:val="Normal"/>
    <w:next w:val="Normal"/>
    <w:qFormat/>
    <w:pPr>
      <w:ind w:left="840" w:leftChars="400"/>
    </w:p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TOC1">
    <w:name w:val="toc 1"/>
    <w:basedOn w:val="Normal"/>
    <w:next w:val="Normal"/>
    <w:qFormat/>
  </w:style>
  <w:style w:type="paragraph" w:styleId="TOC2">
    <w:name w:val="toc 2"/>
    <w:basedOn w:val="Normal"/>
    <w:next w:val="Normal"/>
    <w:qFormat/>
    <w:pPr>
      <w:ind w:left="420" w:leftChars="200"/>
    </w:pPr>
  </w:style>
  <w:style w:type="paragraph" w:styleId="HTMLPreformatted">
    <w:name w:val="HTML Preformatted"/>
    <w:basedOn w:val="Normal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Times New Roman" w:hint="eastAsia"/>
      <w:kern w:val="0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qFormat/>
    <w:rPr>
      <w:rFonts w:ascii="宋体" w:eastAsia="宋体" w:hAnsi="宋体" w:cs="宋体" w:hint="eastAsia"/>
      <w:color w:val="000000"/>
      <w:sz w:val="24"/>
      <w:szCs w:val="24"/>
    </w:rPr>
  </w:style>
  <w:style w:type="character" w:customStyle="1" w:styleId="fontstyle21">
    <w:name w:val="fontstyle21"/>
    <w:basedOn w:val="DefaultParagraphFont"/>
    <w:qFormat/>
    <w:rPr>
      <w:rFonts w:ascii="宋体" w:eastAsia="宋体" w:hAnsi="宋体" w:cs="宋体" w:hint="eastAsia"/>
      <w:color w:val="000000"/>
      <w:sz w:val="24"/>
      <w:szCs w:val="24"/>
    </w:rPr>
  </w:style>
  <w:style w:type="paragraph" w:customStyle="1" w:styleId="WPSOffice1">
    <w:name w:val="WPSOffice手动目录 1"/>
    <w:qFormat/>
    <w:rPr>
      <w:rFonts w:ascii="Times New Roman" w:eastAsia="宋体" w:hAnsi="Times New Roman" w:cs="Times New Roman"/>
      <w:lang w:val="en-US" w:eastAsia="zh-CN" w:bidi="ar-SA"/>
    </w:rPr>
  </w:style>
  <w:style w:type="paragraph" w:customStyle="1" w:styleId="WPSOffice2">
    <w:name w:val="WPSOffice手动目录 2"/>
    <w:qFormat/>
    <w:pPr>
      <w:ind w:left="200" w:leftChars="200"/>
    </w:pPr>
    <w:rPr>
      <w:rFonts w:ascii="Times New Roman" w:eastAsia="宋体" w:hAnsi="Times New Roman" w:cs="Times New Roman"/>
      <w:lang w:val="en-US" w:eastAsia="zh-CN" w:bidi="ar-SA"/>
    </w:rPr>
  </w:style>
  <w:style w:type="paragraph" w:customStyle="1" w:styleId="WPSOffice3">
    <w:name w:val="WPSOffice手动目录 3"/>
    <w:qFormat/>
    <w:pPr>
      <w:ind w:left="400" w:leftChars="400"/>
    </w:pPr>
    <w:rPr>
      <w:rFonts w:ascii="Times New Roman" w:eastAsia="宋体" w:hAnsi="Times New Roman" w:cs="Times New Roman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yperlink" Target="https://d.book118.com/115143100243011113" TargetMode="Externa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TotalTime>15</TotalTime>
  <Pages>3</Pages>
  <Words>5297</Words>
  <Characters>30194</Characters>
  <Application>Microsoft Office Word</Application>
  <DocSecurity>0</DocSecurity>
  <Lines>251</Lines>
  <Paragraphs>70</Paragraphs>
  <ScaleCrop>false</ScaleCrop>
  <Company/>
  <LinksUpToDate>false</LinksUpToDate>
  <CharactersWithSpaces>35421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パンじゃん</dc:creator>
  <cp:lastModifiedBy>张老师</cp:lastModifiedBy>
  <cp:revision>2</cp:revision>
  <cp:lastPrinted>2021-05-21T11:56:00Z</cp:lastPrinted>
  <dcterms:created xsi:type="dcterms:W3CDTF">2019-06-09T14:53:00Z</dcterms:created>
  <dcterms:modified xsi:type="dcterms:W3CDTF">2023-10-29T06:55:35Z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0A8B7F50AA5F4724A57538D8D1AC6508_12</vt:lpwstr>
  </property>
  <property fmtid="{D5CDD505-2E9C-101B-9397-08002B2CF9AE}" pid="3" name="KSOProductBuildVer">
    <vt:lpwstr>2052-12.1.0.15712</vt:lpwstr>
  </property>
</Properties>
</file>