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水杨酸锌改性树脂(无碳复写纸显色剂)项目情况报告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 w:history="1">
        <w:r>
          <w:rPr>
            <w:rFonts w:ascii="仿宋" w:eastAsia="仿宋" w:hAnsi="仿宋" w:cs="仿宋" w:hint="eastAsia"/>
            <w:lang w:eastAsia="zh-CN"/>
          </w:rPr>
          <w:t>前言</w:t>
        </w:r>
        <w:r>
          <w:tab/>
        </w:r>
        <w:r>
          <w:fldChar w:fldCharType="begin"/>
        </w:r>
        <w:r>
          <w:instrText xml:space="preserve"> PAGEREF _Toc1101 \h </w:instrText>
        </w:r>
        <w:r>
          <w:fldChar w:fldCharType="separate"/>
        </w:r>
        <w:r>
          <w:t>3</w:t>
        </w:r>
        <w:r>
          <w:fldChar w:fldCharType="end"/>
        </w:r>
      </w:hyperlink>
    </w:p>
    <w:p>
      <w:pPr>
        <w:pStyle w:val="TOC1"/>
        <w:tabs>
          <w:tab w:val="right" w:leader="dot" w:pos="8306"/>
        </w:tabs>
      </w:pPr>
      <w:hyperlink w:anchor="_Toc9613" w:history="1">
        <w:r>
          <w:rPr>
            <w:rFonts w:ascii="仿宋" w:eastAsia="仿宋" w:hAnsi="仿宋" w:cs="仿宋" w:hint="eastAsia"/>
            <w:lang w:eastAsia="zh-CN"/>
          </w:rPr>
          <w:t>一、水杨酸锌改性树脂(无碳复写纸显色剂)项目市场前景分析</w:t>
        </w:r>
        <w:r>
          <w:tab/>
        </w:r>
        <w:r>
          <w:fldChar w:fldCharType="begin"/>
        </w:r>
        <w:r>
          <w:instrText xml:space="preserve"> PAGEREF _Toc9613 \h </w:instrText>
        </w:r>
        <w:r>
          <w:fldChar w:fldCharType="separate"/>
        </w:r>
        <w:r>
          <w:t>3</w:t>
        </w:r>
        <w:r>
          <w:fldChar w:fldCharType="end"/>
        </w:r>
      </w:hyperlink>
    </w:p>
    <w:p>
      <w:pPr>
        <w:pStyle w:val="TOC2"/>
        <w:tabs>
          <w:tab w:val="right" w:leader="dot" w:pos="8306"/>
        </w:tabs>
      </w:pPr>
      <w:hyperlink w:anchor="_Toc10242" w:history="1">
        <w:r>
          <w:rPr>
            <w:rFonts w:ascii="仿宋" w:eastAsia="仿宋" w:hAnsi="仿宋" w:cs="仿宋" w:hint="eastAsia"/>
            <w:lang w:eastAsia="zh-CN"/>
          </w:rPr>
          <w:t>(一)、建设地经济发展概况</w:t>
        </w:r>
        <w:r>
          <w:tab/>
        </w:r>
        <w:r>
          <w:fldChar w:fldCharType="begin"/>
        </w:r>
        <w:r>
          <w:instrText xml:space="preserve"> PAGEREF _Toc10242 \h </w:instrText>
        </w:r>
        <w:r>
          <w:fldChar w:fldCharType="separate"/>
        </w:r>
        <w:r>
          <w:t>3</w:t>
        </w:r>
        <w:r>
          <w:fldChar w:fldCharType="end"/>
        </w:r>
      </w:hyperlink>
    </w:p>
    <w:p>
      <w:pPr>
        <w:pStyle w:val="TOC2"/>
        <w:tabs>
          <w:tab w:val="right" w:leader="dot" w:pos="8306"/>
        </w:tabs>
      </w:pPr>
      <w:hyperlink w:anchor="_Toc5175" w:history="1">
        <w:r>
          <w:rPr>
            <w:rFonts w:ascii="仿宋" w:eastAsia="仿宋" w:hAnsi="仿宋" w:cs="仿宋" w:hint="eastAsia"/>
            <w:lang w:eastAsia="zh-CN"/>
          </w:rPr>
          <w:t>(二)、行业市场分析</w:t>
        </w:r>
        <w:r>
          <w:tab/>
        </w:r>
        <w:r>
          <w:fldChar w:fldCharType="begin"/>
        </w:r>
        <w:r>
          <w:instrText xml:space="preserve"> PAGEREF _Toc5175 \h </w:instrText>
        </w:r>
        <w:r>
          <w:fldChar w:fldCharType="separate"/>
        </w:r>
        <w:r>
          <w:t>5</w:t>
        </w:r>
        <w:r>
          <w:fldChar w:fldCharType="end"/>
        </w:r>
      </w:hyperlink>
    </w:p>
    <w:p>
      <w:pPr>
        <w:pStyle w:val="TOC1"/>
        <w:tabs>
          <w:tab w:val="right" w:leader="dot" w:pos="8306"/>
        </w:tabs>
      </w:pPr>
      <w:hyperlink w:anchor="_Toc16971" w:history="1">
        <w:r>
          <w:rPr>
            <w:rFonts w:ascii="仿宋" w:eastAsia="仿宋" w:hAnsi="仿宋" w:cs="仿宋" w:hint="eastAsia"/>
            <w:lang w:eastAsia="zh-CN"/>
          </w:rPr>
          <w:t>二、建设规划</w:t>
        </w:r>
        <w:r>
          <w:tab/>
        </w:r>
        <w:r>
          <w:fldChar w:fldCharType="begin"/>
        </w:r>
        <w:r>
          <w:instrText xml:space="preserve"> PAGEREF _Toc16971 \h </w:instrText>
        </w:r>
        <w:r>
          <w:fldChar w:fldCharType="separate"/>
        </w:r>
        <w:r>
          <w:t>6</w:t>
        </w:r>
        <w:r>
          <w:fldChar w:fldCharType="end"/>
        </w:r>
      </w:hyperlink>
    </w:p>
    <w:p>
      <w:pPr>
        <w:pStyle w:val="TOC2"/>
        <w:tabs>
          <w:tab w:val="right" w:leader="dot" w:pos="8306"/>
        </w:tabs>
      </w:pPr>
      <w:hyperlink w:anchor="_Toc14249" w:history="1">
        <w:r>
          <w:rPr>
            <w:rFonts w:ascii="仿宋" w:eastAsia="仿宋" w:hAnsi="仿宋" w:cs="仿宋" w:hint="eastAsia"/>
            <w:lang w:eastAsia="zh-CN"/>
          </w:rPr>
          <w:t>(一)、产品规划</w:t>
        </w:r>
        <w:r>
          <w:tab/>
        </w:r>
        <w:r>
          <w:fldChar w:fldCharType="begin"/>
        </w:r>
        <w:r>
          <w:instrText xml:space="preserve"> PAGEREF _Toc14249 \h </w:instrText>
        </w:r>
        <w:r>
          <w:fldChar w:fldCharType="separate"/>
        </w:r>
        <w:r>
          <w:t>6</w:t>
        </w:r>
        <w:r>
          <w:fldChar w:fldCharType="end"/>
        </w:r>
      </w:hyperlink>
    </w:p>
    <w:p>
      <w:pPr>
        <w:pStyle w:val="TOC2"/>
        <w:tabs>
          <w:tab w:val="right" w:leader="dot" w:pos="8306"/>
        </w:tabs>
      </w:pPr>
      <w:hyperlink w:anchor="_Toc4530" w:history="1">
        <w:r>
          <w:rPr>
            <w:rFonts w:ascii="仿宋" w:eastAsia="仿宋" w:hAnsi="仿宋" w:cs="仿宋" w:hint="eastAsia"/>
            <w:lang w:eastAsia="zh-CN"/>
          </w:rPr>
          <w:t>(二)、建设规模</w:t>
        </w:r>
        <w:r>
          <w:tab/>
        </w:r>
        <w:r>
          <w:fldChar w:fldCharType="begin"/>
        </w:r>
        <w:r>
          <w:instrText xml:space="preserve"> PAGEREF _Toc4530 \h </w:instrText>
        </w:r>
        <w:r>
          <w:fldChar w:fldCharType="separate"/>
        </w:r>
        <w:r>
          <w:t>8</w:t>
        </w:r>
        <w:r>
          <w:fldChar w:fldCharType="end"/>
        </w:r>
      </w:hyperlink>
    </w:p>
    <w:p>
      <w:pPr>
        <w:pStyle w:val="TOC1"/>
        <w:tabs>
          <w:tab w:val="right" w:leader="dot" w:pos="8306"/>
        </w:tabs>
      </w:pPr>
      <w:hyperlink w:anchor="_Toc27229" w:history="1">
        <w:r>
          <w:rPr>
            <w:rFonts w:ascii="仿宋" w:eastAsia="仿宋" w:hAnsi="仿宋" w:cs="仿宋" w:hint="eastAsia"/>
            <w:lang w:eastAsia="zh-CN"/>
          </w:rPr>
          <w:t>三、工艺分析</w:t>
        </w:r>
        <w:r>
          <w:tab/>
        </w:r>
        <w:r>
          <w:fldChar w:fldCharType="begin"/>
        </w:r>
        <w:r>
          <w:instrText xml:space="preserve"> PAGEREF _Toc27229 \h </w:instrText>
        </w:r>
        <w:r>
          <w:fldChar w:fldCharType="separate"/>
        </w:r>
        <w:r>
          <w:t>10</w:t>
        </w:r>
        <w:r>
          <w:fldChar w:fldCharType="end"/>
        </w:r>
      </w:hyperlink>
    </w:p>
    <w:p>
      <w:pPr>
        <w:pStyle w:val="TOC2"/>
        <w:tabs>
          <w:tab w:val="right" w:leader="dot" w:pos="8306"/>
        </w:tabs>
      </w:pPr>
      <w:hyperlink w:anchor="_Toc11388" w:history="1">
        <w:r>
          <w:rPr>
            <w:rFonts w:ascii="仿宋" w:eastAsia="仿宋" w:hAnsi="仿宋" w:cs="仿宋" w:hint="eastAsia"/>
            <w:lang w:eastAsia="zh-CN"/>
          </w:rPr>
          <w:t>(一)、技术管理特点</w:t>
        </w:r>
        <w:r>
          <w:tab/>
        </w:r>
        <w:r>
          <w:fldChar w:fldCharType="begin"/>
        </w:r>
        <w:r>
          <w:instrText xml:space="preserve"> PAGEREF _Toc11388 \h </w:instrText>
        </w:r>
        <w:r>
          <w:fldChar w:fldCharType="separate"/>
        </w:r>
        <w:r>
          <w:t>10</w:t>
        </w:r>
        <w:r>
          <w:fldChar w:fldCharType="end"/>
        </w:r>
      </w:hyperlink>
    </w:p>
    <w:p>
      <w:pPr>
        <w:pStyle w:val="TOC2"/>
        <w:tabs>
          <w:tab w:val="right" w:leader="dot" w:pos="8306"/>
        </w:tabs>
      </w:pPr>
      <w:hyperlink w:anchor="_Toc16494" w:history="1">
        <w:r>
          <w:rPr>
            <w:rFonts w:ascii="仿宋" w:eastAsia="仿宋" w:hAnsi="仿宋" w:cs="仿宋" w:hint="eastAsia"/>
            <w:lang w:eastAsia="zh-CN"/>
          </w:rPr>
          <w:t>(二)、水杨酸锌改性树脂(无碳复写纸显色剂)项目工艺技术设计方案</w:t>
        </w:r>
        <w:r>
          <w:tab/>
        </w:r>
        <w:r>
          <w:fldChar w:fldCharType="begin"/>
        </w:r>
        <w:r>
          <w:instrText xml:space="preserve"> PAGEREF _Toc16494 \h </w:instrText>
        </w:r>
        <w:r>
          <w:fldChar w:fldCharType="separate"/>
        </w:r>
        <w:r>
          <w:t>11</w:t>
        </w:r>
        <w:r>
          <w:fldChar w:fldCharType="end"/>
        </w:r>
      </w:hyperlink>
    </w:p>
    <w:p>
      <w:pPr>
        <w:pStyle w:val="TOC2"/>
        <w:tabs>
          <w:tab w:val="right" w:leader="dot" w:pos="8306"/>
        </w:tabs>
      </w:pPr>
      <w:hyperlink w:anchor="_Toc31128" w:history="1">
        <w:r>
          <w:rPr>
            <w:rFonts w:ascii="仿宋" w:eastAsia="仿宋" w:hAnsi="仿宋" w:cs="仿宋" w:hint="eastAsia"/>
            <w:lang w:eastAsia="zh-CN"/>
          </w:rPr>
          <w:t>(三)、设备选型方案</w:t>
        </w:r>
        <w:r>
          <w:tab/>
        </w:r>
        <w:r>
          <w:fldChar w:fldCharType="begin"/>
        </w:r>
        <w:r>
          <w:instrText xml:space="preserve"> PAGEREF _Toc31128 \h </w:instrText>
        </w:r>
        <w:r>
          <w:fldChar w:fldCharType="separate"/>
        </w:r>
        <w:r>
          <w:t>12</w:t>
        </w:r>
        <w:r>
          <w:fldChar w:fldCharType="end"/>
        </w:r>
      </w:hyperlink>
    </w:p>
    <w:p>
      <w:pPr>
        <w:pStyle w:val="TOC1"/>
        <w:tabs>
          <w:tab w:val="right" w:leader="dot" w:pos="8306"/>
        </w:tabs>
      </w:pPr>
      <w:hyperlink w:anchor="_Toc9036" w:history="1">
        <w:r>
          <w:rPr>
            <w:rFonts w:ascii="仿宋" w:eastAsia="仿宋" w:hAnsi="仿宋" w:cs="仿宋" w:hint="eastAsia"/>
            <w:lang w:eastAsia="zh-CN"/>
          </w:rPr>
          <w:t>四、建设单位基本信息</w:t>
        </w:r>
        <w:r>
          <w:tab/>
        </w:r>
        <w:r>
          <w:fldChar w:fldCharType="begin"/>
        </w:r>
        <w:r>
          <w:instrText xml:space="preserve"> PAGEREF _Toc9036 \h </w:instrText>
        </w:r>
        <w:r>
          <w:fldChar w:fldCharType="separate"/>
        </w:r>
        <w:r>
          <w:t>13</w:t>
        </w:r>
        <w:r>
          <w:fldChar w:fldCharType="end"/>
        </w:r>
      </w:hyperlink>
    </w:p>
    <w:p>
      <w:pPr>
        <w:pStyle w:val="TOC2"/>
        <w:tabs>
          <w:tab w:val="right" w:leader="dot" w:pos="8306"/>
        </w:tabs>
      </w:pPr>
      <w:hyperlink w:anchor="_Toc18954" w:history="1">
        <w:r>
          <w:rPr>
            <w:rFonts w:ascii="仿宋" w:eastAsia="仿宋" w:hAnsi="仿宋" w:cs="仿宋" w:hint="eastAsia"/>
            <w:lang w:eastAsia="zh-CN"/>
          </w:rPr>
          <w:t>(一)、水杨酸锌改性树脂(无碳复写纸显色剂)项目承办单位基本情况</w:t>
        </w:r>
        <w:r>
          <w:tab/>
        </w:r>
        <w:r>
          <w:fldChar w:fldCharType="begin"/>
        </w:r>
        <w:r>
          <w:instrText xml:space="preserve"> PAGEREF _Toc18954 \h </w:instrText>
        </w:r>
        <w:r>
          <w:fldChar w:fldCharType="separate"/>
        </w:r>
        <w:r>
          <w:t>13</w:t>
        </w:r>
        <w:r>
          <w:fldChar w:fldCharType="end"/>
        </w:r>
      </w:hyperlink>
    </w:p>
    <w:p>
      <w:pPr>
        <w:pStyle w:val="TOC2"/>
        <w:tabs>
          <w:tab w:val="right" w:leader="dot" w:pos="8306"/>
        </w:tabs>
      </w:pPr>
      <w:hyperlink w:anchor="_Toc16371" w:history="1">
        <w:r>
          <w:rPr>
            <w:rFonts w:ascii="仿宋" w:eastAsia="仿宋" w:hAnsi="仿宋" w:cs="仿宋" w:hint="eastAsia"/>
            <w:lang w:eastAsia="zh-CN"/>
          </w:rPr>
          <w:t>(二)、公司经济效益分析</w:t>
        </w:r>
        <w:r>
          <w:tab/>
        </w:r>
        <w:r>
          <w:fldChar w:fldCharType="begin"/>
        </w:r>
        <w:r>
          <w:instrText xml:space="preserve"> PAGEREF _Toc16371 \h </w:instrText>
        </w:r>
        <w:r>
          <w:fldChar w:fldCharType="separate"/>
        </w:r>
        <w:r>
          <w:t>14</w:t>
        </w:r>
        <w:r>
          <w:fldChar w:fldCharType="end"/>
        </w:r>
      </w:hyperlink>
    </w:p>
    <w:p>
      <w:pPr>
        <w:pStyle w:val="TOC1"/>
        <w:tabs>
          <w:tab w:val="right" w:leader="dot" w:pos="8306"/>
        </w:tabs>
      </w:pPr>
      <w:hyperlink w:anchor="_Toc24254" w:history="1">
        <w:r>
          <w:rPr>
            <w:rFonts w:ascii="仿宋" w:eastAsia="仿宋" w:hAnsi="仿宋" w:cs="仿宋" w:hint="eastAsia"/>
            <w:lang w:eastAsia="zh-CN"/>
          </w:rPr>
          <w:t>五、投资背景及必要性分析</w:t>
        </w:r>
        <w:r>
          <w:tab/>
        </w:r>
        <w:r>
          <w:fldChar w:fldCharType="begin"/>
        </w:r>
        <w:r>
          <w:instrText xml:space="preserve"> PAGEREF _Toc24254 \h </w:instrText>
        </w:r>
        <w:r>
          <w:fldChar w:fldCharType="separate"/>
        </w:r>
        <w:r>
          <w:t>16</w:t>
        </w:r>
        <w:r>
          <w:fldChar w:fldCharType="end"/>
        </w:r>
      </w:hyperlink>
    </w:p>
    <w:p>
      <w:pPr>
        <w:pStyle w:val="TOC2"/>
        <w:tabs>
          <w:tab w:val="right" w:leader="dot" w:pos="8306"/>
        </w:tabs>
      </w:pPr>
      <w:hyperlink w:anchor="_Toc1017" w:history="1">
        <w:r>
          <w:rPr>
            <w:rFonts w:ascii="仿宋" w:eastAsia="仿宋" w:hAnsi="仿宋" w:cs="仿宋" w:hint="eastAsia"/>
            <w:lang w:eastAsia="zh-CN"/>
          </w:rPr>
          <w:t>(一)、水杨酸锌改性树脂(无碳复写纸显色剂)项目承办单位背景分析</w:t>
        </w:r>
        <w:r>
          <w:tab/>
        </w:r>
        <w:r>
          <w:fldChar w:fldCharType="begin"/>
        </w:r>
        <w:r>
          <w:instrText xml:space="preserve"> PAGEREF _Toc1017 \h </w:instrText>
        </w:r>
        <w:r>
          <w:fldChar w:fldCharType="separate"/>
        </w:r>
        <w:r>
          <w:t>16</w:t>
        </w:r>
        <w:r>
          <w:fldChar w:fldCharType="end"/>
        </w:r>
      </w:hyperlink>
    </w:p>
    <w:p>
      <w:pPr>
        <w:pStyle w:val="TOC2"/>
        <w:tabs>
          <w:tab w:val="right" w:leader="dot" w:pos="8306"/>
        </w:tabs>
      </w:pPr>
      <w:hyperlink w:anchor="_Toc17895" w:history="1">
        <w:r>
          <w:rPr>
            <w:rFonts w:ascii="仿宋" w:eastAsia="仿宋" w:hAnsi="仿宋" w:cs="仿宋" w:hint="eastAsia"/>
            <w:lang w:eastAsia="zh-CN"/>
          </w:rPr>
          <w:t>(二)、产业政策及发展规划</w:t>
        </w:r>
        <w:r>
          <w:tab/>
        </w:r>
        <w:r>
          <w:fldChar w:fldCharType="begin"/>
        </w:r>
        <w:r>
          <w:instrText xml:space="preserve"> PAGEREF _Toc17895 \h </w:instrText>
        </w:r>
        <w:r>
          <w:fldChar w:fldCharType="separate"/>
        </w:r>
        <w:r>
          <w:t>17</w:t>
        </w:r>
        <w:r>
          <w:fldChar w:fldCharType="end"/>
        </w:r>
      </w:hyperlink>
    </w:p>
    <w:p>
      <w:pPr>
        <w:pStyle w:val="TOC2"/>
        <w:tabs>
          <w:tab w:val="right" w:leader="dot" w:pos="8306"/>
        </w:tabs>
      </w:pPr>
      <w:hyperlink w:anchor="_Toc2031" w:history="1">
        <w:r>
          <w:rPr>
            <w:rFonts w:ascii="仿宋" w:eastAsia="仿宋" w:hAnsi="仿宋" w:cs="仿宋" w:hint="eastAsia"/>
            <w:lang w:eastAsia="zh-CN"/>
          </w:rPr>
          <w:t>(三)、鼓励中小企业发展</w:t>
        </w:r>
        <w:r>
          <w:tab/>
        </w:r>
        <w:r>
          <w:fldChar w:fldCharType="begin"/>
        </w:r>
        <w:r>
          <w:instrText xml:space="preserve"> PAGEREF _Toc2031 \h </w:instrText>
        </w:r>
        <w:r>
          <w:fldChar w:fldCharType="separate"/>
        </w:r>
        <w:r>
          <w:t>19</w:t>
        </w:r>
        <w:r>
          <w:fldChar w:fldCharType="end"/>
        </w:r>
      </w:hyperlink>
    </w:p>
    <w:p>
      <w:pPr>
        <w:pStyle w:val="TOC2"/>
        <w:tabs>
          <w:tab w:val="right" w:leader="dot" w:pos="8306"/>
        </w:tabs>
      </w:pPr>
      <w:hyperlink w:anchor="_Toc5202" w:history="1">
        <w:r>
          <w:rPr>
            <w:rFonts w:ascii="仿宋" w:eastAsia="仿宋" w:hAnsi="仿宋" w:cs="仿宋" w:hint="eastAsia"/>
            <w:lang w:eastAsia="zh-CN"/>
          </w:rPr>
          <w:t>(四)、宏观经济形势分析</w:t>
        </w:r>
        <w:r>
          <w:tab/>
        </w:r>
        <w:r>
          <w:fldChar w:fldCharType="begin"/>
        </w:r>
        <w:r>
          <w:instrText xml:space="preserve"> PAGEREF _Toc5202 \h </w:instrText>
        </w:r>
        <w:r>
          <w:fldChar w:fldCharType="separate"/>
        </w:r>
        <w:r>
          <w:t>20</w:t>
        </w:r>
        <w:r>
          <w:fldChar w:fldCharType="end"/>
        </w:r>
      </w:hyperlink>
    </w:p>
    <w:p>
      <w:pPr>
        <w:pStyle w:val="TOC2"/>
        <w:tabs>
          <w:tab w:val="right" w:leader="dot" w:pos="8306"/>
        </w:tabs>
      </w:pPr>
      <w:hyperlink w:anchor="_Toc31208" w:history="1">
        <w:r>
          <w:rPr>
            <w:rFonts w:ascii="仿宋" w:eastAsia="仿宋" w:hAnsi="仿宋" w:cs="仿宋" w:hint="eastAsia"/>
            <w:lang w:eastAsia="zh-CN"/>
          </w:rPr>
          <w:t>(五)、区域经济发展概况</w:t>
        </w:r>
        <w:r>
          <w:tab/>
        </w:r>
        <w:r>
          <w:fldChar w:fldCharType="begin"/>
        </w:r>
        <w:r>
          <w:instrText xml:space="preserve"> PAGEREF _Toc31208 \h </w:instrText>
        </w:r>
        <w:r>
          <w:fldChar w:fldCharType="separate"/>
        </w:r>
        <w:r>
          <w:t>21</w:t>
        </w:r>
        <w:r>
          <w:fldChar w:fldCharType="end"/>
        </w:r>
      </w:hyperlink>
    </w:p>
    <w:p>
      <w:pPr>
        <w:pStyle w:val="TOC2"/>
        <w:tabs>
          <w:tab w:val="right" w:leader="dot" w:pos="8306"/>
        </w:tabs>
      </w:pPr>
      <w:hyperlink w:anchor="_Toc25174" w:history="1">
        <w:r>
          <w:rPr>
            <w:rFonts w:ascii="仿宋" w:eastAsia="仿宋" w:hAnsi="仿宋" w:cs="仿宋" w:hint="eastAsia"/>
            <w:lang w:eastAsia="zh-CN"/>
          </w:rPr>
          <w:t>(六)、水杨酸锌改性树脂(无碳复写纸显色剂)项目必要性分析</w:t>
        </w:r>
        <w:r>
          <w:tab/>
        </w:r>
        <w:r>
          <w:fldChar w:fldCharType="begin"/>
        </w:r>
        <w:r>
          <w:instrText xml:space="preserve"> PAGEREF _Toc25174 \h </w:instrText>
        </w:r>
        <w:r>
          <w:fldChar w:fldCharType="separate"/>
        </w:r>
        <w:r>
          <w:t>23</w:t>
        </w:r>
        <w:r>
          <w:fldChar w:fldCharType="end"/>
        </w:r>
      </w:hyperlink>
    </w:p>
    <w:p>
      <w:pPr>
        <w:pStyle w:val="TOC1"/>
        <w:tabs>
          <w:tab w:val="right" w:leader="dot" w:pos="8306"/>
        </w:tabs>
      </w:pPr>
      <w:hyperlink w:anchor="_Toc28969" w:history="1">
        <w:r>
          <w:rPr>
            <w:rFonts w:ascii="仿宋" w:eastAsia="仿宋" w:hAnsi="仿宋" w:cs="仿宋" w:hint="eastAsia"/>
            <w:lang w:eastAsia="zh-CN"/>
          </w:rPr>
          <w:t>六、水杨酸锌改性树脂(无碳复写纸显色剂)项目风险评估</w:t>
        </w:r>
        <w:r>
          <w:tab/>
        </w:r>
        <w:r>
          <w:fldChar w:fldCharType="begin"/>
        </w:r>
        <w:r>
          <w:instrText xml:space="preserve"> PAGEREF _Toc28969 \h </w:instrText>
        </w:r>
        <w:r>
          <w:fldChar w:fldCharType="separate"/>
        </w:r>
        <w:r>
          <w:t>25</w:t>
        </w:r>
        <w:r>
          <w:fldChar w:fldCharType="end"/>
        </w:r>
      </w:hyperlink>
    </w:p>
    <w:p>
      <w:pPr>
        <w:pStyle w:val="TOC2"/>
        <w:tabs>
          <w:tab w:val="right" w:leader="dot" w:pos="8306"/>
        </w:tabs>
      </w:pPr>
      <w:hyperlink w:anchor="_Toc29004" w:history="1">
        <w:r>
          <w:rPr>
            <w:rFonts w:ascii="仿宋" w:eastAsia="仿宋" w:hAnsi="仿宋" w:cs="仿宋" w:hint="eastAsia"/>
            <w:lang w:eastAsia="zh-CN"/>
          </w:rPr>
          <w:t>(一)、政策风险分析</w:t>
        </w:r>
        <w:r>
          <w:tab/>
        </w:r>
        <w:r>
          <w:fldChar w:fldCharType="begin"/>
        </w:r>
        <w:r>
          <w:instrText xml:space="preserve"> PAGEREF _Toc29004 \h </w:instrText>
        </w:r>
        <w:r>
          <w:fldChar w:fldCharType="separate"/>
        </w:r>
        <w:r>
          <w:t>25</w:t>
        </w:r>
        <w:r>
          <w:fldChar w:fldCharType="end"/>
        </w:r>
      </w:hyperlink>
    </w:p>
    <w:p>
      <w:pPr>
        <w:pStyle w:val="TOC2"/>
        <w:tabs>
          <w:tab w:val="right" w:leader="dot" w:pos="8306"/>
        </w:tabs>
      </w:pPr>
      <w:hyperlink w:anchor="_Toc7234" w:history="1">
        <w:r>
          <w:rPr>
            <w:rFonts w:ascii="仿宋" w:eastAsia="仿宋" w:hAnsi="仿宋" w:cs="仿宋" w:hint="eastAsia"/>
            <w:lang w:eastAsia="zh-CN"/>
          </w:rPr>
          <w:t>(二)、社会风险分析</w:t>
        </w:r>
        <w:r>
          <w:tab/>
        </w:r>
        <w:r>
          <w:fldChar w:fldCharType="begin"/>
        </w:r>
        <w:r>
          <w:instrText xml:space="preserve"> PAGEREF _Toc7234 \h </w:instrText>
        </w:r>
        <w:r>
          <w:fldChar w:fldCharType="separate"/>
        </w:r>
        <w:r>
          <w:t>27</w:t>
        </w:r>
        <w:r>
          <w:fldChar w:fldCharType="end"/>
        </w:r>
      </w:hyperlink>
    </w:p>
    <w:p>
      <w:pPr>
        <w:pStyle w:val="TOC2"/>
        <w:tabs>
          <w:tab w:val="right" w:leader="dot" w:pos="8306"/>
        </w:tabs>
      </w:pPr>
      <w:hyperlink w:anchor="_Toc17838" w:history="1">
        <w:r>
          <w:rPr>
            <w:rFonts w:ascii="仿宋" w:eastAsia="仿宋" w:hAnsi="仿宋" w:cs="仿宋" w:hint="eastAsia"/>
            <w:lang w:eastAsia="zh-CN"/>
          </w:rPr>
          <w:t>(三)、市场风险分析</w:t>
        </w:r>
        <w:r>
          <w:tab/>
        </w:r>
        <w:r>
          <w:fldChar w:fldCharType="begin"/>
        </w:r>
        <w:r>
          <w:instrText xml:space="preserve"> PAGEREF _Toc17838 \h </w:instrText>
        </w:r>
        <w:r>
          <w:fldChar w:fldCharType="separate"/>
        </w:r>
        <w:r>
          <w:t>28</w:t>
        </w:r>
        <w:r>
          <w:fldChar w:fldCharType="end"/>
        </w:r>
      </w:hyperlink>
    </w:p>
    <w:p>
      <w:pPr>
        <w:pStyle w:val="TOC2"/>
        <w:tabs>
          <w:tab w:val="right" w:leader="dot" w:pos="8306"/>
        </w:tabs>
      </w:pPr>
      <w:hyperlink w:anchor="_Toc1327" w:history="1">
        <w:r>
          <w:rPr>
            <w:rFonts w:ascii="仿宋" w:eastAsia="仿宋" w:hAnsi="仿宋" w:cs="仿宋" w:hint="eastAsia"/>
            <w:lang w:eastAsia="zh-CN"/>
          </w:rPr>
          <w:t>(四)、资金风险分析</w:t>
        </w:r>
        <w:r>
          <w:tab/>
        </w:r>
        <w:r>
          <w:fldChar w:fldCharType="begin"/>
        </w:r>
        <w:r>
          <w:instrText xml:space="preserve"> PAGEREF _Toc1327 \h </w:instrText>
        </w:r>
        <w:r>
          <w:fldChar w:fldCharType="separate"/>
        </w:r>
        <w:r>
          <w:t>30</w:t>
        </w:r>
        <w:r>
          <w:fldChar w:fldCharType="end"/>
        </w:r>
      </w:hyperlink>
    </w:p>
    <w:p>
      <w:pPr>
        <w:pStyle w:val="TOC2"/>
        <w:tabs>
          <w:tab w:val="right" w:leader="dot" w:pos="8306"/>
        </w:tabs>
      </w:pPr>
      <w:hyperlink w:anchor="_Toc9041" w:history="1">
        <w:r>
          <w:rPr>
            <w:rFonts w:ascii="仿宋" w:eastAsia="仿宋" w:hAnsi="仿宋" w:cs="仿宋" w:hint="eastAsia"/>
            <w:lang w:eastAsia="zh-CN"/>
          </w:rPr>
          <w:t>(五)、技术风险分析</w:t>
        </w:r>
        <w:r>
          <w:tab/>
        </w:r>
        <w:r>
          <w:fldChar w:fldCharType="begin"/>
        </w:r>
        <w:r>
          <w:instrText xml:space="preserve"> PAGEREF _Toc9041 \h </w:instrText>
        </w:r>
        <w:r>
          <w:fldChar w:fldCharType="separate"/>
        </w:r>
        <w:r>
          <w:t>33</w:t>
        </w:r>
        <w:r>
          <w:fldChar w:fldCharType="end"/>
        </w:r>
      </w:hyperlink>
    </w:p>
    <w:p>
      <w:pPr>
        <w:pStyle w:val="TOC2"/>
        <w:tabs>
          <w:tab w:val="right" w:leader="dot" w:pos="8306"/>
        </w:tabs>
      </w:pPr>
      <w:hyperlink w:anchor="_Toc17193" w:history="1">
        <w:r>
          <w:rPr>
            <w:rFonts w:ascii="仿宋" w:eastAsia="仿宋" w:hAnsi="仿宋" w:cs="仿宋" w:hint="eastAsia"/>
            <w:lang w:eastAsia="zh-CN"/>
          </w:rPr>
          <w:t>(六)、财务风险分析</w:t>
        </w:r>
        <w:r>
          <w:tab/>
        </w:r>
        <w:r>
          <w:fldChar w:fldCharType="begin"/>
        </w:r>
        <w:r>
          <w:instrText xml:space="preserve"> PAGEREF _Toc17193 \h </w:instrText>
        </w:r>
        <w:r>
          <w:fldChar w:fldCharType="separate"/>
        </w:r>
        <w:r>
          <w:t>35</w:t>
        </w:r>
        <w:r>
          <w:fldChar w:fldCharType="end"/>
        </w:r>
      </w:hyperlink>
    </w:p>
    <w:p>
      <w:pPr>
        <w:pStyle w:val="TOC2"/>
        <w:tabs>
          <w:tab w:val="right" w:leader="dot" w:pos="8306"/>
        </w:tabs>
      </w:pPr>
      <w:hyperlink w:anchor="_Toc1114" w:history="1">
        <w:r>
          <w:rPr>
            <w:rFonts w:ascii="仿宋" w:eastAsia="仿宋" w:hAnsi="仿宋" w:cs="仿宋" w:hint="eastAsia"/>
            <w:lang w:eastAsia="zh-CN"/>
          </w:rPr>
          <w:t>(七)、管理风险分析</w:t>
        </w:r>
        <w:r>
          <w:tab/>
        </w:r>
        <w:r>
          <w:fldChar w:fldCharType="begin"/>
        </w:r>
        <w:r>
          <w:instrText xml:space="preserve"> PAGEREF _Toc1114 \h </w:instrText>
        </w:r>
        <w:r>
          <w:fldChar w:fldCharType="separate"/>
        </w:r>
        <w:r>
          <w:t>37</w:t>
        </w:r>
        <w:r>
          <w:fldChar w:fldCharType="end"/>
        </w:r>
      </w:hyperlink>
    </w:p>
    <w:p>
      <w:pPr>
        <w:pStyle w:val="TOC2"/>
        <w:tabs>
          <w:tab w:val="right" w:leader="dot" w:pos="8306"/>
        </w:tabs>
      </w:pPr>
      <w:hyperlink w:anchor="_Toc28747" w:history="1">
        <w:r>
          <w:rPr>
            <w:rFonts w:ascii="仿宋" w:eastAsia="仿宋" w:hAnsi="仿宋" w:cs="仿宋" w:hint="eastAsia"/>
            <w:lang w:eastAsia="zh-CN"/>
          </w:rPr>
          <w:t>(八)、其它风险分析</w:t>
        </w:r>
        <w:r>
          <w:tab/>
        </w:r>
        <w:r>
          <w:fldChar w:fldCharType="begin"/>
        </w:r>
        <w:r>
          <w:instrText xml:space="preserve"> PAGEREF _Toc28747 \h </w:instrText>
        </w:r>
        <w:r>
          <w:fldChar w:fldCharType="separate"/>
        </w:r>
        <w:r>
          <w:t>39</w:t>
        </w:r>
        <w:r>
          <w:fldChar w:fldCharType="end"/>
        </w:r>
      </w:hyperlink>
    </w:p>
    <w:p>
      <w:pPr>
        <w:pStyle w:val="TOC2"/>
        <w:tabs>
          <w:tab w:val="right" w:leader="dot" w:pos="8306"/>
        </w:tabs>
      </w:pPr>
      <w:hyperlink w:anchor="_Toc10455" w:history="1">
        <w:r>
          <w:rPr>
            <w:rFonts w:ascii="仿宋" w:eastAsia="仿宋" w:hAnsi="仿宋" w:cs="仿宋" w:hint="eastAsia"/>
            <w:lang w:eastAsia="zh-CN"/>
          </w:rPr>
          <w:t>(九)、社会影响评估</w:t>
        </w:r>
        <w:r>
          <w:tab/>
        </w:r>
        <w:r>
          <w:fldChar w:fldCharType="begin"/>
        </w:r>
        <w:r>
          <w:instrText xml:space="preserve"> PAGEREF _Toc10455 \h </w:instrText>
        </w:r>
        <w:r>
          <w:fldChar w:fldCharType="separate"/>
        </w:r>
        <w:r>
          <w:t>41</w:t>
        </w:r>
        <w:r>
          <w:fldChar w:fldCharType="end"/>
        </w:r>
      </w:hyperlink>
    </w:p>
    <w:p>
      <w:pPr>
        <w:pStyle w:val="TOC1"/>
        <w:tabs>
          <w:tab w:val="right" w:leader="dot" w:pos="8306"/>
        </w:tabs>
      </w:pPr>
      <w:hyperlink w:anchor="_Toc10568" w:history="1">
        <w:r>
          <w:rPr>
            <w:rFonts w:ascii="仿宋" w:eastAsia="仿宋" w:hAnsi="仿宋" w:cs="仿宋" w:hint="eastAsia"/>
            <w:lang w:eastAsia="zh-CN"/>
          </w:rPr>
          <w:t>七、员工福利与企业文化</w:t>
        </w:r>
        <w:r>
          <w:tab/>
        </w:r>
        <w:r>
          <w:fldChar w:fldCharType="begin"/>
        </w:r>
        <w:r>
          <w:instrText xml:space="preserve"> PAGEREF _Toc10568 \h </w:instrText>
        </w:r>
        <w:r>
          <w:fldChar w:fldCharType="separate"/>
        </w:r>
        <w:r>
          <w:t>43</w:t>
        </w:r>
        <w:r>
          <w:fldChar w:fldCharType="end"/>
        </w:r>
      </w:hyperlink>
    </w:p>
    <w:p>
      <w:pPr>
        <w:pStyle w:val="TOC2"/>
        <w:tabs>
          <w:tab w:val="right" w:leader="dot" w:pos="8306"/>
        </w:tabs>
      </w:pPr>
      <w:hyperlink w:anchor="_Toc3109" w:history="1">
        <w:r>
          <w:rPr>
            <w:rFonts w:ascii="仿宋" w:eastAsia="仿宋" w:hAnsi="仿宋" w:cs="仿宋" w:hint="eastAsia"/>
            <w:lang w:eastAsia="zh-CN"/>
          </w:rPr>
          <w:t>(一)、员工福利政策</w:t>
        </w:r>
        <w:r>
          <w:tab/>
        </w:r>
        <w:r>
          <w:fldChar w:fldCharType="begin"/>
        </w:r>
        <w:r>
          <w:instrText xml:space="preserve"> PAGEREF _Toc3109 \h </w:instrText>
        </w:r>
        <w:r>
          <w:fldChar w:fldCharType="separate"/>
        </w:r>
        <w:r>
          <w:t>43</w:t>
        </w:r>
        <w:r>
          <w:fldChar w:fldCharType="end"/>
        </w:r>
      </w:hyperlink>
    </w:p>
    <w:p>
      <w:pPr>
        <w:pStyle w:val="TOC2"/>
        <w:tabs>
          <w:tab w:val="right" w:leader="dot" w:pos="8306"/>
        </w:tabs>
      </w:pPr>
      <w:hyperlink w:anchor="_Toc20403" w:history="1">
        <w:r>
          <w:rPr>
            <w:rFonts w:ascii="仿宋" w:eastAsia="仿宋" w:hAnsi="仿宋" w:cs="仿宋" w:hint="eastAsia"/>
            <w:lang w:eastAsia="zh-CN"/>
          </w:rPr>
          <w:t>(二)、团队建设与员工培训</w:t>
        </w:r>
        <w:r>
          <w:tab/>
        </w:r>
        <w:r>
          <w:fldChar w:fldCharType="begin"/>
        </w:r>
        <w:r>
          <w:instrText xml:space="preserve"> PAGEREF _Toc20403 \h </w:instrText>
        </w:r>
        <w:r>
          <w:fldChar w:fldCharType="separate"/>
        </w:r>
        <w:r>
          <w:t>44</w:t>
        </w:r>
        <w:r>
          <w:fldChar w:fldCharType="end"/>
        </w:r>
      </w:hyperlink>
    </w:p>
    <w:p>
      <w:pPr>
        <w:pStyle w:val="TOC2"/>
        <w:tabs>
          <w:tab w:val="right" w:leader="dot" w:pos="8306"/>
        </w:tabs>
      </w:pPr>
      <w:hyperlink w:anchor="_Toc13963" w:history="1">
        <w:r>
          <w:rPr>
            <w:rFonts w:ascii="仿宋" w:eastAsia="仿宋" w:hAnsi="仿宋" w:cs="仿宋" w:hint="eastAsia"/>
            <w:lang w:eastAsia="zh-CN"/>
          </w:rPr>
          <w:t>(三)、企业文化建设</w:t>
        </w:r>
        <w:r>
          <w:tab/>
        </w:r>
        <w:r>
          <w:fldChar w:fldCharType="begin"/>
        </w:r>
        <w:r>
          <w:instrText xml:space="preserve"> PAGEREF _Toc13963 \h </w:instrText>
        </w:r>
        <w:r>
          <w:fldChar w:fldCharType="separate"/>
        </w:r>
        <w:r>
          <w:t>46</w:t>
        </w:r>
        <w:r>
          <w:fldChar w:fldCharType="end"/>
        </w:r>
      </w:hyperlink>
    </w:p>
    <w:p>
      <w:pPr>
        <w:pStyle w:val="TOC2"/>
        <w:tabs>
          <w:tab w:val="right" w:leader="dot" w:pos="8306"/>
        </w:tabs>
      </w:pPr>
      <w:hyperlink w:anchor="_Toc19374" w:history="1">
        <w:r>
          <w:rPr>
            <w:rFonts w:ascii="仿宋" w:eastAsia="仿宋" w:hAnsi="仿宋" w:cs="仿宋" w:hint="eastAsia"/>
            <w:lang w:eastAsia="zh-CN"/>
          </w:rPr>
          <w:t>(四)、员工健康与工作平衡</w:t>
        </w:r>
        <w:r>
          <w:tab/>
        </w:r>
        <w:r>
          <w:fldChar w:fldCharType="begin"/>
        </w:r>
        <w:r>
          <w:instrText xml:space="preserve"> PAGEREF _Toc19374 \h </w:instrText>
        </w:r>
        <w:r>
          <w:fldChar w:fldCharType="separate"/>
        </w:r>
        <w:r>
          <w:t>48</w:t>
        </w:r>
        <w:r>
          <w:fldChar w:fldCharType="end"/>
        </w:r>
      </w:hyperlink>
    </w:p>
    <w:p>
      <w:pPr>
        <w:pStyle w:val="TOC1"/>
        <w:tabs>
          <w:tab w:val="right" w:leader="dot" w:pos="8306"/>
        </w:tabs>
      </w:pPr>
      <w:hyperlink w:anchor="_Toc21685" w:history="1">
        <w:r>
          <w:rPr>
            <w:rFonts w:ascii="仿宋" w:eastAsia="仿宋" w:hAnsi="仿宋" w:cs="仿宋" w:hint="eastAsia"/>
            <w:lang w:eastAsia="zh-CN"/>
          </w:rPr>
          <w:t>八、知识管理与技术创新</w:t>
        </w:r>
        <w:r>
          <w:tab/>
        </w:r>
        <w:r>
          <w:fldChar w:fldCharType="begin"/>
        </w:r>
        <w:r>
          <w:instrText xml:space="preserve"> PAGEREF _Toc21685 \h </w:instrText>
        </w:r>
        <w:r>
          <w:fldChar w:fldCharType="separate"/>
        </w:r>
        <w:r>
          <w:t>49</w:t>
        </w:r>
        <w:r>
          <w:fldChar w:fldCharType="end"/>
        </w:r>
      </w:hyperlink>
    </w:p>
    <w:p>
      <w:pPr>
        <w:pStyle w:val="TOC2"/>
        <w:tabs>
          <w:tab w:val="right" w:leader="dot" w:pos="8306"/>
        </w:tabs>
      </w:pPr>
      <w:hyperlink w:anchor="_Toc12288" w:history="1">
        <w:r>
          <w:rPr>
            <w:rFonts w:ascii="仿宋" w:eastAsia="仿宋" w:hAnsi="仿宋" w:cs="仿宋" w:hint="eastAsia"/>
            <w:lang w:eastAsia="zh-CN"/>
          </w:rPr>
          <w:t>(一)、知识管理体系建设</w:t>
        </w:r>
        <w:r>
          <w:tab/>
        </w:r>
        <w:r>
          <w:fldChar w:fldCharType="begin"/>
        </w:r>
        <w:r>
          <w:instrText xml:space="preserve"> PAGEREF _Toc12288 \h </w:instrText>
        </w:r>
        <w:r>
          <w:fldChar w:fldCharType="separate"/>
        </w:r>
        <w:r>
          <w:t>49</w:t>
        </w:r>
        <w:r>
          <w:fldChar w:fldCharType="end"/>
        </w:r>
      </w:hyperlink>
    </w:p>
    <w:p>
      <w:pPr>
        <w:pStyle w:val="TOC2"/>
        <w:tabs>
          <w:tab w:val="right" w:leader="dot" w:pos="8306"/>
        </w:tabs>
      </w:pPr>
      <w:hyperlink w:anchor="_Toc3055" w:history="1">
        <w:r>
          <w:rPr>
            <w:rFonts w:ascii="仿宋" w:eastAsia="仿宋" w:hAnsi="仿宋" w:cs="仿宋" w:hint="eastAsia"/>
            <w:lang w:eastAsia="zh-CN"/>
          </w:rPr>
          <w:t>(二)、技术创新与研发投入</w:t>
        </w:r>
        <w:r>
          <w:tab/>
        </w:r>
        <w:r>
          <w:fldChar w:fldCharType="begin"/>
        </w:r>
        <w:r>
          <w:instrText xml:space="preserve"> PAGEREF _Toc3055 \h </w:instrText>
        </w:r>
        <w:r>
          <w:fldChar w:fldCharType="separate"/>
        </w:r>
        <w:r>
          <w:t>51</w:t>
        </w:r>
        <w:r>
          <w:fldChar w:fldCharType="end"/>
        </w:r>
      </w:hyperlink>
    </w:p>
    <w:p>
      <w:pPr>
        <w:pStyle w:val="TOC2"/>
        <w:tabs>
          <w:tab w:val="right" w:leader="dot" w:pos="8306"/>
        </w:tabs>
      </w:pPr>
      <w:hyperlink w:anchor="_Toc31708" w:history="1">
        <w:r>
          <w:rPr>
            <w:rFonts w:ascii="仿宋" w:eastAsia="仿宋" w:hAnsi="仿宋" w:cs="仿宋" w:hint="eastAsia"/>
            <w:lang w:eastAsia="zh-CN"/>
          </w:rPr>
          <w:t>(三)、专利申请与技术保护</w:t>
        </w:r>
        <w:r>
          <w:tab/>
        </w:r>
        <w:r>
          <w:fldChar w:fldCharType="begin"/>
        </w:r>
        <w:r>
          <w:instrText xml:space="preserve"> PAGEREF _Toc31708 \h </w:instrText>
        </w:r>
        <w:r>
          <w:fldChar w:fldCharType="separate"/>
        </w:r>
        <w:r>
          <w:t>53</w:t>
        </w:r>
        <w:r>
          <w:fldChar w:fldCharType="end"/>
        </w:r>
      </w:hyperlink>
    </w:p>
    <w:p>
      <w:pPr>
        <w:pStyle w:val="TOC2"/>
        <w:tabs>
          <w:tab w:val="right" w:leader="dot" w:pos="8306"/>
        </w:tabs>
      </w:pPr>
      <w:hyperlink w:anchor="_Toc31060" w:history="1">
        <w:r>
          <w:rPr>
            <w:rFonts w:ascii="仿宋" w:eastAsia="仿宋" w:hAnsi="仿宋" w:cs="仿宋" w:hint="eastAsia"/>
            <w:lang w:eastAsia="zh-CN"/>
          </w:rPr>
          <w:t>(四)、人才培养与团队建设</w:t>
        </w:r>
        <w:r>
          <w:tab/>
        </w:r>
        <w:r>
          <w:fldChar w:fldCharType="begin"/>
        </w:r>
        <w:r>
          <w:instrText xml:space="preserve"> PAGEREF _Toc31060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9" w:history="1">
        <w:r>
          <w:rPr>
            <w:rFonts w:ascii="仿宋" w:eastAsia="仿宋" w:hAnsi="仿宋" w:cs="仿宋" w:hint="eastAsia"/>
            <w:lang w:eastAsia="zh-CN"/>
          </w:rPr>
          <w:t>九、社会责任与可持续发展</w:t>
        </w:r>
        <w:r>
          <w:tab/>
        </w:r>
        <w:r>
          <w:fldChar w:fldCharType="begin"/>
        </w:r>
        <w:r>
          <w:instrText xml:space="preserve"> PAGEREF _Toc20449 \h </w:instrText>
        </w:r>
        <w:r>
          <w:fldChar w:fldCharType="separate"/>
        </w:r>
        <w:r>
          <w:t>58</w:t>
        </w:r>
        <w:r>
          <w:fldChar w:fldCharType="end"/>
        </w:r>
      </w:hyperlink>
    </w:p>
    <w:p>
      <w:pPr>
        <w:pStyle w:val="TOC2"/>
        <w:tabs>
          <w:tab w:val="right" w:leader="dot" w:pos="8306"/>
        </w:tabs>
      </w:pPr>
      <w:hyperlink w:anchor="_Toc31560" w:history="1">
        <w:r>
          <w:rPr>
            <w:rFonts w:ascii="仿宋" w:eastAsia="仿宋" w:hAnsi="仿宋" w:cs="仿宋" w:hint="eastAsia"/>
            <w:lang w:eastAsia="zh-CN"/>
          </w:rPr>
          <w:t>(一)、社会责任理念</w:t>
        </w:r>
        <w:r>
          <w:tab/>
        </w:r>
        <w:r>
          <w:fldChar w:fldCharType="begin"/>
        </w:r>
        <w:r>
          <w:instrText xml:space="preserve"> PAGEREF _Toc31560 \h </w:instrText>
        </w:r>
        <w:r>
          <w:fldChar w:fldCharType="separate"/>
        </w:r>
        <w:r>
          <w:t>58</w:t>
        </w:r>
        <w:r>
          <w:fldChar w:fldCharType="end"/>
        </w:r>
      </w:hyperlink>
    </w:p>
    <w:p>
      <w:pPr>
        <w:pStyle w:val="TOC2"/>
        <w:tabs>
          <w:tab w:val="right" w:leader="dot" w:pos="8306"/>
        </w:tabs>
      </w:pPr>
      <w:hyperlink w:anchor="_Toc22556" w:history="1">
        <w:r>
          <w:rPr>
            <w:rFonts w:ascii="仿宋" w:eastAsia="仿宋" w:hAnsi="仿宋" w:cs="仿宋" w:hint="eastAsia"/>
            <w:lang w:eastAsia="zh-CN"/>
          </w:rPr>
          <w:t>(二)、公益活动与社区参与</w:t>
        </w:r>
        <w:r>
          <w:tab/>
        </w:r>
        <w:r>
          <w:fldChar w:fldCharType="begin"/>
        </w:r>
        <w:r>
          <w:instrText xml:space="preserve"> PAGEREF _Toc22556 \h </w:instrText>
        </w:r>
        <w:r>
          <w:fldChar w:fldCharType="separate"/>
        </w:r>
        <w:r>
          <w:t>59</w:t>
        </w:r>
        <w:r>
          <w:fldChar w:fldCharType="end"/>
        </w:r>
      </w:hyperlink>
    </w:p>
    <w:p>
      <w:pPr>
        <w:pStyle w:val="TOC2"/>
        <w:tabs>
          <w:tab w:val="right" w:leader="dot" w:pos="8306"/>
        </w:tabs>
      </w:pPr>
      <w:hyperlink w:anchor="_Toc8183" w:history="1">
        <w:r>
          <w:rPr>
            <w:rFonts w:ascii="仿宋" w:eastAsia="仿宋" w:hAnsi="仿宋" w:cs="仿宋" w:hint="eastAsia"/>
            <w:lang w:eastAsia="zh-CN"/>
          </w:rPr>
          <w:t>(三)、可持续发展策略</w:t>
        </w:r>
        <w:r>
          <w:tab/>
        </w:r>
        <w:r>
          <w:fldChar w:fldCharType="begin"/>
        </w:r>
        <w:r>
          <w:instrText xml:space="preserve"> PAGEREF _Toc8183 \h </w:instrText>
        </w:r>
        <w:r>
          <w:fldChar w:fldCharType="separate"/>
        </w:r>
        <w:r>
          <w:t>61</w:t>
        </w:r>
        <w:r>
          <w:fldChar w:fldCharType="end"/>
        </w:r>
      </w:hyperlink>
    </w:p>
    <w:p>
      <w:pPr>
        <w:pStyle w:val="TOC2"/>
        <w:tabs>
          <w:tab w:val="right" w:leader="dot" w:pos="8306"/>
        </w:tabs>
      </w:pPr>
      <w:hyperlink w:anchor="_Toc31505" w:history="1">
        <w:r>
          <w:rPr>
            <w:rFonts w:ascii="仿宋" w:eastAsia="仿宋" w:hAnsi="仿宋" w:cs="仿宋" w:hint="eastAsia"/>
            <w:lang w:eastAsia="zh-CN"/>
          </w:rPr>
          <w:t>(四)、企业文化与价值观</w:t>
        </w:r>
        <w:r>
          <w:tab/>
        </w:r>
        <w:r>
          <w:fldChar w:fldCharType="begin"/>
        </w:r>
        <w:r>
          <w:instrText xml:space="preserve"> PAGEREF _Toc31505 \h </w:instrText>
        </w:r>
        <w:r>
          <w:fldChar w:fldCharType="separate"/>
        </w:r>
        <w:r>
          <w:t>62</w:t>
        </w:r>
        <w:r>
          <w:fldChar w:fldCharType="end"/>
        </w:r>
      </w:hyperlink>
    </w:p>
    <w:p>
      <w:pPr>
        <w:pStyle w:val="TOC1"/>
        <w:tabs>
          <w:tab w:val="right" w:leader="dot" w:pos="8306"/>
        </w:tabs>
      </w:pPr>
      <w:hyperlink w:anchor="_Toc10423" w:history="1">
        <w:r>
          <w:rPr>
            <w:rFonts w:ascii="仿宋" w:eastAsia="仿宋" w:hAnsi="仿宋" w:cs="仿宋" w:hint="eastAsia"/>
            <w:lang w:eastAsia="zh-CN"/>
          </w:rPr>
          <w:t>十、风险管理与应对策略</w:t>
        </w:r>
        <w:r>
          <w:tab/>
        </w:r>
        <w:r>
          <w:fldChar w:fldCharType="begin"/>
        </w:r>
        <w:r>
          <w:instrText xml:space="preserve"> PAGEREF _Toc10423 \h </w:instrText>
        </w:r>
        <w:r>
          <w:fldChar w:fldCharType="separate"/>
        </w:r>
        <w:r>
          <w:t>64</w:t>
        </w:r>
        <w:r>
          <w:fldChar w:fldCharType="end"/>
        </w:r>
      </w:hyperlink>
    </w:p>
    <w:p>
      <w:pPr>
        <w:pStyle w:val="TOC2"/>
        <w:tabs>
          <w:tab w:val="right" w:leader="dot" w:pos="8306"/>
        </w:tabs>
      </w:pPr>
      <w:hyperlink w:anchor="_Toc7701" w:history="1">
        <w:r>
          <w:rPr>
            <w:rFonts w:ascii="仿宋" w:eastAsia="仿宋" w:hAnsi="仿宋" w:cs="仿宋" w:hint="eastAsia"/>
            <w:lang w:eastAsia="zh-CN"/>
          </w:rPr>
          <w:t>(一)、风险管理流程</w:t>
        </w:r>
        <w:r>
          <w:tab/>
        </w:r>
        <w:r>
          <w:fldChar w:fldCharType="begin"/>
        </w:r>
        <w:r>
          <w:instrText xml:space="preserve"> PAGEREF _Toc7701 \h </w:instrText>
        </w:r>
        <w:r>
          <w:fldChar w:fldCharType="separate"/>
        </w:r>
        <w:r>
          <w:t>64</w:t>
        </w:r>
        <w:r>
          <w:fldChar w:fldCharType="end"/>
        </w:r>
      </w:hyperlink>
    </w:p>
    <w:p>
      <w:pPr>
        <w:pStyle w:val="TOC2"/>
        <w:tabs>
          <w:tab w:val="right" w:leader="dot" w:pos="8306"/>
        </w:tabs>
      </w:pPr>
      <w:hyperlink w:anchor="_Toc20856" w:history="1">
        <w:r>
          <w:rPr>
            <w:rFonts w:ascii="仿宋" w:eastAsia="仿宋" w:hAnsi="仿宋" w:cs="仿宋" w:hint="eastAsia"/>
            <w:lang w:eastAsia="zh-CN"/>
          </w:rPr>
          <w:t>(二)、风险识别与评估</w:t>
        </w:r>
        <w:r>
          <w:tab/>
        </w:r>
        <w:r>
          <w:fldChar w:fldCharType="begin"/>
        </w:r>
        <w:r>
          <w:instrText xml:space="preserve"> PAGEREF _Toc20856 \h </w:instrText>
        </w:r>
        <w:r>
          <w:fldChar w:fldCharType="separate"/>
        </w:r>
        <w:r>
          <w:t>67</w:t>
        </w:r>
        <w:r>
          <w:fldChar w:fldCharType="end"/>
        </w:r>
      </w:hyperlink>
    </w:p>
    <w:p>
      <w:pPr>
        <w:pStyle w:val="TOC2"/>
        <w:tabs>
          <w:tab w:val="right" w:leader="dot" w:pos="8306"/>
        </w:tabs>
      </w:pPr>
      <w:hyperlink w:anchor="_Toc4486" w:history="1">
        <w:r>
          <w:rPr>
            <w:rFonts w:ascii="仿宋" w:eastAsia="仿宋" w:hAnsi="仿宋" w:cs="仿宋" w:hint="eastAsia"/>
            <w:lang w:eastAsia="zh-CN"/>
          </w:rPr>
          <w:t>(三)、风险控制与应对策略</w:t>
        </w:r>
        <w:r>
          <w:tab/>
        </w:r>
        <w:r>
          <w:fldChar w:fldCharType="begin"/>
        </w:r>
        <w:r>
          <w:instrText xml:space="preserve"> PAGEREF _Toc4486 \h </w:instrText>
        </w:r>
        <w:r>
          <w:fldChar w:fldCharType="separate"/>
        </w:r>
        <w:r>
          <w:t>69</w:t>
        </w:r>
        <w:r>
          <w:fldChar w:fldCharType="end"/>
        </w:r>
      </w:hyperlink>
    </w:p>
    <w:p>
      <w:pPr>
        <w:pStyle w:val="TOC2"/>
        <w:tabs>
          <w:tab w:val="right" w:leader="dot" w:pos="8306"/>
        </w:tabs>
      </w:pPr>
      <w:hyperlink w:anchor="_Toc17574" w:history="1">
        <w:r>
          <w:rPr>
            <w:rFonts w:ascii="仿宋" w:eastAsia="仿宋" w:hAnsi="仿宋" w:cs="仿宋" w:hint="eastAsia"/>
            <w:lang w:eastAsia="zh-CN"/>
          </w:rPr>
          <w:t>(四)、危机管理与应急预案</w:t>
        </w:r>
        <w:r>
          <w:tab/>
        </w:r>
        <w:r>
          <w:fldChar w:fldCharType="begin"/>
        </w:r>
        <w:r>
          <w:instrText xml:space="preserve"> PAGEREF _Toc17574 \h </w:instrText>
        </w:r>
        <w:r>
          <w:fldChar w:fldCharType="separate"/>
        </w:r>
        <w:r>
          <w:t>71</w:t>
        </w:r>
        <w:r>
          <w:fldChar w:fldCharType="end"/>
        </w:r>
      </w:hyperlink>
    </w:p>
    <w:p>
      <w:pPr>
        <w:pStyle w:val="TOC1"/>
        <w:tabs>
          <w:tab w:val="right" w:leader="dot" w:pos="8306"/>
        </w:tabs>
      </w:pPr>
      <w:hyperlink w:anchor="_Toc2973" w:history="1">
        <w:r>
          <w:rPr>
            <w:rFonts w:ascii="仿宋" w:eastAsia="仿宋" w:hAnsi="仿宋" w:cs="仿宋" w:hint="eastAsia"/>
            <w:lang w:eastAsia="zh-CN"/>
          </w:rPr>
          <w:t>十一、市场趋势与竞争分析</w:t>
        </w:r>
        <w:r>
          <w:tab/>
        </w:r>
        <w:r>
          <w:fldChar w:fldCharType="begin"/>
        </w:r>
        <w:r>
          <w:instrText xml:space="preserve"> PAGEREF _Toc2973 \h </w:instrText>
        </w:r>
        <w:r>
          <w:fldChar w:fldCharType="separate"/>
        </w:r>
        <w:r>
          <w:t>73</w:t>
        </w:r>
        <w:r>
          <w:fldChar w:fldCharType="end"/>
        </w:r>
      </w:hyperlink>
    </w:p>
    <w:p>
      <w:pPr>
        <w:pStyle w:val="TOC2"/>
        <w:tabs>
          <w:tab w:val="right" w:leader="dot" w:pos="8306"/>
        </w:tabs>
      </w:pPr>
      <w:hyperlink w:anchor="_Toc10023" w:history="1">
        <w:r>
          <w:rPr>
            <w:rFonts w:ascii="仿宋" w:eastAsia="仿宋" w:hAnsi="仿宋" w:cs="仿宋" w:hint="eastAsia"/>
            <w:lang w:eastAsia="zh-CN"/>
          </w:rPr>
          <w:t>(一)、行业市场趋势分析</w:t>
        </w:r>
        <w:r>
          <w:tab/>
        </w:r>
        <w:r>
          <w:fldChar w:fldCharType="begin"/>
        </w:r>
        <w:r>
          <w:instrText xml:space="preserve"> PAGEREF _Toc10023 \h </w:instrText>
        </w:r>
        <w:r>
          <w:fldChar w:fldCharType="separate"/>
        </w:r>
        <w:r>
          <w:t>73</w:t>
        </w:r>
        <w:r>
          <w:fldChar w:fldCharType="end"/>
        </w:r>
      </w:hyperlink>
    </w:p>
    <w:p>
      <w:pPr>
        <w:pStyle w:val="TOC2"/>
        <w:tabs>
          <w:tab w:val="right" w:leader="dot" w:pos="8306"/>
        </w:tabs>
      </w:pPr>
      <w:hyperlink w:anchor="_Toc3820" w:history="1">
        <w:r>
          <w:rPr>
            <w:rFonts w:ascii="仿宋" w:eastAsia="仿宋" w:hAnsi="仿宋" w:cs="仿宋" w:hint="eastAsia"/>
            <w:lang w:eastAsia="zh-CN"/>
          </w:rPr>
          <w:t>(二)、竞争对手动态监测</w:t>
        </w:r>
        <w:r>
          <w:tab/>
        </w:r>
        <w:r>
          <w:fldChar w:fldCharType="begin"/>
        </w:r>
        <w:r>
          <w:instrText xml:space="preserve"> PAGEREF _Toc3820 \h </w:instrText>
        </w:r>
        <w:r>
          <w:fldChar w:fldCharType="separate"/>
        </w:r>
        <w:r>
          <w:t>75</w:t>
        </w:r>
        <w:r>
          <w:fldChar w:fldCharType="end"/>
        </w:r>
      </w:hyperlink>
    </w:p>
    <w:p>
      <w:pPr>
        <w:pStyle w:val="TOC2"/>
        <w:tabs>
          <w:tab w:val="right" w:leader="dot" w:pos="8306"/>
        </w:tabs>
      </w:pPr>
      <w:hyperlink w:anchor="_Toc17765" w:history="1">
        <w:r>
          <w:rPr>
            <w:rFonts w:ascii="仿宋" w:eastAsia="仿宋" w:hAnsi="仿宋" w:cs="仿宋" w:hint="eastAsia"/>
            <w:lang w:eastAsia="zh-CN"/>
          </w:rPr>
          <w:t>(三)、新兴技术与创新趋势</w:t>
        </w:r>
        <w:r>
          <w:tab/>
        </w:r>
        <w:r>
          <w:fldChar w:fldCharType="begin"/>
        </w:r>
        <w:r>
          <w:instrText xml:space="preserve"> PAGEREF _Toc17765 \h </w:instrText>
        </w:r>
        <w:r>
          <w:fldChar w:fldCharType="separate"/>
        </w:r>
        <w:r>
          <w:t>77</w:t>
        </w:r>
        <w:r>
          <w:fldChar w:fldCharType="end"/>
        </w:r>
      </w:hyperlink>
    </w:p>
    <w:p>
      <w:pPr>
        <w:pStyle w:val="TOC2"/>
        <w:tabs>
          <w:tab w:val="right" w:leader="dot" w:pos="8306"/>
        </w:tabs>
      </w:pPr>
      <w:hyperlink w:anchor="_Toc16846" w:history="1">
        <w:r>
          <w:rPr>
            <w:rFonts w:ascii="仿宋" w:eastAsia="仿宋" w:hAnsi="仿宋" w:cs="仿宋" w:hint="eastAsia"/>
            <w:lang w:eastAsia="zh-CN"/>
          </w:rPr>
          <w:t>(四)、市场机会与威胁评估</w:t>
        </w:r>
        <w:r>
          <w:tab/>
        </w:r>
        <w:r>
          <w:fldChar w:fldCharType="begin"/>
        </w:r>
        <w:r>
          <w:instrText xml:space="preserve"> PAGEREF _Toc16846 \h </w:instrText>
        </w:r>
        <w:r>
          <w:fldChar w:fldCharType="separate"/>
        </w:r>
        <w:r>
          <w:t>79</w:t>
        </w:r>
        <w:r>
          <w:fldChar w:fldCharType="end"/>
        </w:r>
      </w:hyperlink>
    </w:p>
    <w:p>
      <w:pPr>
        <w:pStyle w:val="TOC1"/>
        <w:tabs>
          <w:tab w:val="right" w:leader="dot" w:pos="8306"/>
        </w:tabs>
      </w:pPr>
      <w:hyperlink w:anchor="_Toc29057" w:history="1">
        <w:r>
          <w:rPr>
            <w:rFonts w:ascii="仿宋" w:eastAsia="仿宋" w:hAnsi="仿宋" w:cs="仿宋" w:hint="eastAsia"/>
            <w:lang w:eastAsia="zh-CN"/>
          </w:rPr>
          <w:t>十二、法律与合规性</w:t>
        </w:r>
        <w:r>
          <w:tab/>
        </w:r>
        <w:r>
          <w:fldChar w:fldCharType="begin"/>
        </w:r>
        <w:r>
          <w:instrText xml:space="preserve"> PAGEREF _Toc29057 \h </w:instrText>
        </w:r>
        <w:r>
          <w:fldChar w:fldCharType="separate"/>
        </w:r>
        <w:r>
          <w:t>81</w:t>
        </w:r>
        <w:r>
          <w:fldChar w:fldCharType="end"/>
        </w:r>
      </w:hyperlink>
    </w:p>
    <w:p>
      <w:pPr>
        <w:pStyle w:val="TOC2"/>
        <w:tabs>
          <w:tab w:val="right" w:leader="dot" w:pos="8306"/>
        </w:tabs>
      </w:pPr>
      <w:hyperlink w:anchor="_Toc9809" w:history="1">
        <w:r>
          <w:rPr>
            <w:rFonts w:ascii="仿宋" w:eastAsia="仿宋" w:hAnsi="仿宋" w:cs="仿宋" w:hint="eastAsia"/>
            <w:lang w:eastAsia="zh-CN"/>
          </w:rPr>
          <w:t>(一)、相关法律法规概述</w:t>
        </w:r>
        <w:r>
          <w:tab/>
        </w:r>
        <w:r>
          <w:fldChar w:fldCharType="begin"/>
        </w:r>
        <w:r>
          <w:instrText xml:space="preserve"> PAGEREF _Toc9809 \h </w:instrText>
        </w:r>
        <w:r>
          <w:fldChar w:fldCharType="separate"/>
        </w:r>
        <w:r>
          <w:t>81</w:t>
        </w:r>
        <w:r>
          <w:fldChar w:fldCharType="end"/>
        </w:r>
      </w:hyperlink>
    </w:p>
    <w:p>
      <w:pPr>
        <w:pStyle w:val="TOC2"/>
        <w:tabs>
          <w:tab w:val="right" w:leader="dot" w:pos="8306"/>
        </w:tabs>
      </w:pPr>
      <w:hyperlink w:anchor="_Toc25621" w:history="1">
        <w:r>
          <w:rPr>
            <w:rFonts w:ascii="仿宋" w:eastAsia="仿宋" w:hAnsi="仿宋" w:cs="仿宋" w:hint="eastAsia"/>
            <w:lang w:eastAsia="zh-CN"/>
          </w:rPr>
          <w:t>(二)、水杨酸锌改性树脂(无碳复写纸显色剂)项目合同管理</w:t>
        </w:r>
        <w:r>
          <w:tab/>
        </w:r>
        <w:r>
          <w:fldChar w:fldCharType="begin"/>
        </w:r>
        <w:r>
          <w:instrText xml:space="preserve"> PAGEREF _Toc25621 \h </w:instrText>
        </w:r>
        <w:r>
          <w:fldChar w:fldCharType="separate"/>
        </w:r>
        <w:r>
          <w:t>83</w:t>
        </w:r>
        <w:r>
          <w:fldChar w:fldCharType="end"/>
        </w:r>
      </w:hyperlink>
    </w:p>
    <w:p>
      <w:pPr>
        <w:pStyle w:val="TOC2"/>
        <w:tabs>
          <w:tab w:val="right" w:leader="dot" w:pos="8306"/>
        </w:tabs>
      </w:pPr>
      <w:hyperlink w:anchor="_Toc24156" w:history="1">
        <w:r>
          <w:rPr>
            <w:rFonts w:ascii="仿宋" w:eastAsia="仿宋" w:hAnsi="仿宋" w:cs="仿宋" w:hint="eastAsia"/>
            <w:lang w:eastAsia="zh-CN"/>
          </w:rPr>
          <w:t>(三)、知识产权保护</w:t>
        </w:r>
        <w:r>
          <w:tab/>
        </w:r>
        <w:r>
          <w:fldChar w:fldCharType="begin"/>
        </w:r>
        <w:r>
          <w:instrText xml:space="preserve"> PAGEREF _Toc24156 \h </w:instrText>
        </w:r>
        <w:r>
          <w:fldChar w:fldCharType="separate"/>
        </w:r>
        <w:r>
          <w:t>86</w:t>
        </w:r>
        <w:r>
          <w:fldChar w:fldCharType="end"/>
        </w:r>
      </w:hyperlink>
    </w:p>
    <w:p>
      <w:pPr>
        <w:pStyle w:val="TOC2"/>
        <w:tabs>
          <w:tab w:val="right" w:leader="dot" w:pos="8306"/>
        </w:tabs>
      </w:pPr>
      <w:hyperlink w:anchor="_Toc15423" w:history="1">
        <w:r>
          <w:rPr>
            <w:rFonts w:ascii="仿宋" w:eastAsia="仿宋" w:hAnsi="仿宋" w:cs="仿宋" w:hint="eastAsia"/>
            <w:lang w:eastAsia="zh-CN"/>
          </w:rPr>
          <w:t>(四)、劳动法规与员工权益</w:t>
        </w:r>
        <w:r>
          <w:tab/>
        </w:r>
        <w:r>
          <w:fldChar w:fldCharType="begin"/>
        </w:r>
        <w:r>
          <w:instrText xml:space="preserve"> PAGEREF _Toc15423 \h </w:instrText>
        </w:r>
        <w:r>
          <w:fldChar w:fldCharType="separate"/>
        </w:r>
        <w:r>
          <w:t>87</w:t>
        </w:r>
        <w:r>
          <w:fldChar w:fldCharType="end"/>
        </w:r>
      </w:hyperlink>
    </w:p>
    <w:p>
      <w:pPr>
        <w:pStyle w:val="TOC2"/>
        <w:tabs>
          <w:tab w:val="right" w:leader="dot" w:pos="8306"/>
        </w:tabs>
      </w:pPr>
      <w:hyperlink w:anchor="_Toc17954" w:history="1">
        <w:r>
          <w:rPr>
            <w:rFonts w:ascii="仿宋" w:eastAsia="仿宋" w:hAnsi="仿宋" w:cs="仿宋" w:hint="eastAsia"/>
            <w:lang w:eastAsia="zh-CN"/>
          </w:rPr>
          <w:t>(五)、环境保护法规遵循</w:t>
        </w:r>
        <w:r>
          <w:tab/>
        </w:r>
        <w:r>
          <w:fldChar w:fldCharType="begin"/>
        </w:r>
        <w:r>
          <w:instrText xml:space="preserve"> PAGEREF _Toc17954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杨酸锌改性树脂(无碳复写纸显色剂)项目复杂性日益增加，全面而科学的水杨酸锌改性树脂(无碳复写纸显色剂)项目管理方法论对于确保水杨酸锌改性树脂(无碳复写纸显色剂)项目成功至关重要。本水杨酸锌改性树脂(无碳复写纸显色剂)项目报告系统阐述了水杨酸锌改性树脂(无碳复写纸显色剂)项目启动、规划、执行、监控与收尾的全过程，强调在动态环境中对策略的灵活调整与优化。报告旨在提供一套适应性强、实用性高的水杨酸锌改性树脂(无碳复写纸显色剂)项目管理框架，便于读者掌握和应用于实际工作中。在此，我们明确指出报告内容仅限于学习交流之目的，严禁用于任何商业用途，力求促进水杨酸锌改性树脂(无碳复写纸显色剂)项目管理知识的普及与提升。</w:t>
      </w:r>
    </w:p>
    <w:p>
      <w:pPr>
        <w:pStyle w:val="Heading1"/>
        <w:ind w:firstLine="560" w:firstLineChars="200"/>
        <w:rPr>
          <w:rFonts w:ascii="仿宋" w:eastAsia="仿宋" w:hAnsi="仿宋" w:cs="仿宋" w:hint="eastAsia"/>
          <w:sz w:val="28"/>
          <w:lang w:eastAsia="zh-CN"/>
        </w:rPr>
      </w:pPr>
      <w:bookmarkStart w:id="2" w:name="_Toc9613"/>
      <w:r>
        <w:rPr>
          <w:rFonts w:ascii="仿宋" w:eastAsia="仿宋" w:hAnsi="仿宋" w:cs="仿宋" w:hint="eastAsia"/>
          <w:sz w:val="28"/>
          <w:lang w:eastAsia="zh-CN"/>
        </w:rPr>
        <w:t>一、水杨酸锌改性树脂(无碳复写纸显色剂)项目市场前景分析</w:t>
      </w:r>
      <w:bookmarkEnd w:id="2"/>
    </w:p>
    <w:p>
      <w:pPr>
        <w:pStyle w:val="Heading2"/>
        <w:rPr>
          <w:rFonts w:ascii="仿宋" w:eastAsia="仿宋" w:hAnsi="仿宋" w:cs="仿宋" w:hint="eastAsia"/>
          <w:lang w:eastAsia="zh-CN"/>
        </w:rPr>
      </w:pPr>
      <w:bookmarkStart w:id="3" w:name="_Toc10242"/>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水杨酸锌改性树脂(无碳复写纸显色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为适应经济快速发展的需要，建设地加大了对基础设施建设的投入。新建、改建的高速公路、城市轨道交通、现代化港口等水杨酸锌改性树脂(无碳复写纸显色剂)项目得到了快速推进，提高了城市的综合竞争力。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水杨酸锌改性树脂(无碳复写纸显色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建设地积极参与区域合作和国际交往，拓展了多领域的国际合作水杨酸锌改性树脂(无碳复写纸显色剂)项目。通过加强国际交流，该地区引进了大量国外优质技术和资金，同时推动了本地产业的对外拓展。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5175"/>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水杨酸锌改性树脂(无碳复写纸显色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6971"/>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1424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453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水杨酸锌改性树脂(无碳复写纸显色剂)项目总征地面积XXXX平方米（折合约XX亩），其中：净用地面积XXXX平方米（红线范围折合约XX亩）。水杨酸锌改性树脂(无碳复写纸显色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所占用的地面积充分考虑了红线范围，确保了水杨酸锌改性树脂(无碳复写纸显色剂)项目的合规性和可持续发展。规划建设主体工程和计容建筑面积的设定旨在满足水杨酸锌改性树脂(无碳复写纸显色剂)项目的生产和办公需求，为企业提供充足的工作空间。预计的建筑工程投资将用于水杨酸锌改性树脂(无碳复写纸显色剂)项目的基础设施建设，为水杨酸锌改性树脂(无碳复写纸显色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计划购置设备共计XX台（套），设备购置费XXXX万元。这些设备涵盖了生产、研发和办公等多个领域，包括先进的生产设备、办公设备和实验室设备等。设备购置费用的投入将确保水杨酸锌改性树脂(无碳复写纸显色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计划总投资XXXX万元，预计年实现营业收入XXXX万元。这一部分涵盖了整个水杨酸锌改性树脂(无碳复写纸显色剂)项目的经济规模和财务计划。总投资将用于水杨酸锌改性树脂(无碳复写纸显色剂)项目的建设、设备购置、人才引进等多个方面，确保水杨酸锌改性树脂(无碳复写纸显色剂)项目的全面发展。预计年实现的营业收入则是对水杨酸锌改性树脂(无碳复写纸显色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27229"/>
      <w:r>
        <w:rPr>
          <w:rFonts w:ascii="仿宋" w:eastAsia="仿宋" w:hAnsi="仿宋" w:cs="仿宋" w:hint="eastAsia"/>
          <w:sz w:val="28"/>
          <w:lang w:eastAsia="zh-CN"/>
        </w:rPr>
        <w:t>三、工艺分析</w:t>
      </w:r>
      <w:bookmarkEnd w:id="8"/>
    </w:p>
    <w:p>
      <w:pPr>
        <w:pStyle w:val="Heading2"/>
        <w:rPr>
          <w:rFonts w:ascii="仿宋" w:eastAsia="仿宋" w:hAnsi="仿宋" w:cs="仿宋" w:hint="eastAsia"/>
          <w:lang w:eastAsia="zh-CN"/>
        </w:rPr>
      </w:pPr>
      <w:bookmarkStart w:id="9" w:name="_Toc1138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水杨酸锌改性树脂(无碳复写纸显色剂)项目中显现出多层面的复杂性和有机性。其系统性突显在对广泛技术领域的全面规划和整合，要求各技术要素相互协调，以确保水杨酸锌改性树脂(无碳复写纸显色剂)项目整体协同。这种系统性要求技术管理者在水杨酸锌改性树脂(无碳复写纸显色剂)项目中全局思考，以适应多元领域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水杨酸锌改性树脂(无碳复写纸显色剂)项目进步的引擎。这种创新力使技术管理不仅仅是问题应对，更是水杨酸锌改性树脂(无碳复写纸显色剂)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水杨酸锌改性树脂(无碳复写纸显色剂)项目技术方案的综合有效性。</w:t>
      </w:r>
    </w:p>
    <w:p>
      <w:pPr>
        <w:pStyle w:val="Heading2"/>
        <w:ind w:firstLine="560" w:firstLineChars="200"/>
        <w:rPr>
          <w:rFonts w:ascii="仿宋" w:eastAsia="仿宋" w:hAnsi="仿宋" w:cs="仿宋" w:hint="eastAsia"/>
          <w:sz w:val="28"/>
          <w:lang w:eastAsia="zh-CN"/>
        </w:rPr>
      </w:pPr>
      <w:bookmarkStart w:id="10" w:name="_Toc16494"/>
      <w:r>
        <w:rPr>
          <w:rFonts w:ascii="仿宋" w:eastAsia="仿宋" w:hAnsi="仿宋" w:cs="仿宋" w:hint="eastAsia"/>
          <w:sz w:val="28"/>
          <w:lang w:eastAsia="zh-CN"/>
        </w:rPr>
        <w:t>(二)、水杨酸锌改性树脂(无碳复写纸显色剂)项目工艺技术设计方案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水杨酸锌改性树脂(无碳复写纸显色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水杨酸锌改性树脂(无碳复写纸显色剂)项目的实际需求，并与整个生产流程协同工作，确保设备的使用不成为水杨酸锌改性树脂(无碳复写纸显色剂)项目的瓶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3112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水杨酸锌改性树脂(无碳复写纸显色剂)项目投资风险，最大限度地减少总体水杨酸锌改性树脂(无碳复写纸显色剂)项目成本。在投资水杨酸锌改性树脂(无碳复写纸显色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水杨酸锌改性树脂(无碳复写纸显色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水杨酸锌改性树脂(无碳复写纸显色剂)项目的生产设备具备最佳性能和效益，以满足水杨酸锌改性树脂(无碳复写纸显色剂)项目长期的发展需求。</w:t>
      </w:r>
    </w:p>
    <w:p>
      <w:pPr>
        <w:pStyle w:val="Heading1"/>
        <w:ind w:firstLine="560" w:firstLineChars="200"/>
        <w:rPr>
          <w:rFonts w:ascii="仿宋" w:eastAsia="仿宋" w:hAnsi="仿宋" w:cs="仿宋" w:hint="eastAsia"/>
          <w:sz w:val="28"/>
          <w:lang w:eastAsia="zh-CN"/>
        </w:rPr>
      </w:pPr>
      <w:bookmarkStart w:id="12" w:name="_Toc9036"/>
      <w:r>
        <w:rPr>
          <w:rFonts w:ascii="仿宋" w:eastAsia="仿宋" w:hAnsi="仿宋" w:cs="仿宋" w:hint="eastAsia"/>
          <w:sz w:val="28"/>
          <w:lang w:eastAsia="zh-CN"/>
        </w:rPr>
        <w:t>四、建设单位基本信息</w:t>
      </w:r>
      <w:bookmarkEnd w:id="12"/>
    </w:p>
    <w:p>
      <w:pPr>
        <w:pStyle w:val="Heading2"/>
        <w:rPr>
          <w:rFonts w:ascii="仿宋" w:eastAsia="仿宋" w:hAnsi="仿宋" w:cs="仿宋" w:hint="eastAsia"/>
          <w:lang w:eastAsia="zh-CN"/>
        </w:rPr>
      </w:pPr>
      <w:bookmarkStart w:id="13" w:name="_Toc18954"/>
      <w:r>
        <w:rPr>
          <w:rFonts w:ascii="仿宋" w:eastAsia="仿宋" w:hAnsi="仿宋" w:cs="仿宋" w:hint="eastAsia"/>
          <w:lang w:eastAsia="zh-CN"/>
        </w:rPr>
        <w:t>(一)、水杨酸锌改性树脂(无碳复写纸显色剂)项目承办单位基本情况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一、水杨酸锌改性树脂(无碳复写纸显色剂)项目承办单位基本情况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4" w:name="_Toc1637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公司的综合投资回报率为XX%，在水杨酸锌改性树脂(无碳复写纸显色剂)项目、市场推广和研发等方面的投资取得了良好的回报。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5" w:name="_Toc24254"/>
      <w:r>
        <w:rPr>
          <w:rFonts w:ascii="仿宋" w:eastAsia="仿宋" w:hAnsi="仿宋" w:cs="仿宋" w:hint="eastAsia"/>
          <w:sz w:val="28"/>
          <w:lang w:eastAsia="zh-CN"/>
        </w:rPr>
        <w:t>五、投资背景及必要性分析</w:t>
      </w:r>
      <w:bookmarkEnd w:id="15"/>
    </w:p>
    <w:p>
      <w:pPr>
        <w:pStyle w:val="Heading2"/>
        <w:rPr>
          <w:rFonts w:ascii="仿宋" w:eastAsia="仿宋" w:hAnsi="仿宋" w:cs="仿宋" w:hint="eastAsia"/>
          <w:lang w:eastAsia="zh-CN"/>
        </w:rPr>
      </w:pPr>
      <w:bookmarkStart w:id="16" w:name="_Toc1017"/>
      <w:r>
        <w:rPr>
          <w:rFonts w:ascii="仿宋" w:eastAsia="仿宋" w:hAnsi="仿宋" w:cs="仿宋" w:hint="eastAsia"/>
          <w:lang w:eastAsia="zh-CN"/>
        </w:rPr>
        <w:t>(一)、水杨酸锌改性树脂(无碳复写纸显色剂)项目承办单位背景分析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17" w:name="_Toc17895"/>
      <w:r>
        <w:rPr>
          <w:rFonts w:ascii="仿宋" w:eastAsia="仿宋" w:hAnsi="仿宋" w:cs="仿宋" w:hint="eastAsia"/>
          <w:sz w:val="28"/>
          <w:lang w:eastAsia="zh-CN"/>
        </w:rPr>
        <w:t>(二)、产业政策及发展规划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通过制定科学合理的产业政策和发展规划，XX有限公司将能够更好地适应外部环境的变化，确保企业在行业中稳健发展，为实施水杨酸锌改性树脂(无碳复写纸显色剂)项目提供坚实支持。</w:t>
      </w:r>
    </w:p>
    <w:p>
      <w:pPr>
        <w:pStyle w:val="Heading2"/>
        <w:ind w:firstLine="560" w:firstLineChars="200"/>
        <w:rPr>
          <w:rFonts w:ascii="仿宋" w:eastAsia="仿宋" w:hAnsi="仿宋" w:cs="仿宋" w:hint="eastAsia"/>
          <w:sz w:val="28"/>
          <w:lang w:eastAsia="zh-CN"/>
        </w:rPr>
      </w:pPr>
      <w:bookmarkStart w:id="18" w:name="_Toc2031"/>
      <w:r>
        <w:rPr>
          <w:rFonts w:ascii="仿宋" w:eastAsia="仿宋" w:hAnsi="仿宋" w:cs="仿宋" w:hint="eastAsia"/>
          <w:sz w:val="28"/>
          <w:lang w:eastAsia="zh-CN"/>
        </w:rPr>
        <w:t>(三)、鼓励中小企业发展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鼓励中小企业进行技术创新，设立专项资金支持科技研发水杨酸锌改性树脂(无碳复写纸显色剂)项目。提供创新券、科技补贴等奖励措施，推动中小企业提升技术水平，增强市场竞争力。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19" w:name="_Toc5202"/>
      <w:r>
        <w:rPr>
          <w:rFonts w:ascii="仿宋" w:eastAsia="仿宋" w:hAnsi="仿宋" w:cs="仿宋" w:hint="eastAsia"/>
          <w:sz w:val="28"/>
          <w:lang w:eastAsia="zh-CN"/>
        </w:rPr>
        <w:t>(四)、宏观经济形势分析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0" w:name="_Toc31208"/>
      <w:r>
        <w:rPr>
          <w:rFonts w:ascii="仿宋" w:eastAsia="仿宋" w:hAnsi="仿宋" w:cs="仿宋" w:hint="eastAsia"/>
          <w:sz w:val="28"/>
          <w:lang w:eastAsia="zh-CN"/>
        </w:rPr>
        <w:t>(五)、区域经济发展概况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1" w:name="_Toc25174"/>
      <w:r>
        <w:rPr>
          <w:rFonts w:ascii="仿宋" w:eastAsia="仿宋" w:hAnsi="仿宋" w:cs="仿宋" w:hint="eastAsia"/>
          <w:sz w:val="28"/>
          <w:lang w:eastAsia="zh-CN"/>
        </w:rPr>
        <w:t>(六)、水杨酸锌改性树脂(无碳复写纸显色剂)项目必要性分析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水杨酸锌改性树脂(无碳复写纸显色剂)项目的实施是否能够满足当前市场的需求是水杨酸锌改性树脂(无碳复写纸显色剂)项目必要性的首要考量。通过市场调研和需求分析，我们发现目标市场存在对相关产品或服务的需求。水杨酸锌改性树脂(无碳复写纸显色剂)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水杨酸锌改性树脂(无碳复写纸显色剂)项目的必要性评估至关重要。如果行业正处于增长期或具有良好的前景，水杨酸锌改性树脂(无碳复写纸显色剂)项目实施将更具有前瞻性。相反，如果行业饱和或面临下行趋势，水杨酸锌改性树脂(无碳复写纸显色剂)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是否引入了新的技术或提升了企业的竞争力也是必要性的考量因素。如果水杨酸锌改性树脂(无碳复写纸显色剂)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实施是否充分发挥了企业的资源优势，并符合其长期战略规划也是必要性分析的一部分。水杨酸锌改性树脂(无碳复写纸显色剂)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是否符合相关政策和法规，是否能够获得政府的支持也是必要性的重要因素。政策和法规的支持能够降低水杨酸锌改性树脂(无碳复写纸显色剂)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水杨酸锌改性树脂(无碳复写纸显色剂)项目对社会的积极贡献和可持续发展也应该得到关注。水杨酸锌改性树脂(无碳复写纸显色剂)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对水杨酸锌改性树脂(无碳复写纸显色剂)项目的风险进行全面评估，并与预期回报相权衡，有助于判断水杨酸锌改性树脂(无碳复写纸显色剂)项目的必要性。水杨酸锌改性树脂(无碳复写纸显色剂)项目的风险可控性和回报的可实现性是水杨酸锌改性树脂(无碳复写纸显色剂)项目决策的关键指标之一。</w:t>
      </w:r>
    </w:p>
    <w:p>
      <w:pPr>
        <w:pStyle w:val="Heading1"/>
        <w:ind w:firstLine="560" w:firstLineChars="200"/>
        <w:rPr>
          <w:rFonts w:ascii="仿宋" w:eastAsia="仿宋" w:hAnsi="仿宋" w:cs="仿宋" w:hint="eastAsia"/>
          <w:sz w:val="28"/>
          <w:lang w:eastAsia="zh-CN"/>
        </w:rPr>
      </w:pPr>
      <w:bookmarkStart w:id="22" w:name="_Toc28969"/>
      <w:r>
        <w:rPr>
          <w:rFonts w:ascii="仿宋" w:eastAsia="仿宋" w:hAnsi="仿宋" w:cs="仿宋" w:hint="eastAsia"/>
          <w:sz w:val="28"/>
          <w:lang w:eastAsia="zh-CN"/>
        </w:rPr>
        <w:t>六、水杨酸锌改性树脂(无碳复写纸显色剂)项目风险评估</w:t>
      </w:r>
      <w:bookmarkEnd w:id="22"/>
    </w:p>
    <w:p>
      <w:pPr>
        <w:pStyle w:val="Heading2"/>
        <w:rPr>
          <w:rFonts w:ascii="仿宋" w:eastAsia="仿宋" w:hAnsi="仿宋" w:cs="仿宋" w:hint="eastAsia"/>
          <w:lang w:eastAsia="zh-CN"/>
        </w:rPr>
      </w:pPr>
      <w:bookmarkStart w:id="23" w:name="_Toc29004"/>
      <w:r>
        <w:rPr>
          <w:rFonts w:ascii="仿宋" w:eastAsia="仿宋" w:hAnsi="仿宋" w:cs="仿宋" w:hint="eastAsia"/>
          <w:lang w:eastAsia="zh-CN"/>
        </w:rPr>
        <w:t>(一)、政策风险分析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政策风险分析是在水杨酸锌改性树脂(无碳复写纸显色剂)项目实施中考虑政府政策变化可能带来的影响和挑战。政策风险分析的一般步骤：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首先，分析所处地区的政治和法规环境。政府在不同时间可能会出台新政策、修改法规或者废除旧政策，这可能对水杨酸锌改性树脂(无碳复写纸显色剂)项目的经营产生重大影响。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了解行业监管政策的动态变化。某些行业受到特殊监管，政府可能会频繁调整监管标准。水杨酸锌改性树脂(无碳复写纸显色剂)项目如果处于受监管行业，需要密切关注相关政策变动。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如果水杨酸锌改性树脂(无碳复写纸显色剂)项目涉及跨境贸易，需要考虑国际贸易政策的影响。关税、贸易壁垒、出口管制等因素可能对水杨酸锌改性树脂(无碳复写纸显色剂)项目的进出口产生直接影响。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政府对环保和能源政策的调整可能对某些行业产生深远的影响。了解并评估与水杨酸锌改性树脂(无碳复写纸显色剂)项目相关的环保法规和能源政策的变化。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制定针对可能政策风险的应对策略，如建立政府关系、多方沟通、合规性审查等，以降低水杨酸锌改性树脂(无碳复写纸显色剂)项目受政策影响的程度。</w:t>
      </w:r>
    </w:p>
    <w:p>
      <w:pPr>
        <w:pStyle w:val="Heading2"/>
        <w:ind w:firstLine="560" w:firstLineChars="200"/>
        <w:rPr>
          <w:rFonts w:ascii="仿宋" w:eastAsia="仿宋" w:hAnsi="仿宋" w:cs="仿宋" w:hint="eastAsia"/>
          <w:sz w:val="28"/>
          <w:lang w:eastAsia="zh-CN"/>
        </w:rPr>
      </w:pPr>
      <w:bookmarkStart w:id="24" w:name="_Toc7234"/>
      <w:r>
        <w:rPr>
          <w:rFonts w:ascii="仿宋" w:eastAsia="仿宋" w:hAnsi="仿宋" w:cs="仿宋" w:hint="eastAsia"/>
          <w:sz w:val="28"/>
          <w:lang w:eastAsia="zh-CN"/>
        </w:rPr>
        <w:t>(二)、社会风险分析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首先，评估所处地区的社会稳定性。社会动荡、示威抗议、劳工纷争等可能对水杨酸锌改性树脂(无碳复写纸显色剂)项目产生负面影响。了解社会的整体稳定水平对风险预测至关重要。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可能涉及的社会关系网络。了解关键利益相关者、社区居民、非政府组织（NGO）等的态度和期望，以及水杨酸锌改性树脂(无碳复写纸显色剂)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社会对水杨酸锌改性树脂(无碳复写纸显色剂)项目的接受度：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水杨酸锌改性树脂(无碳复写纸显色剂)项目的接受度和态度。有时候，水杨酸锌改性树脂(无碳复写纸显色剂)项目可能面临来自社区居民或其他利益相关者的抵制。评估社会对水杨酸锌改性树脂(无碳复写纸显色剂)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考虑社会文化背景对水杨酸锌改性树脂(无碳复写纸显色剂)项目的影响。不同地区有不同的文化价值观念和行为模式，了解并尊重当地文化有助于减少文化冲突和误解。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评估水杨酸锌改性树脂(无碳复写纸显色剂)项目对社会公平和包容性的影响。水杨酸锌改性树脂(无碳复写纸显色剂)项目是否能够促进社会的平等和包容，避免对弱势群体的不利影响。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是否考虑社会责任和可持续发展原则，以确保水杨酸锌改性树脂(无碳复写纸显色剂)项目的可持续性和社会价值。社会责任意识有助于提升水杨酸锌改性树脂(无碳复写纸显色剂)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水杨酸锌改性树脂(无碳复写纸显色剂)项目的透明度和社区居民对水杨酸锌改性树脂(无碳复写纸显色剂)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基于社会风险的评估，制定相应的风险缓解策略。这可能包括社会责任水杨酸锌改性树脂(无碳复写纸显色剂)项目、社区投资、利益相关者参与计划等。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监测社会舆论对水杨酸锌改性树脂(无碳复写纸显色剂)项目的反应，及时了解社会动态，以便及时做出应对调整。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5" w:name="_Toc17838"/>
      <w:r>
        <w:rPr>
          <w:rFonts w:ascii="仿宋" w:eastAsia="仿宋" w:hAnsi="仿宋" w:cs="仿宋" w:hint="eastAsia"/>
          <w:sz w:val="28"/>
          <w:lang w:eastAsia="zh-CN"/>
        </w:rPr>
        <w:t>(三)、市场风险分析</w:t>
      </w:r>
      <w:bookmarkEnd w:id="25"/>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评估目标市场的需求是否存在波动性。市场需求的不稳定性可能导致销售额的波动，影响水杨酸锌改性树脂(无碳复写纸显色剂)项目的盈利能力。了解市场需求的周期性和波动性对风险分析至关重要。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考虑技术的快速变革对市场的影响。技术创新可能导致产品或服务的陈旧，需要不断升级以适应市场的新要求。了解技术趋势，及时调整水杨酸锌改性树脂(无碳复写纸显色剂)项目的技术方向。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分析市场所在地区的法规和政策对水杨酸锌改性树脂(无碳复写纸显色剂)项目的影响。政策的变动可能对市场准入、产品注册、广告宣传等方面产生影响。密切关注相关法规的动态变化。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如果水杨酸锌改性树脂(无碳复写纸显色剂)项目涉及跨国贸易，需考虑汇率波动和国际贸易政策的变化。这些因素可能对成本、价格和市场准入造成直接的影响。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了解市场的规模和增长预期，评估是否存在市场容量的瓶颈问题。市场规模的估算和增长预期对水杨酸锌改性树脂(无碳复写纸显色剂)项目的定位和发展计划有着重要的指导作用。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水杨酸锌改性树脂(无碳复写纸显色剂)项目的市场推广和品牌建设计划，以提高市场知名度和客户忠诚度。市场认知度和品牌声誉对水杨酸锌改性树脂(无碳复写纸显色剂)项目的市场份额和销售成果具有重要影响。</w:t>
      </w:r>
    </w:p>
    <w:p>
      <w:pPr>
        <w:pStyle w:val="Heading2"/>
        <w:ind w:firstLine="560" w:firstLineChars="200"/>
        <w:rPr>
          <w:rFonts w:ascii="仿宋" w:eastAsia="仿宋" w:hAnsi="仿宋" w:cs="仿宋" w:hint="eastAsia"/>
          <w:sz w:val="28"/>
          <w:lang w:eastAsia="zh-CN"/>
        </w:rPr>
      </w:pPr>
      <w:bookmarkStart w:id="26" w:name="_Toc1327"/>
      <w:r>
        <w:rPr>
          <w:rFonts w:ascii="仿宋" w:eastAsia="仿宋" w:hAnsi="仿宋" w:cs="仿宋" w:hint="eastAsia"/>
          <w:sz w:val="28"/>
          <w:lang w:eastAsia="zh-CN"/>
        </w:rPr>
        <w:t>(四)、资金风险分析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水杨酸锌改性树脂(无碳复写纸显色剂)项目的影响。利率的上升可能导致融资成本增加，对水杨酸锌改性树脂(无碳复写纸显色剂)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水杨酸锌改性树脂(无碳复写纸显色剂)项目涉及跨国业务，需考虑汇率波动对资金的影响。汇率波动可能导致外汇损益，增加水杨酸锌改性树脂(无碳复写纸显色剂)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的流动性风险，即在资金需求增加时，是否能够及时获得足够的资金。制定资金运作计划，确保水杨酸锌改性树脂(无碳复写纸显色剂)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分析水杨酸锌改性树脂(无碳复写纸显色剂)项目的偿债能力，包括偿还利息和本金的能力。确保水杨酸锌改性树脂(无碳复写纸显色剂)项目有足够的盈利能力来偿还债务，避免因财务压力导致的违约风险。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考虑国家和地区的宏观经济政策对资金流动的影响。政策变动可能导致资金的流动性发生变化，对水杨酸锌改性树脂(无碳复写纸显色剂)项目的经营和发展产生重大影响。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如果水杨酸锌改性树脂(无碳复写纸显色剂)项目与其他机构或个人发生信贷关系，需要评估对方的信用风险。确保选择的合作伙伴有较高的信用度，减小因他们违约而导致的资金损失。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考虑市场环境的不确定性对资金流动的可能影响。市场波动、行业竞争激烈等因素都可能对水杨酸锌改性树脂(无碳复写纸显色剂)项目的盈利能力和资金流动性产生影响。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分析水杨酸锌改性树脂(无碳复写纸显色剂)项目收益的回收情况，确保水杨酸锌改性树脂(无碳复写纸显色剂)项目能够按计划实现收益。市场变化、竞争加剧等因素可能影响水杨酸锌改性树脂(无碳复写纸显色剂)项目的盈利能力。</w:t>
      </w:r>
    </w:p>
    <w:p>
      <w:pPr>
        <w:pStyle w:val="Heading2"/>
        <w:ind w:firstLine="560" w:firstLineChars="200"/>
        <w:rPr>
          <w:rFonts w:ascii="仿宋" w:eastAsia="仿宋" w:hAnsi="仿宋" w:cs="仿宋" w:hint="eastAsia"/>
          <w:sz w:val="28"/>
          <w:lang w:eastAsia="zh-CN"/>
        </w:rPr>
      </w:pPr>
      <w:bookmarkStart w:id="27" w:name="_Toc9041"/>
      <w:r>
        <w:rPr>
          <w:rFonts w:ascii="仿宋" w:eastAsia="仿宋" w:hAnsi="仿宋" w:cs="仿宋" w:hint="eastAsia"/>
          <w:sz w:val="28"/>
          <w:lang w:eastAsia="zh-CN"/>
        </w:rPr>
        <w:t>(五)、技术风险分析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水杨酸锌改性树脂(无碳复写纸显色剂)项目的技术可行性进行评估，包括技术方案的合理性、实施的难易程度等。确保技术方案在实践中是可行的，避免由于技术可行性问题导致水杨酸锌改性树脂(无碳复写纸显色剂)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团队是否具备足够的技术专业知识和经验。缺乏关键技术人才可能导致水杨酸锌改性树脂(无碳复写纸显色剂)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水杨酸锌改性树脂(无碳复写纸显色剂)项目的影响。技术的快速变化可能导致水杨酸锌改性树脂(无碳复写纸显色剂)项目中的技术陈旧，需要不断更新和升级。制定技术演进计划，确保水杨酸锌改性树脂(无碳复写纸显色剂)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考虑水杨酸锌改性树脂(无碳复写纸显色剂)项目在技术应用中可能面临的安全性和合规性问题。确保技术方案符合相关法规和标准，防范潜在的安全风险。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评估水杨酸锌改性树脂(无碳复写纸显色剂)项目的技术创新是否受到足够的法律保护，包括专利、商标等。确保水杨酸锌改性树脂(无碳复写纸显色剂)项目的技术成果受到合法的保护，防范知识产权风险。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分析水杨酸锌改性树脂(无碳复写纸显色剂)项目的技术方案是否适应目标市场的需求。技术的适应性是水杨酸锌改性树脂(无碳复写纸显色剂)项目成功的关键因素，确保技术方案能够满足目标市场的实际需求。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水杨酸锌改性树脂(无碳复写纸显色剂)项目的影响。技术的快速升级可能导致水杨酸锌改性树脂(无碳复写纸显色剂)项目中的技术设备过时，需要不断进行技术升级。确保水杨酸锌改性树脂(无碳复写纸显色剂)项目具备升级的灵活性和计划。</w:t>
      </w:r>
    </w:p>
    <w:p>
      <w:pPr>
        <w:pStyle w:val="Heading2"/>
        <w:ind w:firstLine="560" w:firstLineChars="200"/>
        <w:rPr>
          <w:rFonts w:ascii="仿宋" w:eastAsia="仿宋" w:hAnsi="仿宋" w:cs="仿宋" w:hint="eastAsia"/>
          <w:sz w:val="28"/>
          <w:lang w:eastAsia="zh-CN"/>
        </w:rPr>
      </w:pPr>
      <w:bookmarkStart w:id="28" w:name="_Toc17193"/>
      <w:r>
        <w:rPr>
          <w:rFonts w:ascii="仿宋" w:eastAsia="仿宋" w:hAnsi="仿宋" w:cs="仿宋" w:hint="eastAsia"/>
          <w:sz w:val="28"/>
          <w:lang w:eastAsia="zh-CN"/>
        </w:rPr>
        <w:t>(六)、财务风险分析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在不同经济环境下的资金流动情况，考虑可能的资金短缺或过剩。建立合理的资金运作计划，确保水杨酸锌改性树脂(无碳复写纸显色剂)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的盈利能力，考虑市场竞争、价格波动等因素对利润的影响。制定灵活的价格策略，确保水杨酸锌改性树脂(无碳复写纸显色剂)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的财务杠杆水平，即债务与权益的比例。高财务杠杆可能增加财务风险，需要谨慎管理债务。确保债务水平符合水杨酸锌改性树脂(无碳复写纸显色剂)项目的偿债能力。</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如果水杨酸锌改性树脂(无碳复写纸显色剂)项目涉及跨国业务，考虑汇率波动对财务状况的影响。采取汇率对冲措施，降低因汇率波动而导致的财务损失。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的贷款利率和融资成本，考虑市场利率的变动对财务费用的影响。选择固定利率或制定灵活的融资计划，降低利率波动对水杨酸锌改性树脂(无碳复写纸显色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考虑市场波动对水杨酸锌改性树脂(无碳复写纸显色剂)项目的销售收入和市值的影响。建立市场风险管理机制，制定灵活的市场战略，以适应市场的变化。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分析水杨酸锌改性树脂(无碳复写纸显色剂)项目在不同市场环境下的流动性状况。确保水杨酸锌改性树脂(无碳复写纸显色剂)项目具备足够的流动性，以应对突发事件或市场变动。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考虑国家和地区宏观经济政策对水杨酸锌改性树脂(无碳复写纸显色剂)项目财务状况的影响。政策的变动可能导致税收、补贴等方面的财务风险，需要密切关注政策动向。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评估水杨酸锌改性树脂(无碳复写纸显色剂)项目的偿债能力，包括偿还债务的能力。确保水杨酸锌改性树脂(无碳复写纸显色剂)项目有足够的盈利能力来偿还债务，避免因偿债能力不足而面临违约风险。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确保水杨酸锌改性树脂(无碳复写纸显色剂)项目的财务信息透明度，避免信息不对称导致的投资者信任问题。建立健全的财务报告和审计体系，提高财务透明度。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9" w:name="_Toc1114"/>
      <w:r>
        <w:rPr>
          <w:rFonts w:ascii="仿宋" w:eastAsia="仿宋" w:hAnsi="仿宋" w:cs="仿宋" w:hint="eastAsia"/>
          <w:sz w:val="28"/>
          <w:lang w:eastAsia="zh-CN"/>
        </w:rPr>
        <w:t>(七)、管理风险分析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考虑领导层的变动对水杨酸锌改性树脂(无碳复写纸显色剂)项目决策和执行的影响。建立健全的领导层继任计划，确保领导层的平稳过渡，减轻因领导层变动而导致的管理风险。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所处组织的文化氛围，确保水杨酸锌改性树脂(无碳复写纸显色剂)项目团队的价值观和组织文化相符。管理层应重视并促进健康、积极的组织文化，以提高水杨酸锌改性树脂(无碳复写纸显色剂)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评估水杨酸锌改性树脂(无碳复写纸显色剂)项目团队成员的离职潜在风险。建立人才培养和激励机制，提高员工的忠诚度和满意度，减少人才流失对水杨酸锌改性树脂(无碳复写纸显色剂)项目的不利影响。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考虑信息流通的透明度和准确性。确保水杨酸锌改性树脂(无碳复写纸显色剂)项目团队拥有及时、准确的信息，避免信息不对称导致管理风险。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水杨酸锌改性树脂(无碳复写纸显色剂)项目管控风险：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进度、成本和质量等方面的管控机制。建立有效的水杨酸锌改性树脂(无碳复写纸显色剂)项目管理体系，确保水杨酸锌改性树脂(无碳复写纸显色剂)项目能够按计划进行，减轻水杨酸锌改性树脂(无碳复写纸显色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考虑水杨酸锌改性树脂(无碳复写纸显色剂)项目的风险管理体系是否健全。建立全面的风险管理机制，包括风险识别、评估、应对和监控，确保水杨酸锌改性树脂(无碳复写纸显色剂)项目能够及时应对各类风险。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分析水杨酸锌改性树脂(无碳复写纸显色剂)项目的供应链结构和关键供应商的风险。确保供应链的稳定性和透明度，减轻因供应链问题而带来的管理风险。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0" w:name="_Toc28747"/>
      <w:r>
        <w:rPr>
          <w:rFonts w:ascii="仿宋" w:eastAsia="仿宋" w:hAnsi="仿宋" w:cs="仿宋" w:hint="eastAsia"/>
          <w:sz w:val="28"/>
          <w:lang w:eastAsia="zh-CN"/>
        </w:rPr>
        <w:t>(八)、其它风险分析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水杨酸锌改性树脂(无碳复写纸显色剂)项目所采用的技术是否成熟、可靠，考虑技术升级和变革的可能性。建立技术监控机制，确保水杨酸锌改性树脂(无碳复写纸显色剂)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分析市场竞争格局、需求波动等因素对水杨酸锌改性树脂(无碳复写纸显色剂)项目的影响。建立市场监测机制，及时了解市场变化，制定灵活的市场策略，适应市场的变化。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https://d.book118.com/115211103342011100</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12ECB"/>
    <w:rsid w:val="7C412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115211103342011100"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2024-01-14T05:18:00Z</dcterms:created>
  <dcterms:modified xsi:type="dcterms:W3CDTF">2024-01-14T05:18:45Z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45993E42044A41619AF59BDD19864762_11</vt:lpwstr>
  </property>
  <property fmtid="{D5CDD505-2E9C-101B-9397-08002B2CF9AE}" pid="3" name="KSOProductBuildVer">
    <vt:lpwstr>2052-12.1.0.16120</vt:lpwstr>
  </property>
</Properties>
</file>