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游戏周边项目规划设计纲要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2" w:history="1">
        <w:r>
          <w:rPr>
            <w:rFonts w:ascii="仿宋" w:eastAsia="仿宋" w:hAnsi="仿宋" w:cs="仿宋" w:hint="eastAsia"/>
            <w:lang w:eastAsia="zh-CN"/>
          </w:rPr>
          <w:t>序言</w:t>
        </w:r>
        <w:r>
          <w:tab/>
        </w:r>
        <w:r>
          <w:fldChar w:fldCharType="begin"/>
        </w:r>
        <w:r>
          <w:instrText xml:space="preserve"> PAGEREF _Toc2812 \h </w:instrText>
        </w:r>
        <w:r>
          <w:fldChar w:fldCharType="separate"/>
        </w:r>
        <w:r>
          <w:t>3</w:t>
        </w:r>
        <w:r>
          <w:fldChar w:fldCharType="end"/>
        </w:r>
      </w:hyperlink>
    </w:p>
    <w:p>
      <w:pPr>
        <w:pStyle w:val="TOC1"/>
        <w:tabs>
          <w:tab w:val="right" w:leader="dot" w:pos="8306"/>
        </w:tabs>
      </w:pPr>
      <w:hyperlink w:anchor="_Toc4066" w:history="1">
        <w:r>
          <w:rPr>
            <w:rFonts w:ascii="仿宋" w:eastAsia="仿宋" w:hAnsi="仿宋" w:cs="仿宋" w:hint="eastAsia"/>
            <w:lang w:eastAsia="zh-CN"/>
          </w:rPr>
          <w:t>一、工艺说明</w:t>
        </w:r>
        <w:r>
          <w:tab/>
        </w:r>
        <w:r>
          <w:fldChar w:fldCharType="begin"/>
        </w:r>
        <w:r>
          <w:instrText xml:space="preserve"> PAGEREF _Toc4066 \h </w:instrText>
        </w:r>
        <w:r>
          <w:fldChar w:fldCharType="separate"/>
        </w:r>
        <w:r>
          <w:t>3</w:t>
        </w:r>
        <w:r>
          <w:fldChar w:fldCharType="end"/>
        </w:r>
      </w:hyperlink>
    </w:p>
    <w:p>
      <w:pPr>
        <w:pStyle w:val="TOC2"/>
        <w:tabs>
          <w:tab w:val="right" w:leader="dot" w:pos="8306"/>
        </w:tabs>
      </w:pPr>
      <w:hyperlink w:anchor="_Toc12097" w:history="1">
        <w:r>
          <w:rPr>
            <w:rFonts w:ascii="仿宋" w:eastAsia="仿宋" w:hAnsi="仿宋" w:cs="仿宋" w:hint="eastAsia"/>
            <w:lang w:eastAsia="zh-CN"/>
          </w:rPr>
          <w:t>(一)、技术管理特点</w:t>
        </w:r>
        <w:r>
          <w:tab/>
        </w:r>
        <w:r>
          <w:fldChar w:fldCharType="begin"/>
        </w:r>
        <w:r>
          <w:instrText xml:space="preserve"> PAGEREF _Toc12097 \h </w:instrText>
        </w:r>
        <w:r>
          <w:fldChar w:fldCharType="separate"/>
        </w:r>
        <w:r>
          <w:t>3</w:t>
        </w:r>
        <w:r>
          <w:fldChar w:fldCharType="end"/>
        </w:r>
      </w:hyperlink>
    </w:p>
    <w:p>
      <w:pPr>
        <w:pStyle w:val="TOC2"/>
        <w:tabs>
          <w:tab w:val="right" w:leader="dot" w:pos="8306"/>
        </w:tabs>
      </w:pPr>
      <w:hyperlink w:anchor="_Toc26529" w:history="1">
        <w:r>
          <w:rPr>
            <w:rFonts w:ascii="仿宋" w:eastAsia="仿宋" w:hAnsi="仿宋" w:cs="仿宋" w:hint="eastAsia"/>
            <w:lang w:eastAsia="zh-CN"/>
          </w:rPr>
          <w:t>(二)、游戏周边项目工艺技术设计方案</w:t>
        </w:r>
        <w:r>
          <w:tab/>
        </w:r>
        <w:r>
          <w:fldChar w:fldCharType="begin"/>
        </w:r>
        <w:r>
          <w:instrText xml:space="preserve"> PAGEREF _Toc26529 \h </w:instrText>
        </w:r>
        <w:r>
          <w:fldChar w:fldCharType="separate"/>
        </w:r>
        <w:r>
          <w:t>4</w:t>
        </w:r>
        <w:r>
          <w:fldChar w:fldCharType="end"/>
        </w:r>
      </w:hyperlink>
    </w:p>
    <w:p>
      <w:pPr>
        <w:pStyle w:val="TOC2"/>
        <w:tabs>
          <w:tab w:val="right" w:leader="dot" w:pos="8306"/>
        </w:tabs>
      </w:pPr>
      <w:hyperlink w:anchor="_Toc22774" w:history="1">
        <w:r>
          <w:rPr>
            <w:rFonts w:ascii="仿宋" w:eastAsia="仿宋" w:hAnsi="仿宋" w:cs="仿宋" w:hint="eastAsia"/>
            <w:lang w:eastAsia="zh-CN"/>
          </w:rPr>
          <w:t>(三)、设备选型方案</w:t>
        </w:r>
        <w:r>
          <w:tab/>
        </w:r>
        <w:r>
          <w:fldChar w:fldCharType="begin"/>
        </w:r>
        <w:r>
          <w:instrText xml:space="preserve"> PAGEREF _Toc22774 \h </w:instrText>
        </w:r>
        <w:r>
          <w:fldChar w:fldCharType="separate"/>
        </w:r>
        <w:r>
          <w:t>5</w:t>
        </w:r>
        <w:r>
          <w:fldChar w:fldCharType="end"/>
        </w:r>
      </w:hyperlink>
    </w:p>
    <w:p>
      <w:pPr>
        <w:pStyle w:val="TOC1"/>
        <w:tabs>
          <w:tab w:val="right" w:leader="dot" w:pos="8306"/>
        </w:tabs>
      </w:pPr>
      <w:hyperlink w:anchor="_Toc23499" w:history="1">
        <w:r>
          <w:rPr>
            <w:rFonts w:ascii="仿宋" w:eastAsia="仿宋" w:hAnsi="仿宋" w:cs="仿宋" w:hint="eastAsia"/>
            <w:lang w:eastAsia="zh-CN"/>
          </w:rPr>
          <w:t>二、游戏周边项目可持续发展</w:t>
        </w:r>
        <w:r>
          <w:tab/>
        </w:r>
        <w:r>
          <w:fldChar w:fldCharType="begin"/>
        </w:r>
        <w:r>
          <w:instrText xml:space="preserve"> PAGEREF _Toc23499 \h </w:instrText>
        </w:r>
        <w:r>
          <w:fldChar w:fldCharType="separate"/>
        </w:r>
        <w:r>
          <w:t>7</w:t>
        </w:r>
        <w:r>
          <w:fldChar w:fldCharType="end"/>
        </w:r>
      </w:hyperlink>
    </w:p>
    <w:p>
      <w:pPr>
        <w:pStyle w:val="TOC2"/>
        <w:tabs>
          <w:tab w:val="right" w:leader="dot" w:pos="8306"/>
        </w:tabs>
      </w:pPr>
      <w:hyperlink w:anchor="_Toc7229" w:history="1">
        <w:r>
          <w:rPr>
            <w:rFonts w:ascii="仿宋" w:eastAsia="仿宋" w:hAnsi="仿宋" w:cs="仿宋" w:hint="eastAsia"/>
            <w:lang w:eastAsia="zh-CN"/>
          </w:rPr>
          <w:t>(一)、可持续战略与实践</w:t>
        </w:r>
        <w:r>
          <w:tab/>
        </w:r>
        <w:r>
          <w:fldChar w:fldCharType="begin"/>
        </w:r>
        <w:r>
          <w:instrText xml:space="preserve"> PAGEREF _Toc7229 \h </w:instrText>
        </w:r>
        <w:r>
          <w:fldChar w:fldCharType="separate"/>
        </w:r>
        <w:r>
          <w:t>7</w:t>
        </w:r>
        <w:r>
          <w:fldChar w:fldCharType="end"/>
        </w:r>
      </w:hyperlink>
    </w:p>
    <w:p>
      <w:pPr>
        <w:pStyle w:val="TOC2"/>
        <w:tabs>
          <w:tab w:val="right" w:leader="dot" w:pos="8306"/>
        </w:tabs>
      </w:pPr>
      <w:hyperlink w:anchor="_Toc22465" w:history="1">
        <w:r>
          <w:rPr>
            <w:rFonts w:ascii="仿宋" w:eastAsia="仿宋" w:hAnsi="仿宋" w:cs="仿宋" w:hint="eastAsia"/>
            <w:lang w:eastAsia="zh-CN"/>
          </w:rPr>
          <w:t>(二)、环保与社会责任</w:t>
        </w:r>
        <w:r>
          <w:tab/>
        </w:r>
        <w:r>
          <w:fldChar w:fldCharType="begin"/>
        </w:r>
        <w:r>
          <w:instrText xml:space="preserve"> PAGEREF _Toc22465 \h </w:instrText>
        </w:r>
        <w:r>
          <w:fldChar w:fldCharType="separate"/>
        </w:r>
        <w:r>
          <w:t>7</w:t>
        </w:r>
        <w:r>
          <w:fldChar w:fldCharType="end"/>
        </w:r>
      </w:hyperlink>
    </w:p>
    <w:p>
      <w:pPr>
        <w:pStyle w:val="TOC1"/>
        <w:tabs>
          <w:tab w:val="right" w:leader="dot" w:pos="8306"/>
        </w:tabs>
      </w:pPr>
      <w:hyperlink w:anchor="_Toc26522" w:history="1">
        <w:r>
          <w:rPr>
            <w:rFonts w:ascii="仿宋" w:eastAsia="仿宋" w:hAnsi="仿宋" w:cs="仿宋" w:hint="eastAsia"/>
            <w:lang w:eastAsia="zh-CN"/>
          </w:rPr>
          <w:t>三、游戏周边项目建设单位说明</w:t>
        </w:r>
        <w:r>
          <w:tab/>
        </w:r>
        <w:r>
          <w:fldChar w:fldCharType="begin"/>
        </w:r>
        <w:r>
          <w:instrText xml:space="preserve"> PAGEREF _Toc26522 \h </w:instrText>
        </w:r>
        <w:r>
          <w:fldChar w:fldCharType="separate"/>
        </w:r>
        <w:r>
          <w:t>8</w:t>
        </w:r>
        <w:r>
          <w:fldChar w:fldCharType="end"/>
        </w:r>
      </w:hyperlink>
    </w:p>
    <w:p>
      <w:pPr>
        <w:pStyle w:val="TOC2"/>
        <w:tabs>
          <w:tab w:val="right" w:leader="dot" w:pos="8306"/>
        </w:tabs>
      </w:pPr>
      <w:hyperlink w:anchor="_Toc1555" w:history="1">
        <w:r>
          <w:rPr>
            <w:rFonts w:ascii="仿宋" w:eastAsia="仿宋" w:hAnsi="仿宋" w:cs="仿宋" w:hint="eastAsia"/>
            <w:lang w:eastAsia="zh-CN"/>
          </w:rPr>
          <w:t>(一)、游戏周边项目承办单位基本情况</w:t>
        </w:r>
        <w:r>
          <w:tab/>
        </w:r>
        <w:r>
          <w:fldChar w:fldCharType="begin"/>
        </w:r>
        <w:r>
          <w:instrText xml:space="preserve"> PAGEREF _Toc1555 \h </w:instrText>
        </w:r>
        <w:r>
          <w:fldChar w:fldCharType="separate"/>
        </w:r>
        <w:r>
          <w:t>8</w:t>
        </w:r>
        <w:r>
          <w:fldChar w:fldCharType="end"/>
        </w:r>
      </w:hyperlink>
    </w:p>
    <w:p>
      <w:pPr>
        <w:pStyle w:val="TOC2"/>
        <w:tabs>
          <w:tab w:val="right" w:leader="dot" w:pos="8306"/>
        </w:tabs>
      </w:pPr>
      <w:hyperlink w:anchor="_Toc16650" w:history="1">
        <w:r>
          <w:rPr>
            <w:rFonts w:ascii="仿宋" w:eastAsia="仿宋" w:hAnsi="仿宋" w:cs="仿宋" w:hint="eastAsia"/>
            <w:lang w:eastAsia="zh-CN"/>
          </w:rPr>
          <w:t>(二)、公司经济效益分析</w:t>
        </w:r>
        <w:r>
          <w:tab/>
        </w:r>
        <w:r>
          <w:fldChar w:fldCharType="begin"/>
        </w:r>
        <w:r>
          <w:instrText xml:space="preserve"> PAGEREF _Toc16650 \h </w:instrText>
        </w:r>
        <w:r>
          <w:fldChar w:fldCharType="separate"/>
        </w:r>
        <w:r>
          <w:t>9</w:t>
        </w:r>
        <w:r>
          <w:fldChar w:fldCharType="end"/>
        </w:r>
      </w:hyperlink>
    </w:p>
    <w:p>
      <w:pPr>
        <w:pStyle w:val="TOC1"/>
        <w:tabs>
          <w:tab w:val="right" w:leader="dot" w:pos="8306"/>
        </w:tabs>
      </w:pPr>
      <w:hyperlink w:anchor="_Toc2997" w:history="1">
        <w:r>
          <w:rPr>
            <w:rFonts w:ascii="仿宋" w:eastAsia="仿宋" w:hAnsi="仿宋" w:cs="仿宋" w:hint="eastAsia"/>
            <w:lang w:eastAsia="zh-CN"/>
          </w:rPr>
          <w:t>四、游戏周边项目建设背景及必要性分析</w:t>
        </w:r>
        <w:r>
          <w:tab/>
        </w:r>
        <w:r>
          <w:fldChar w:fldCharType="begin"/>
        </w:r>
        <w:r>
          <w:instrText xml:space="preserve"> PAGEREF _Toc2997 \h </w:instrText>
        </w:r>
        <w:r>
          <w:fldChar w:fldCharType="separate"/>
        </w:r>
        <w:r>
          <w:t>10</w:t>
        </w:r>
        <w:r>
          <w:fldChar w:fldCharType="end"/>
        </w:r>
      </w:hyperlink>
    </w:p>
    <w:p>
      <w:pPr>
        <w:pStyle w:val="TOC2"/>
        <w:tabs>
          <w:tab w:val="right" w:leader="dot" w:pos="8306"/>
        </w:tabs>
      </w:pPr>
      <w:hyperlink w:anchor="_Toc15601" w:history="1">
        <w:r>
          <w:rPr>
            <w:rFonts w:ascii="仿宋" w:eastAsia="仿宋" w:hAnsi="仿宋" w:cs="仿宋" w:hint="eastAsia"/>
            <w:lang w:eastAsia="zh-CN"/>
          </w:rPr>
          <w:t>(一)、游戏周边项目背景分析</w:t>
        </w:r>
        <w:r>
          <w:tab/>
        </w:r>
        <w:r>
          <w:fldChar w:fldCharType="begin"/>
        </w:r>
        <w:r>
          <w:instrText xml:space="preserve"> PAGEREF _Toc15601 \h </w:instrText>
        </w:r>
        <w:r>
          <w:fldChar w:fldCharType="separate"/>
        </w:r>
        <w:r>
          <w:t>10</w:t>
        </w:r>
        <w:r>
          <w:fldChar w:fldCharType="end"/>
        </w:r>
      </w:hyperlink>
    </w:p>
    <w:p>
      <w:pPr>
        <w:pStyle w:val="TOC2"/>
        <w:tabs>
          <w:tab w:val="right" w:leader="dot" w:pos="8306"/>
        </w:tabs>
      </w:pPr>
      <w:hyperlink w:anchor="_Toc10672" w:history="1">
        <w:r>
          <w:rPr>
            <w:rFonts w:ascii="仿宋" w:eastAsia="仿宋" w:hAnsi="仿宋" w:cs="仿宋" w:hint="eastAsia"/>
            <w:lang w:eastAsia="zh-CN"/>
          </w:rPr>
          <w:t>(二)、游戏周边项目建设必要性分析</w:t>
        </w:r>
        <w:r>
          <w:tab/>
        </w:r>
        <w:r>
          <w:fldChar w:fldCharType="begin"/>
        </w:r>
        <w:r>
          <w:instrText xml:space="preserve"> PAGEREF _Toc10672 \h </w:instrText>
        </w:r>
        <w:r>
          <w:fldChar w:fldCharType="separate"/>
        </w:r>
        <w:r>
          <w:t>11</w:t>
        </w:r>
        <w:r>
          <w:fldChar w:fldCharType="end"/>
        </w:r>
      </w:hyperlink>
    </w:p>
    <w:p>
      <w:pPr>
        <w:pStyle w:val="TOC1"/>
        <w:tabs>
          <w:tab w:val="right" w:leader="dot" w:pos="8306"/>
        </w:tabs>
      </w:pPr>
      <w:hyperlink w:anchor="_Toc1422" w:history="1">
        <w:r>
          <w:rPr>
            <w:rFonts w:ascii="仿宋" w:eastAsia="仿宋" w:hAnsi="仿宋" w:cs="仿宋" w:hint="eastAsia"/>
            <w:lang w:eastAsia="zh-CN"/>
          </w:rPr>
          <w:t>五、游戏周边项目土建工程</w:t>
        </w:r>
        <w:r>
          <w:tab/>
        </w:r>
        <w:r>
          <w:fldChar w:fldCharType="begin"/>
        </w:r>
        <w:r>
          <w:instrText xml:space="preserve"> PAGEREF _Toc1422 \h </w:instrText>
        </w:r>
        <w:r>
          <w:fldChar w:fldCharType="separate"/>
        </w:r>
        <w:r>
          <w:t>13</w:t>
        </w:r>
        <w:r>
          <w:fldChar w:fldCharType="end"/>
        </w:r>
      </w:hyperlink>
    </w:p>
    <w:p>
      <w:pPr>
        <w:pStyle w:val="TOC2"/>
        <w:tabs>
          <w:tab w:val="right" w:leader="dot" w:pos="8306"/>
        </w:tabs>
      </w:pPr>
      <w:hyperlink w:anchor="_Toc24918" w:history="1">
        <w:r>
          <w:rPr>
            <w:rFonts w:ascii="仿宋" w:eastAsia="仿宋" w:hAnsi="仿宋" w:cs="仿宋" w:hint="eastAsia"/>
            <w:lang w:eastAsia="zh-CN"/>
          </w:rPr>
          <w:t>(一)、建筑工程设计原则</w:t>
        </w:r>
        <w:r>
          <w:tab/>
        </w:r>
        <w:r>
          <w:fldChar w:fldCharType="begin"/>
        </w:r>
        <w:r>
          <w:instrText xml:space="preserve"> PAGEREF _Toc24918 \h </w:instrText>
        </w:r>
        <w:r>
          <w:fldChar w:fldCharType="separate"/>
        </w:r>
        <w:r>
          <w:t>13</w:t>
        </w:r>
        <w:r>
          <w:fldChar w:fldCharType="end"/>
        </w:r>
      </w:hyperlink>
    </w:p>
    <w:p>
      <w:pPr>
        <w:pStyle w:val="TOC2"/>
        <w:tabs>
          <w:tab w:val="right" w:leader="dot" w:pos="8306"/>
        </w:tabs>
      </w:pPr>
      <w:hyperlink w:anchor="_Toc16068" w:history="1">
        <w:r>
          <w:rPr>
            <w:rFonts w:ascii="仿宋" w:eastAsia="仿宋" w:hAnsi="仿宋" w:cs="仿宋" w:hint="eastAsia"/>
            <w:lang w:eastAsia="zh-CN"/>
          </w:rPr>
          <w:t>(二)、土建工程设计年限及安全等级</w:t>
        </w:r>
        <w:r>
          <w:tab/>
        </w:r>
        <w:r>
          <w:fldChar w:fldCharType="begin"/>
        </w:r>
        <w:r>
          <w:instrText xml:space="preserve"> PAGEREF _Toc16068 \h </w:instrText>
        </w:r>
        <w:r>
          <w:fldChar w:fldCharType="separate"/>
        </w:r>
        <w:r>
          <w:t>14</w:t>
        </w:r>
        <w:r>
          <w:fldChar w:fldCharType="end"/>
        </w:r>
      </w:hyperlink>
    </w:p>
    <w:p>
      <w:pPr>
        <w:pStyle w:val="TOC2"/>
        <w:tabs>
          <w:tab w:val="right" w:leader="dot" w:pos="8306"/>
        </w:tabs>
      </w:pPr>
      <w:hyperlink w:anchor="_Toc22359" w:history="1">
        <w:r>
          <w:rPr>
            <w:rFonts w:ascii="仿宋" w:eastAsia="仿宋" w:hAnsi="仿宋" w:cs="仿宋" w:hint="eastAsia"/>
            <w:lang w:eastAsia="zh-CN"/>
          </w:rPr>
          <w:t>(三)、建筑工程设计总体要求</w:t>
        </w:r>
        <w:r>
          <w:tab/>
        </w:r>
        <w:r>
          <w:fldChar w:fldCharType="begin"/>
        </w:r>
        <w:r>
          <w:instrText xml:space="preserve"> PAGEREF _Toc22359 \h </w:instrText>
        </w:r>
        <w:r>
          <w:fldChar w:fldCharType="separate"/>
        </w:r>
        <w:r>
          <w:t>15</w:t>
        </w:r>
        <w:r>
          <w:fldChar w:fldCharType="end"/>
        </w:r>
      </w:hyperlink>
    </w:p>
    <w:p>
      <w:pPr>
        <w:pStyle w:val="TOC2"/>
        <w:tabs>
          <w:tab w:val="right" w:leader="dot" w:pos="8306"/>
        </w:tabs>
      </w:pPr>
      <w:hyperlink w:anchor="_Toc12670" w:history="1">
        <w:r>
          <w:rPr>
            <w:rFonts w:ascii="仿宋" w:eastAsia="仿宋" w:hAnsi="仿宋" w:cs="仿宋" w:hint="eastAsia"/>
            <w:lang w:eastAsia="zh-CN"/>
          </w:rPr>
          <w:t>(四)、土建工程建设指标</w:t>
        </w:r>
        <w:r>
          <w:tab/>
        </w:r>
        <w:r>
          <w:fldChar w:fldCharType="begin"/>
        </w:r>
        <w:r>
          <w:instrText xml:space="preserve"> PAGEREF _Toc12670 \h </w:instrText>
        </w:r>
        <w:r>
          <w:fldChar w:fldCharType="separate"/>
        </w:r>
        <w:r>
          <w:t>16</w:t>
        </w:r>
        <w:r>
          <w:fldChar w:fldCharType="end"/>
        </w:r>
      </w:hyperlink>
    </w:p>
    <w:p>
      <w:pPr>
        <w:pStyle w:val="TOC1"/>
        <w:tabs>
          <w:tab w:val="right" w:leader="dot" w:pos="8306"/>
        </w:tabs>
      </w:pPr>
      <w:hyperlink w:anchor="_Toc21530" w:history="1">
        <w:r>
          <w:rPr>
            <w:rFonts w:ascii="仿宋" w:eastAsia="仿宋" w:hAnsi="仿宋" w:cs="仿宋" w:hint="eastAsia"/>
            <w:lang w:eastAsia="zh-CN"/>
          </w:rPr>
          <w:t>六、游戏周边项目绩效评估</w:t>
        </w:r>
        <w:r>
          <w:tab/>
        </w:r>
        <w:r>
          <w:fldChar w:fldCharType="begin"/>
        </w:r>
        <w:r>
          <w:instrText xml:space="preserve"> PAGEREF _Toc21530 \h </w:instrText>
        </w:r>
        <w:r>
          <w:fldChar w:fldCharType="separate"/>
        </w:r>
        <w:r>
          <w:t>16</w:t>
        </w:r>
        <w:r>
          <w:fldChar w:fldCharType="end"/>
        </w:r>
      </w:hyperlink>
    </w:p>
    <w:p>
      <w:pPr>
        <w:pStyle w:val="TOC2"/>
        <w:tabs>
          <w:tab w:val="right" w:leader="dot" w:pos="8306"/>
        </w:tabs>
      </w:pPr>
      <w:hyperlink w:anchor="_Toc17153" w:history="1">
        <w:r>
          <w:rPr>
            <w:rFonts w:ascii="仿宋" w:eastAsia="仿宋" w:hAnsi="仿宋" w:cs="仿宋" w:hint="eastAsia"/>
            <w:lang w:eastAsia="zh-CN"/>
          </w:rPr>
          <w:t>(一)、绩效评估指标</w:t>
        </w:r>
        <w:r>
          <w:tab/>
        </w:r>
        <w:r>
          <w:fldChar w:fldCharType="begin"/>
        </w:r>
        <w:r>
          <w:instrText xml:space="preserve"> PAGEREF _Toc17153 \h </w:instrText>
        </w:r>
        <w:r>
          <w:fldChar w:fldCharType="separate"/>
        </w:r>
        <w:r>
          <w:t>16</w:t>
        </w:r>
        <w:r>
          <w:fldChar w:fldCharType="end"/>
        </w:r>
      </w:hyperlink>
    </w:p>
    <w:p>
      <w:pPr>
        <w:pStyle w:val="TOC2"/>
        <w:tabs>
          <w:tab w:val="right" w:leader="dot" w:pos="8306"/>
        </w:tabs>
      </w:pPr>
      <w:hyperlink w:anchor="_Toc29772" w:history="1">
        <w:r>
          <w:rPr>
            <w:rFonts w:ascii="仿宋" w:eastAsia="仿宋" w:hAnsi="仿宋" w:cs="仿宋" w:hint="eastAsia"/>
            <w:lang w:eastAsia="zh-CN"/>
          </w:rPr>
          <w:t>(二)、绩效评估方法</w:t>
        </w:r>
        <w:r>
          <w:tab/>
        </w:r>
        <w:r>
          <w:fldChar w:fldCharType="begin"/>
        </w:r>
        <w:r>
          <w:instrText xml:space="preserve"> PAGEREF _Toc29772 \h </w:instrText>
        </w:r>
        <w:r>
          <w:fldChar w:fldCharType="separate"/>
        </w:r>
        <w:r>
          <w:t>17</w:t>
        </w:r>
        <w:r>
          <w:fldChar w:fldCharType="end"/>
        </w:r>
      </w:hyperlink>
    </w:p>
    <w:p>
      <w:pPr>
        <w:pStyle w:val="TOC2"/>
        <w:tabs>
          <w:tab w:val="right" w:leader="dot" w:pos="8306"/>
        </w:tabs>
      </w:pPr>
      <w:hyperlink w:anchor="_Toc8156" w:history="1">
        <w:r>
          <w:rPr>
            <w:rFonts w:ascii="仿宋" w:eastAsia="仿宋" w:hAnsi="仿宋" w:cs="仿宋" w:hint="eastAsia"/>
            <w:lang w:eastAsia="zh-CN"/>
          </w:rPr>
          <w:t>(三)、绩效评估周期</w:t>
        </w:r>
        <w:r>
          <w:tab/>
        </w:r>
        <w:r>
          <w:fldChar w:fldCharType="begin"/>
        </w:r>
        <w:r>
          <w:instrText xml:space="preserve"> PAGEREF _Toc8156 \h </w:instrText>
        </w:r>
        <w:r>
          <w:fldChar w:fldCharType="separate"/>
        </w:r>
        <w:r>
          <w:t>18</w:t>
        </w:r>
        <w:r>
          <w:fldChar w:fldCharType="end"/>
        </w:r>
      </w:hyperlink>
    </w:p>
    <w:p>
      <w:pPr>
        <w:pStyle w:val="TOC1"/>
        <w:tabs>
          <w:tab w:val="right" w:leader="dot" w:pos="8306"/>
        </w:tabs>
      </w:pPr>
      <w:hyperlink w:anchor="_Toc29319" w:history="1">
        <w:r>
          <w:rPr>
            <w:rFonts w:ascii="仿宋" w:eastAsia="仿宋" w:hAnsi="仿宋" w:cs="仿宋" w:hint="eastAsia"/>
            <w:lang w:eastAsia="zh-CN"/>
          </w:rPr>
          <w:t>七、游戏周边项目技术管理</w:t>
        </w:r>
        <w:r>
          <w:tab/>
        </w:r>
        <w:r>
          <w:fldChar w:fldCharType="begin"/>
        </w:r>
        <w:r>
          <w:instrText xml:space="preserve"> PAGEREF _Toc29319 \h </w:instrText>
        </w:r>
        <w:r>
          <w:fldChar w:fldCharType="separate"/>
        </w:r>
        <w:r>
          <w:t>19</w:t>
        </w:r>
        <w:r>
          <w:fldChar w:fldCharType="end"/>
        </w:r>
      </w:hyperlink>
    </w:p>
    <w:p>
      <w:pPr>
        <w:pStyle w:val="TOC2"/>
        <w:tabs>
          <w:tab w:val="right" w:leader="dot" w:pos="8306"/>
        </w:tabs>
      </w:pPr>
      <w:hyperlink w:anchor="_Toc32607" w:history="1">
        <w:r>
          <w:rPr>
            <w:rFonts w:ascii="仿宋" w:eastAsia="仿宋" w:hAnsi="仿宋" w:cs="仿宋" w:hint="eastAsia"/>
            <w:lang w:eastAsia="zh-CN"/>
          </w:rPr>
          <w:t>(一)、技术方案选用方向</w:t>
        </w:r>
        <w:r>
          <w:tab/>
        </w:r>
        <w:r>
          <w:fldChar w:fldCharType="begin"/>
        </w:r>
        <w:r>
          <w:instrText xml:space="preserve"> PAGEREF _Toc32607 \h </w:instrText>
        </w:r>
        <w:r>
          <w:fldChar w:fldCharType="separate"/>
        </w:r>
        <w:r>
          <w:t>19</w:t>
        </w:r>
        <w:r>
          <w:fldChar w:fldCharType="end"/>
        </w:r>
      </w:hyperlink>
    </w:p>
    <w:p>
      <w:pPr>
        <w:pStyle w:val="TOC2"/>
        <w:tabs>
          <w:tab w:val="right" w:leader="dot" w:pos="8306"/>
        </w:tabs>
      </w:pPr>
      <w:hyperlink w:anchor="_Toc31608" w:history="1">
        <w:r>
          <w:rPr>
            <w:rFonts w:ascii="仿宋" w:eastAsia="仿宋" w:hAnsi="仿宋" w:cs="仿宋" w:hint="eastAsia"/>
            <w:lang w:eastAsia="zh-CN"/>
          </w:rPr>
          <w:t>(二)、工艺技术方案选用原则</w:t>
        </w:r>
        <w:r>
          <w:tab/>
        </w:r>
        <w:r>
          <w:fldChar w:fldCharType="begin"/>
        </w:r>
        <w:r>
          <w:instrText xml:space="preserve"> PAGEREF _Toc31608 \h </w:instrText>
        </w:r>
        <w:r>
          <w:fldChar w:fldCharType="separate"/>
        </w:r>
        <w:r>
          <w:t>21</w:t>
        </w:r>
        <w:r>
          <w:fldChar w:fldCharType="end"/>
        </w:r>
      </w:hyperlink>
    </w:p>
    <w:p>
      <w:pPr>
        <w:pStyle w:val="TOC2"/>
        <w:tabs>
          <w:tab w:val="right" w:leader="dot" w:pos="8306"/>
        </w:tabs>
      </w:pPr>
      <w:hyperlink w:anchor="_Toc19390" w:history="1">
        <w:r>
          <w:rPr>
            <w:rFonts w:ascii="仿宋" w:eastAsia="仿宋" w:hAnsi="仿宋" w:cs="仿宋" w:hint="eastAsia"/>
            <w:lang w:eastAsia="zh-CN"/>
          </w:rPr>
          <w:t>(三)、工艺技术方案要求</w:t>
        </w:r>
        <w:r>
          <w:tab/>
        </w:r>
        <w:r>
          <w:fldChar w:fldCharType="begin"/>
        </w:r>
        <w:r>
          <w:instrText xml:space="preserve"> PAGEREF _Toc19390 \h </w:instrText>
        </w:r>
        <w:r>
          <w:fldChar w:fldCharType="separate"/>
        </w:r>
        <w:r>
          <w:t>23</w:t>
        </w:r>
        <w:r>
          <w:fldChar w:fldCharType="end"/>
        </w:r>
      </w:hyperlink>
    </w:p>
    <w:p>
      <w:pPr>
        <w:pStyle w:val="TOC1"/>
        <w:tabs>
          <w:tab w:val="right" w:leader="dot" w:pos="8306"/>
        </w:tabs>
      </w:pPr>
      <w:hyperlink w:anchor="_Toc18414" w:history="1">
        <w:r>
          <w:rPr>
            <w:rFonts w:ascii="仿宋" w:eastAsia="仿宋" w:hAnsi="仿宋" w:cs="仿宋" w:hint="eastAsia"/>
            <w:lang w:eastAsia="zh-CN"/>
          </w:rPr>
          <w:t>八、游戏周边项目创新与研发</w:t>
        </w:r>
        <w:r>
          <w:tab/>
        </w:r>
        <w:r>
          <w:fldChar w:fldCharType="begin"/>
        </w:r>
        <w:r>
          <w:instrText xml:space="preserve"> PAGEREF _Toc18414 \h </w:instrText>
        </w:r>
        <w:r>
          <w:fldChar w:fldCharType="separate"/>
        </w:r>
        <w:r>
          <w:t>25</w:t>
        </w:r>
        <w:r>
          <w:fldChar w:fldCharType="end"/>
        </w:r>
      </w:hyperlink>
    </w:p>
    <w:p>
      <w:pPr>
        <w:pStyle w:val="TOC2"/>
        <w:tabs>
          <w:tab w:val="right" w:leader="dot" w:pos="8306"/>
        </w:tabs>
      </w:pPr>
      <w:hyperlink w:anchor="_Toc7237" w:history="1">
        <w:r>
          <w:rPr>
            <w:rFonts w:ascii="仿宋" w:eastAsia="仿宋" w:hAnsi="仿宋" w:cs="仿宋" w:hint="eastAsia"/>
            <w:lang w:eastAsia="zh-CN"/>
          </w:rPr>
          <w:t>(一)、创新策略与方向</w:t>
        </w:r>
        <w:r>
          <w:tab/>
        </w:r>
        <w:r>
          <w:fldChar w:fldCharType="begin"/>
        </w:r>
        <w:r>
          <w:instrText xml:space="preserve"> PAGEREF _Toc7237 \h </w:instrText>
        </w:r>
        <w:r>
          <w:fldChar w:fldCharType="separate"/>
        </w:r>
        <w:r>
          <w:t>25</w:t>
        </w:r>
        <w:r>
          <w:fldChar w:fldCharType="end"/>
        </w:r>
      </w:hyperlink>
    </w:p>
    <w:p>
      <w:pPr>
        <w:pStyle w:val="TOC2"/>
        <w:tabs>
          <w:tab w:val="right" w:leader="dot" w:pos="8306"/>
        </w:tabs>
      </w:pPr>
      <w:hyperlink w:anchor="_Toc21692" w:history="1">
        <w:r>
          <w:rPr>
            <w:rFonts w:ascii="仿宋" w:eastAsia="仿宋" w:hAnsi="仿宋" w:cs="仿宋" w:hint="eastAsia"/>
            <w:lang w:eastAsia="zh-CN"/>
          </w:rPr>
          <w:t>(二)、研发规划与投入</w:t>
        </w:r>
        <w:r>
          <w:tab/>
        </w:r>
        <w:r>
          <w:fldChar w:fldCharType="begin"/>
        </w:r>
        <w:r>
          <w:instrText xml:space="preserve"> PAGEREF _Toc21692 \h </w:instrText>
        </w:r>
        <w:r>
          <w:fldChar w:fldCharType="separate"/>
        </w:r>
        <w:r>
          <w:t>27</w:t>
        </w:r>
        <w:r>
          <w:fldChar w:fldCharType="end"/>
        </w:r>
      </w:hyperlink>
    </w:p>
    <w:p>
      <w:pPr>
        <w:pStyle w:val="TOC1"/>
        <w:tabs>
          <w:tab w:val="right" w:leader="dot" w:pos="8306"/>
        </w:tabs>
      </w:pPr>
      <w:hyperlink w:anchor="_Toc6738" w:history="1">
        <w:r>
          <w:rPr>
            <w:rFonts w:ascii="仿宋" w:eastAsia="仿宋" w:hAnsi="仿宋" w:cs="仿宋" w:hint="eastAsia"/>
            <w:lang w:eastAsia="zh-CN"/>
          </w:rPr>
          <w:t>九、游戏周边项目人力资源培养与发展</w:t>
        </w:r>
        <w:r>
          <w:tab/>
        </w:r>
        <w:r>
          <w:fldChar w:fldCharType="begin"/>
        </w:r>
        <w:r>
          <w:instrText xml:space="preserve"> PAGEREF _Toc6738 \h </w:instrText>
        </w:r>
        <w:r>
          <w:fldChar w:fldCharType="separate"/>
        </w:r>
        <w:r>
          <w:t>28</w:t>
        </w:r>
        <w:r>
          <w:fldChar w:fldCharType="end"/>
        </w:r>
      </w:hyperlink>
    </w:p>
    <w:p>
      <w:pPr>
        <w:pStyle w:val="TOC2"/>
        <w:tabs>
          <w:tab w:val="right" w:leader="dot" w:pos="8306"/>
        </w:tabs>
      </w:pPr>
      <w:hyperlink w:anchor="_Toc3669" w:history="1">
        <w:r>
          <w:rPr>
            <w:rFonts w:ascii="仿宋" w:eastAsia="仿宋" w:hAnsi="仿宋" w:cs="仿宋" w:hint="eastAsia"/>
            <w:lang w:eastAsia="zh-CN"/>
          </w:rPr>
          <w:t>(一)、人才需求与规划</w:t>
        </w:r>
        <w:r>
          <w:tab/>
        </w:r>
        <w:r>
          <w:fldChar w:fldCharType="begin"/>
        </w:r>
        <w:r>
          <w:instrText xml:space="preserve"> PAGEREF _Toc3669 \h </w:instrText>
        </w:r>
        <w:r>
          <w:fldChar w:fldCharType="separate"/>
        </w:r>
        <w:r>
          <w:t>28</w:t>
        </w:r>
        <w:r>
          <w:fldChar w:fldCharType="end"/>
        </w:r>
      </w:hyperlink>
    </w:p>
    <w:p>
      <w:pPr>
        <w:pStyle w:val="TOC2"/>
        <w:tabs>
          <w:tab w:val="right" w:leader="dot" w:pos="8306"/>
        </w:tabs>
      </w:pPr>
      <w:hyperlink w:anchor="_Toc28393" w:history="1">
        <w:r>
          <w:rPr>
            <w:rFonts w:ascii="仿宋" w:eastAsia="仿宋" w:hAnsi="仿宋" w:cs="仿宋" w:hint="eastAsia"/>
            <w:lang w:eastAsia="zh-CN"/>
          </w:rPr>
          <w:t>(二)、培训与发展计划</w:t>
        </w:r>
        <w:r>
          <w:tab/>
        </w:r>
        <w:r>
          <w:fldChar w:fldCharType="begin"/>
        </w:r>
        <w:r>
          <w:instrText xml:space="preserve"> PAGEREF _Toc28393 \h </w:instrText>
        </w:r>
        <w:r>
          <w:fldChar w:fldCharType="separate"/>
        </w:r>
        <w:r>
          <w:t>29</w:t>
        </w:r>
        <w:r>
          <w:fldChar w:fldCharType="end"/>
        </w:r>
      </w:hyperlink>
    </w:p>
    <w:p>
      <w:pPr>
        <w:pStyle w:val="TOC1"/>
        <w:tabs>
          <w:tab w:val="right" w:leader="dot" w:pos="8306"/>
        </w:tabs>
      </w:pPr>
      <w:hyperlink w:anchor="_Toc13957" w:history="1">
        <w:r>
          <w:rPr>
            <w:rFonts w:ascii="仿宋" w:eastAsia="仿宋" w:hAnsi="仿宋" w:cs="仿宋" w:hint="eastAsia"/>
            <w:lang w:eastAsia="zh-CN"/>
          </w:rPr>
          <w:t>十、游戏周边项目经营效益</w:t>
        </w:r>
        <w:r>
          <w:tab/>
        </w:r>
        <w:r>
          <w:fldChar w:fldCharType="begin"/>
        </w:r>
        <w:r>
          <w:instrText xml:space="preserve"> PAGEREF _Toc13957 \h </w:instrText>
        </w:r>
        <w:r>
          <w:fldChar w:fldCharType="separate"/>
        </w:r>
        <w:r>
          <w:t>29</w:t>
        </w:r>
        <w:r>
          <w:fldChar w:fldCharType="end"/>
        </w:r>
      </w:hyperlink>
    </w:p>
    <w:p>
      <w:pPr>
        <w:pStyle w:val="TOC2"/>
        <w:tabs>
          <w:tab w:val="right" w:leader="dot" w:pos="8306"/>
        </w:tabs>
      </w:pPr>
      <w:hyperlink w:anchor="_Toc1567" w:history="1">
        <w:r>
          <w:rPr>
            <w:rFonts w:ascii="仿宋" w:eastAsia="仿宋" w:hAnsi="仿宋" w:cs="仿宋" w:hint="eastAsia"/>
            <w:lang w:eastAsia="zh-CN"/>
          </w:rPr>
          <w:t>(一)、经济评价财务测算</w:t>
        </w:r>
        <w:r>
          <w:tab/>
        </w:r>
        <w:r>
          <w:fldChar w:fldCharType="begin"/>
        </w:r>
        <w:r>
          <w:instrText xml:space="preserve"> PAGEREF _Toc1567 \h </w:instrText>
        </w:r>
        <w:r>
          <w:fldChar w:fldCharType="separate"/>
        </w:r>
        <w:r>
          <w:t>29</w:t>
        </w:r>
        <w:r>
          <w:fldChar w:fldCharType="end"/>
        </w:r>
      </w:hyperlink>
    </w:p>
    <w:p>
      <w:pPr>
        <w:pStyle w:val="TOC2"/>
        <w:tabs>
          <w:tab w:val="right" w:leader="dot" w:pos="8306"/>
        </w:tabs>
      </w:pPr>
      <w:hyperlink w:anchor="_Toc15541" w:history="1">
        <w:r>
          <w:rPr>
            <w:rFonts w:ascii="仿宋" w:eastAsia="仿宋" w:hAnsi="仿宋" w:cs="仿宋" w:hint="eastAsia"/>
            <w:lang w:eastAsia="zh-CN"/>
          </w:rPr>
          <w:t>(二)、游戏周边项目盈利能力分析</w:t>
        </w:r>
        <w:r>
          <w:tab/>
        </w:r>
        <w:r>
          <w:fldChar w:fldCharType="begin"/>
        </w:r>
        <w:r>
          <w:instrText xml:space="preserve"> PAGEREF _Toc15541 \h </w:instrText>
        </w:r>
        <w:r>
          <w:fldChar w:fldCharType="separate"/>
        </w:r>
        <w:r>
          <w:t>31</w:t>
        </w:r>
        <w:r>
          <w:fldChar w:fldCharType="end"/>
        </w:r>
      </w:hyperlink>
    </w:p>
    <w:p>
      <w:pPr>
        <w:pStyle w:val="TOC1"/>
        <w:tabs>
          <w:tab w:val="right" w:leader="dot" w:pos="8306"/>
        </w:tabs>
      </w:pPr>
      <w:hyperlink w:anchor="_Toc7861" w:history="1">
        <w:r>
          <w:rPr>
            <w:rFonts w:ascii="仿宋" w:eastAsia="仿宋" w:hAnsi="仿宋" w:cs="仿宋" w:hint="eastAsia"/>
            <w:lang w:eastAsia="zh-CN"/>
          </w:rPr>
          <w:t>十一、游戏周边项目风险管理</w:t>
        </w:r>
        <w:r>
          <w:tab/>
        </w:r>
        <w:r>
          <w:fldChar w:fldCharType="begin"/>
        </w:r>
        <w:r>
          <w:instrText xml:space="preserve"> PAGEREF _Toc7861 \h </w:instrText>
        </w:r>
        <w:r>
          <w:fldChar w:fldCharType="separate"/>
        </w:r>
        <w:r>
          <w:t>31</w:t>
        </w:r>
        <w:r>
          <w:fldChar w:fldCharType="end"/>
        </w:r>
      </w:hyperlink>
    </w:p>
    <w:p>
      <w:pPr>
        <w:pStyle w:val="TOC2"/>
        <w:tabs>
          <w:tab w:val="right" w:leader="dot" w:pos="8306"/>
        </w:tabs>
      </w:pPr>
      <w:hyperlink w:anchor="_Toc17824" w:history="1">
        <w:r>
          <w:rPr>
            <w:rFonts w:ascii="仿宋" w:eastAsia="仿宋" w:hAnsi="仿宋" w:cs="仿宋" w:hint="eastAsia"/>
            <w:lang w:eastAsia="zh-CN"/>
          </w:rPr>
          <w:t>(一)、风险识别与评估</w:t>
        </w:r>
        <w:r>
          <w:tab/>
        </w:r>
        <w:r>
          <w:fldChar w:fldCharType="begin"/>
        </w:r>
        <w:r>
          <w:instrText xml:space="preserve"> PAGEREF _Toc17824 \h </w:instrText>
        </w:r>
        <w:r>
          <w:fldChar w:fldCharType="separate"/>
        </w:r>
        <w:r>
          <w:t>31</w:t>
        </w:r>
        <w:r>
          <w:fldChar w:fldCharType="end"/>
        </w:r>
      </w:hyperlink>
    </w:p>
    <w:p>
      <w:pPr>
        <w:pStyle w:val="TOC2"/>
        <w:tabs>
          <w:tab w:val="right" w:leader="dot" w:pos="8306"/>
        </w:tabs>
      </w:pPr>
      <w:hyperlink w:anchor="_Toc3981" w:history="1">
        <w:r>
          <w:rPr>
            <w:rFonts w:ascii="仿宋" w:eastAsia="仿宋" w:hAnsi="仿宋" w:cs="仿宋" w:hint="eastAsia"/>
            <w:lang w:eastAsia="zh-CN"/>
          </w:rPr>
          <w:t>(二)、风险应对策略</w:t>
        </w:r>
        <w:r>
          <w:tab/>
        </w:r>
        <w:r>
          <w:fldChar w:fldCharType="begin"/>
        </w:r>
        <w:r>
          <w:instrText xml:space="preserve"> PAGEREF _Toc3981 \h </w:instrText>
        </w:r>
        <w:r>
          <w:fldChar w:fldCharType="separate"/>
        </w:r>
        <w:r>
          <w:t>33</w:t>
        </w:r>
        <w:r>
          <w:fldChar w:fldCharType="end"/>
        </w:r>
      </w:hyperlink>
    </w:p>
    <w:p>
      <w:pPr>
        <w:pStyle w:val="TOC2"/>
        <w:tabs>
          <w:tab w:val="right" w:leader="dot" w:pos="8306"/>
        </w:tabs>
      </w:pPr>
      <w:hyperlink w:anchor="_Toc17766" w:history="1">
        <w:r>
          <w:rPr>
            <w:rFonts w:ascii="仿宋" w:eastAsia="仿宋" w:hAnsi="仿宋" w:cs="仿宋" w:hint="eastAsia"/>
            <w:lang w:eastAsia="zh-CN"/>
          </w:rPr>
          <w:t>(三)、风险监控与控制</w:t>
        </w:r>
        <w:r>
          <w:tab/>
        </w:r>
        <w:r>
          <w:fldChar w:fldCharType="begin"/>
        </w:r>
        <w:r>
          <w:instrText xml:space="preserve"> PAGEREF _Toc17766 \h </w:instrText>
        </w:r>
        <w:r>
          <w:fldChar w:fldCharType="separate"/>
        </w:r>
        <w:r>
          <w:t>34</w:t>
        </w:r>
        <w:r>
          <w:fldChar w:fldCharType="end"/>
        </w:r>
      </w:hyperlink>
    </w:p>
    <w:p>
      <w:pPr>
        <w:pStyle w:val="TOC1"/>
        <w:tabs>
          <w:tab w:val="right" w:leader="dot" w:pos="8306"/>
        </w:tabs>
      </w:pPr>
      <w:hyperlink w:anchor="_Toc14830" w:history="1">
        <w:r>
          <w:rPr>
            <w:rFonts w:ascii="仿宋" w:eastAsia="仿宋" w:hAnsi="仿宋" w:cs="仿宋" w:hint="eastAsia"/>
            <w:lang w:eastAsia="zh-CN"/>
          </w:rPr>
          <w:t>十二、游戏周边项目投资规划</w:t>
        </w:r>
        <w:r>
          <w:tab/>
        </w:r>
        <w:r>
          <w:fldChar w:fldCharType="begin"/>
        </w:r>
        <w:r>
          <w:instrText xml:space="preserve"> PAGEREF _Toc14830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6448" w:history="1">
        <w:r>
          <w:rPr>
            <w:rFonts w:ascii="仿宋" w:eastAsia="仿宋" w:hAnsi="仿宋" w:cs="仿宋" w:hint="eastAsia"/>
            <w:lang w:eastAsia="zh-CN"/>
          </w:rPr>
          <w:t>(一)、游戏周边项目总投资估算</w:t>
        </w:r>
        <w:r>
          <w:tab/>
        </w:r>
        <w:r>
          <w:fldChar w:fldCharType="begin"/>
        </w:r>
        <w:r>
          <w:instrText xml:space="preserve"> PAGEREF _Toc26448 \h </w:instrText>
        </w:r>
        <w:r>
          <w:fldChar w:fldCharType="separate"/>
        </w:r>
        <w:r>
          <w:t>35</w:t>
        </w:r>
        <w:r>
          <w:fldChar w:fldCharType="end"/>
        </w:r>
      </w:hyperlink>
    </w:p>
    <w:p>
      <w:pPr>
        <w:pStyle w:val="TOC2"/>
        <w:tabs>
          <w:tab w:val="right" w:leader="dot" w:pos="8306"/>
        </w:tabs>
      </w:pPr>
      <w:hyperlink w:anchor="_Toc5800" w:history="1">
        <w:r>
          <w:rPr>
            <w:rFonts w:ascii="仿宋" w:eastAsia="仿宋" w:hAnsi="仿宋" w:cs="仿宋" w:hint="eastAsia"/>
            <w:lang w:eastAsia="zh-CN"/>
          </w:rPr>
          <w:t>(二)、资金筹措</w:t>
        </w:r>
        <w:r>
          <w:tab/>
        </w:r>
        <w:r>
          <w:fldChar w:fldCharType="begin"/>
        </w:r>
        <w:r>
          <w:instrText xml:space="preserve"> PAGEREF _Toc5800 \h </w:instrText>
        </w:r>
        <w:r>
          <w:fldChar w:fldCharType="separate"/>
        </w:r>
        <w:r>
          <w:t>37</w:t>
        </w:r>
        <w:r>
          <w:fldChar w:fldCharType="end"/>
        </w:r>
      </w:hyperlink>
    </w:p>
    <w:p>
      <w:pPr>
        <w:pStyle w:val="TOC1"/>
        <w:tabs>
          <w:tab w:val="right" w:leader="dot" w:pos="8306"/>
        </w:tabs>
      </w:pPr>
      <w:hyperlink w:anchor="_Toc6359" w:history="1">
        <w:r>
          <w:rPr>
            <w:rFonts w:ascii="仿宋" w:eastAsia="仿宋" w:hAnsi="仿宋" w:cs="仿宋" w:hint="eastAsia"/>
            <w:lang w:eastAsia="zh-CN"/>
          </w:rPr>
          <w:t>十三、供应链管理</w:t>
        </w:r>
        <w:r>
          <w:tab/>
        </w:r>
        <w:r>
          <w:fldChar w:fldCharType="begin"/>
        </w:r>
        <w:r>
          <w:instrText xml:space="preserve"> PAGEREF _Toc6359 \h </w:instrText>
        </w:r>
        <w:r>
          <w:fldChar w:fldCharType="separate"/>
        </w:r>
        <w:r>
          <w:t>37</w:t>
        </w:r>
        <w:r>
          <w:fldChar w:fldCharType="end"/>
        </w:r>
      </w:hyperlink>
    </w:p>
    <w:p>
      <w:pPr>
        <w:pStyle w:val="TOC2"/>
        <w:tabs>
          <w:tab w:val="right" w:leader="dot" w:pos="8306"/>
        </w:tabs>
      </w:pPr>
      <w:hyperlink w:anchor="_Toc32151" w:history="1">
        <w:r>
          <w:rPr>
            <w:rFonts w:ascii="仿宋" w:eastAsia="仿宋" w:hAnsi="仿宋" w:cs="仿宋" w:hint="eastAsia"/>
            <w:lang w:eastAsia="zh-CN"/>
          </w:rPr>
          <w:t>(一)、供应链战略规划</w:t>
        </w:r>
        <w:r>
          <w:tab/>
        </w:r>
        <w:r>
          <w:fldChar w:fldCharType="begin"/>
        </w:r>
        <w:r>
          <w:instrText xml:space="preserve"> PAGEREF _Toc32151 \h </w:instrText>
        </w:r>
        <w:r>
          <w:fldChar w:fldCharType="separate"/>
        </w:r>
        <w:r>
          <w:t>37</w:t>
        </w:r>
        <w:r>
          <w:fldChar w:fldCharType="end"/>
        </w:r>
      </w:hyperlink>
    </w:p>
    <w:p>
      <w:pPr>
        <w:pStyle w:val="TOC2"/>
        <w:tabs>
          <w:tab w:val="right" w:leader="dot" w:pos="8306"/>
        </w:tabs>
      </w:pPr>
      <w:hyperlink w:anchor="_Toc31134" w:history="1">
        <w:r>
          <w:rPr>
            <w:rFonts w:ascii="仿宋" w:eastAsia="仿宋" w:hAnsi="仿宋" w:cs="仿宋" w:hint="eastAsia"/>
            <w:lang w:eastAsia="zh-CN"/>
          </w:rPr>
          <w:t>(二)、供应商选择与合作</w:t>
        </w:r>
        <w:r>
          <w:tab/>
        </w:r>
        <w:r>
          <w:fldChar w:fldCharType="begin"/>
        </w:r>
        <w:r>
          <w:instrText xml:space="preserve"> PAGEREF _Toc31134 \h </w:instrText>
        </w:r>
        <w:r>
          <w:fldChar w:fldCharType="separate"/>
        </w:r>
        <w:r>
          <w:t>39</w:t>
        </w:r>
        <w:r>
          <w:fldChar w:fldCharType="end"/>
        </w:r>
      </w:hyperlink>
    </w:p>
    <w:p>
      <w:pPr>
        <w:pStyle w:val="TOC2"/>
        <w:tabs>
          <w:tab w:val="right" w:leader="dot" w:pos="8306"/>
        </w:tabs>
      </w:pPr>
      <w:hyperlink w:anchor="_Toc545" w:history="1">
        <w:r>
          <w:rPr>
            <w:rFonts w:ascii="仿宋" w:eastAsia="仿宋" w:hAnsi="仿宋" w:cs="仿宋" w:hint="eastAsia"/>
            <w:lang w:eastAsia="zh-CN"/>
          </w:rPr>
          <w:t>(三)、物流与库存管理</w:t>
        </w:r>
        <w:r>
          <w:tab/>
        </w:r>
        <w:r>
          <w:fldChar w:fldCharType="begin"/>
        </w:r>
        <w:r>
          <w:instrText xml:space="preserve"> PAGEREF _Toc545 \h </w:instrText>
        </w:r>
        <w:r>
          <w:fldChar w:fldCharType="separate"/>
        </w:r>
        <w:r>
          <w:t>40</w:t>
        </w:r>
        <w:r>
          <w:fldChar w:fldCharType="end"/>
        </w:r>
      </w:hyperlink>
    </w:p>
    <w:p>
      <w:pPr>
        <w:pStyle w:val="TOC1"/>
        <w:tabs>
          <w:tab w:val="right" w:leader="dot" w:pos="8306"/>
        </w:tabs>
      </w:pPr>
      <w:hyperlink w:anchor="_Toc16514" w:history="1">
        <w:r>
          <w:rPr>
            <w:rFonts w:ascii="仿宋" w:eastAsia="仿宋" w:hAnsi="仿宋" w:cs="仿宋" w:hint="eastAsia"/>
            <w:lang w:eastAsia="zh-CN"/>
          </w:rPr>
          <w:t>十四、游戏周边项目工程方案分析</w:t>
        </w:r>
        <w:r>
          <w:tab/>
        </w:r>
        <w:r>
          <w:fldChar w:fldCharType="begin"/>
        </w:r>
        <w:r>
          <w:instrText xml:space="preserve"> PAGEREF _Toc16514 \h </w:instrText>
        </w:r>
        <w:r>
          <w:fldChar w:fldCharType="separate"/>
        </w:r>
        <w:r>
          <w:t>41</w:t>
        </w:r>
        <w:r>
          <w:fldChar w:fldCharType="end"/>
        </w:r>
      </w:hyperlink>
    </w:p>
    <w:p>
      <w:pPr>
        <w:pStyle w:val="TOC2"/>
        <w:tabs>
          <w:tab w:val="right" w:leader="dot" w:pos="8306"/>
        </w:tabs>
      </w:pPr>
      <w:hyperlink w:anchor="_Toc21651" w:history="1">
        <w:r>
          <w:rPr>
            <w:rFonts w:ascii="仿宋" w:eastAsia="仿宋" w:hAnsi="仿宋" w:cs="仿宋" w:hint="eastAsia"/>
            <w:lang w:eastAsia="zh-CN"/>
          </w:rPr>
          <w:t>(一)、建筑工程设计原则</w:t>
        </w:r>
        <w:r>
          <w:tab/>
        </w:r>
        <w:r>
          <w:fldChar w:fldCharType="begin"/>
        </w:r>
        <w:r>
          <w:instrText xml:space="preserve"> PAGEREF _Toc21651 \h </w:instrText>
        </w:r>
        <w:r>
          <w:fldChar w:fldCharType="separate"/>
        </w:r>
        <w:r>
          <w:t>41</w:t>
        </w:r>
        <w:r>
          <w:fldChar w:fldCharType="end"/>
        </w:r>
      </w:hyperlink>
    </w:p>
    <w:p>
      <w:pPr>
        <w:pStyle w:val="TOC2"/>
        <w:tabs>
          <w:tab w:val="right" w:leader="dot" w:pos="8306"/>
        </w:tabs>
      </w:pPr>
      <w:hyperlink w:anchor="_Toc26097" w:history="1">
        <w:r>
          <w:rPr>
            <w:rFonts w:ascii="仿宋" w:eastAsia="仿宋" w:hAnsi="仿宋" w:cs="仿宋" w:hint="eastAsia"/>
            <w:lang w:eastAsia="zh-CN"/>
          </w:rPr>
          <w:t>(二)、土建工程建设指标</w:t>
        </w:r>
        <w:r>
          <w:tab/>
        </w:r>
        <w:r>
          <w:fldChar w:fldCharType="begin"/>
        </w:r>
        <w:r>
          <w:instrText xml:space="preserve"> PAGEREF _Toc26097 \h </w:instrText>
        </w:r>
        <w:r>
          <w:fldChar w:fldCharType="separate"/>
        </w:r>
        <w:r>
          <w:t>45</w:t>
        </w:r>
        <w:r>
          <w:fldChar w:fldCharType="end"/>
        </w:r>
      </w:hyperlink>
    </w:p>
    <w:p>
      <w:pPr>
        <w:pStyle w:val="TOC1"/>
        <w:tabs>
          <w:tab w:val="right" w:leader="dot" w:pos="8306"/>
        </w:tabs>
      </w:pPr>
      <w:hyperlink w:anchor="_Toc22421" w:history="1">
        <w:r>
          <w:rPr>
            <w:rFonts w:ascii="仿宋" w:eastAsia="仿宋" w:hAnsi="仿宋" w:cs="仿宋" w:hint="eastAsia"/>
            <w:lang w:eastAsia="zh-CN"/>
          </w:rPr>
          <w:t>十五、营销与推广策略</w:t>
        </w:r>
        <w:r>
          <w:tab/>
        </w:r>
        <w:r>
          <w:fldChar w:fldCharType="begin"/>
        </w:r>
        <w:r>
          <w:instrText xml:space="preserve"> PAGEREF _Toc22421 \h </w:instrText>
        </w:r>
        <w:r>
          <w:fldChar w:fldCharType="separate"/>
        </w:r>
        <w:r>
          <w:t>46</w:t>
        </w:r>
        <w:r>
          <w:fldChar w:fldCharType="end"/>
        </w:r>
      </w:hyperlink>
    </w:p>
    <w:p>
      <w:pPr>
        <w:pStyle w:val="TOC2"/>
        <w:tabs>
          <w:tab w:val="right" w:leader="dot" w:pos="8306"/>
        </w:tabs>
      </w:pPr>
      <w:hyperlink w:anchor="_Toc9759" w:history="1">
        <w:r>
          <w:rPr>
            <w:rFonts w:ascii="仿宋" w:eastAsia="仿宋" w:hAnsi="仿宋" w:cs="仿宋" w:hint="eastAsia"/>
            <w:lang w:eastAsia="zh-CN"/>
          </w:rPr>
          <w:t>(一)、产品/服务定位与特点</w:t>
        </w:r>
        <w:r>
          <w:tab/>
        </w:r>
        <w:r>
          <w:fldChar w:fldCharType="begin"/>
        </w:r>
        <w:r>
          <w:instrText xml:space="preserve"> PAGEREF _Toc9759 \h </w:instrText>
        </w:r>
        <w:r>
          <w:fldChar w:fldCharType="separate"/>
        </w:r>
        <w:r>
          <w:t>46</w:t>
        </w:r>
        <w:r>
          <w:fldChar w:fldCharType="end"/>
        </w:r>
      </w:hyperlink>
    </w:p>
    <w:p>
      <w:pPr>
        <w:pStyle w:val="TOC2"/>
        <w:tabs>
          <w:tab w:val="right" w:leader="dot" w:pos="8306"/>
        </w:tabs>
      </w:pPr>
      <w:hyperlink w:anchor="_Toc21003" w:history="1">
        <w:r>
          <w:rPr>
            <w:rFonts w:ascii="仿宋" w:eastAsia="仿宋" w:hAnsi="仿宋" w:cs="仿宋" w:hint="eastAsia"/>
            <w:lang w:eastAsia="zh-CN"/>
          </w:rPr>
          <w:t>(二)、市场定位与竞争分析</w:t>
        </w:r>
        <w:r>
          <w:tab/>
        </w:r>
        <w:r>
          <w:fldChar w:fldCharType="begin"/>
        </w:r>
        <w:r>
          <w:instrText xml:space="preserve"> PAGEREF _Toc21003 \h </w:instrText>
        </w:r>
        <w:r>
          <w:fldChar w:fldCharType="separate"/>
        </w:r>
        <w:r>
          <w:t>48</w:t>
        </w:r>
        <w:r>
          <w:fldChar w:fldCharType="end"/>
        </w:r>
      </w:hyperlink>
    </w:p>
    <w:p>
      <w:pPr>
        <w:pStyle w:val="TOC2"/>
        <w:tabs>
          <w:tab w:val="right" w:leader="dot" w:pos="8306"/>
        </w:tabs>
      </w:pPr>
      <w:hyperlink w:anchor="_Toc16862" w:history="1">
        <w:r>
          <w:rPr>
            <w:rFonts w:ascii="仿宋" w:eastAsia="仿宋" w:hAnsi="仿宋" w:cs="仿宋" w:hint="eastAsia"/>
            <w:lang w:eastAsia="zh-CN"/>
          </w:rPr>
          <w:t>(三)、营销渠道与策略</w:t>
        </w:r>
        <w:r>
          <w:tab/>
        </w:r>
        <w:r>
          <w:fldChar w:fldCharType="begin"/>
        </w:r>
        <w:r>
          <w:instrText xml:space="preserve"> PAGEREF _Toc16862 \h </w:instrText>
        </w:r>
        <w:r>
          <w:fldChar w:fldCharType="separate"/>
        </w:r>
        <w:r>
          <w:t>49</w:t>
        </w:r>
        <w:r>
          <w:fldChar w:fldCharType="end"/>
        </w:r>
      </w:hyperlink>
    </w:p>
    <w:p>
      <w:pPr>
        <w:pStyle w:val="TOC2"/>
        <w:tabs>
          <w:tab w:val="right" w:leader="dot" w:pos="8306"/>
        </w:tabs>
      </w:pPr>
      <w:hyperlink w:anchor="_Toc10514" w:history="1">
        <w:r>
          <w:rPr>
            <w:rFonts w:ascii="仿宋" w:eastAsia="仿宋" w:hAnsi="仿宋" w:cs="仿宋" w:hint="eastAsia"/>
            <w:lang w:eastAsia="zh-CN"/>
          </w:rPr>
          <w:t>(四)、推广与宣传活动</w:t>
        </w:r>
        <w:r>
          <w:tab/>
        </w:r>
        <w:r>
          <w:fldChar w:fldCharType="begin"/>
        </w:r>
        <w:r>
          <w:instrText xml:space="preserve"> PAGEREF _Toc10514 \h </w:instrText>
        </w:r>
        <w:r>
          <w:fldChar w:fldCharType="separate"/>
        </w:r>
        <w:r>
          <w:t>50</w:t>
        </w:r>
        <w:r>
          <w:fldChar w:fldCharType="end"/>
        </w:r>
      </w:hyperlink>
    </w:p>
    <w:p>
      <w:pPr>
        <w:pStyle w:val="TOC1"/>
        <w:tabs>
          <w:tab w:val="right" w:leader="dot" w:pos="8306"/>
        </w:tabs>
      </w:pPr>
      <w:hyperlink w:anchor="_Toc23320" w:history="1">
        <w:r>
          <w:rPr>
            <w:rFonts w:ascii="仿宋" w:eastAsia="仿宋" w:hAnsi="仿宋" w:cs="仿宋" w:hint="eastAsia"/>
            <w:lang w:eastAsia="zh-CN"/>
          </w:rPr>
          <w:t>十六、风险识别与分类</w:t>
        </w:r>
        <w:r>
          <w:tab/>
        </w:r>
        <w:r>
          <w:fldChar w:fldCharType="begin"/>
        </w:r>
        <w:r>
          <w:instrText xml:space="preserve"> PAGEREF _Toc23320 \h </w:instrText>
        </w:r>
        <w:r>
          <w:fldChar w:fldCharType="separate"/>
        </w:r>
        <w:r>
          <w:t>55</w:t>
        </w:r>
        <w:r>
          <w:fldChar w:fldCharType="end"/>
        </w:r>
      </w:hyperlink>
    </w:p>
    <w:p>
      <w:pPr>
        <w:pStyle w:val="TOC2"/>
        <w:tabs>
          <w:tab w:val="right" w:leader="dot" w:pos="8306"/>
        </w:tabs>
      </w:pPr>
      <w:hyperlink w:anchor="_Toc11023" w:history="1">
        <w:r>
          <w:rPr>
            <w:rFonts w:ascii="仿宋" w:eastAsia="仿宋" w:hAnsi="仿宋" w:cs="仿宋" w:hint="eastAsia"/>
            <w:lang w:eastAsia="zh-CN"/>
          </w:rPr>
          <w:t>(一)、风险识别</w:t>
        </w:r>
        <w:r>
          <w:tab/>
        </w:r>
        <w:r>
          <w:fldChar w:fldCharType="begin"/>
        </w:r>
        <w:r>
          <w:instrText xml:space="preserve"> PAGEREF _Toc11023 \h </w:instrText>
        </w:r>
        <w:r>
          <w:fldChar w:fldCharType="separate"/>
        </w:r>
        <w:r>
          <w:t>55</w:t>
        </w:r>
        <w:r>
          <w:fldChar w:fldCharType="end"/>
        </w:r>
      </w:hyperlink>
    </w:p>
    <w:p>
      <w:pPr>
        <w:pStyle w:val="TOC2"/>
        <w:tabs>
          <w:tab w:val="right" w:leader="dot" w:pos="8306"/>
        </w:tabs>
      </w:pPr>
      <w:hyperlink w:anchor="_Toc29249" w:history="1">
        <w:r>
          <w:rPr>
            <w:rFonts w:ascii="仿宋" w:eastAsia="仿宋" w:hAnsi="仿宋" w:cs="仿宋" w:hint="eastAsia"/>
            <w:lang w:eastAsia="zh-CN"/>
          </w:rPr>
          <w:t>(二)、风险分类</w:t>
        </w:r>
        <w:r>
          <w:tab/>
        </w:r>
        <w:r>
          <w:fldChar w:fldCharType="begin"/>
        </w:r>
        <w:r>
          <w:instrText xml:space="preserve"> PAGEREF _Toc29249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406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2097"/>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的技术管理特点体现在其创新导向。通过引入最先进的技术趋势和解决方案，游戏周边项目致力于提升科技含量、提高质量和效率水平。这意味着我们将采用最新的工具和方法，确保游戏周边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游戏周边项目技术管理的显著特征。通过整合不同领域的技术资源，我们实现了跨学科的协同工作。这有助于优化技术架构，提高整体效能。此外，整合性策略还促进了不同技术团队之间的紧密沟通和高效合作，确保游戏周边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游戏周边项目所采用的技术。通过不断优化技术方案，游戏周边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游戏周边项目团队将在游戏周边项目初期识别可能的技术风险，并采取相应的预防和应对措施。通过建立健全的风险评估机制，游戏周边项目能够在实施过程中及时发现并解决潜在的技术问题，保障游戏周边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游戏周边项目中，技术将成为游戏周边项目成功的有力支持。这一深度剖析揭示了技术管理在游戏周边项目实施中的关键作用，为游戏周边项目的技术基础奠定了坚实的基础。</w:t>
      </w:r>
    </w:p>
    <w:p>
      <w:pPr>
        <w:pStyle w:val="Heading2"/>
        <w:ind w:firstLine="560" w:firstLineChars="200"/>
        <w:rPr>
          <w:rFonts w:ascii="仿宋" w:eastAsia="仿宋" w:hAnsi="仿宋" w:cs="仿宋" w:hint="eastAsia"/>
          <w:sz w:val="28"/>
          <w:lang w:eastAsia="zh-CN"/>
        </w:rPr>
      </w:pPr>
      <w:bookmarkStart w:id="4" w:name="_Toc26529"/>
      <w:r>
        <w:rPr>
          <w:rFonts w:ascii="仿宋" w:eastAsia="仿宋" w:hAnsi="仿宋" w:cs="仿宋" w:hint="eastAsia"/>
          <w:sz w:val="28"/>
          <w:lang w:eastAsia="zh-CN"/>
        </w:rPr>
        <w:t>(二)、游戏周边项目工艺技术设计方案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游戏周边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游戏周边项目将严格按照相关行业规范要求进行组织。通过有效控制产品质量，游戏周边项目将致力于为顾客提供优质的游戏周边项目产品和良好的服务。这体现了游戏周边项目对于生产活动合规性和质量标准的高度重视，为游戏周边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游戏周边项目注重生态效益和清洁生产原则。游戏周边项目建设将紧密结合地方特色经济发展，与社会经济发展规划和区域环境保护规划方案相协调一致。通过与当地区域自然生态系统的结合，游戏周边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游戏周边项目产品具有多样化的客户需求和个性化的特点。因此，游戏周边项目产品规格品种多样，且单批生产数量较小。为满足这一特点，游戏周边项目承办单位将建设先进的柔性制造生产线。通过广泛应用柔性制造技术，游戏周边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游戏周边项目采用的技术具有较高的技术含量和自动化水平，处于国内先进水平。这一技术选用不仅体现了对生产效率、质量和环境友好性的高标准要求，同时为游戏周边项目的可持续发展奠定了坚实的基础。</w:t>
      </w:r>
    </w:p>
    <w:p>
      <w:pPr>
        <w:pStyle w:val="Heading2"/>
        <w:ind w:firstLine="560" w:firstLineChars="200"/>
        <w:rPr>
          <w:rFonts w:ascii="仿宋" w:eastAsia="仿宋" w:hAnsi="仿宋" w:cs="仿宋" w:hint="eastAsia"/>
          <w:sz w:val="28"/>
          <w:lang w:eastAsia="zh-CN"/>
        </w:rPr>
      </w:pPr>
      <w:bookmarkStart w:id="5" w:name="_Toc2277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为确保游戏周边项目的高效生产和技术实施，我们制定了一套精心设计的设备选型方案，以满足游戏周边项目生产、质量和环保的要求。该方案的主要特点如下：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游戏周边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针对游戏周边项目产品的多样性和小批量生产的特点，我们将建设柔性制造生产线。通过在设备选型中考虑柔性制造技术，可以灵活应对不同产品规格和生产需求，实现生产线的高度灵活性和适应性。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23499"/>
      <w:r>
        <w:rPr>
          <w:rFonts w:ascii="仿宋" w:eastAsia="仿宋" w:hAnsi="仿宋" w:cs="仿宋" w:hint="eastAsia"/>
          <w:sz w:val="28"/>
          <w:lang w:eastAsia="zh-CN"/>
        </w:rPr>
        <w:t>二、游戏周边项目可持续发展</w:t>
      </w:r>
      <w:bookmarkEnd w:id="6"/>
    </w:p>
    <w:p>
      <w:pPr>
        <w:pStyle w:val="Heading2"/>
        <w:rPr>
          <w:rFonts w:ascii="仿宋" w:eastAsia="仿宋" w:hAnsi="仿宋" w:cs="仿宋" w:hint="eastAsia"/>
          <w:lang w:eastAsia="zh-CN"/>
        </w:rPr>
      </w:pPr>
      <w:bookmarkStart w:id="7" w:name="_Toc7229"/>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中，游戏周边项目团队着眼于未来，明确了可持续发展的战略方向。制定的具体可持续发展目标包括降低资源使用、采用环保技术、最大化社会效益等。这一步骤不仅有助于游戏周边项目在环保和社会责任方面达到最高标准，也为未来提供了明确的指引，确保游戏周边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可持续实践的融入游戏周边项目管理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游戏周边项目管理周期。从游戏周边项目规划开始，游戏周边项目团队就考虑了环境和社会的因素。在执行阶段，游戏周边项目团队积极推动绿色技术的应用，优化资源利用。此外，关注员工的社会责任，通过培训和沟通活动提高员工对可持续发展的认知，使他们能够在日常工作中践行可持续实践。这些举措不仅为游戏周边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2465"/>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扎根于游戏周边项目的可持续发展理念，我们深信环保与社会责任是游戏周边项目成功的关键支柱。在游戏周边项目的每一步，我们都致力于通过创新和实践，履行对环境和社会的坚定责任。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团队通过引入先进的环保技术、建立高效的废物处理系统以及推动能源节约措施，积极履行环保责任。定期的环保监测和评估确保游戏周边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不仅致力于自身可持续发展，还注重对社会的回馈。通过支持社区游戏周边项目、参与慈善事业、提供培训机会等方式，游戏周边项目积极履行社会责任。与当地社区建立积极互动，关注员工的工作与生活平衡，以及员工的身心健康，是游戏周边项目在社会责任层面的关键举措。这样的实践不仅增强了游戏周边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26522"/>
      <w:r>
        <w:rPr>
          <w:rFonts w:ascii="仿宋" w:eastAsia="仿宋" w:hAnsi="仿宋" w:cs="仿宋" w:hint="eastAsia"/>
          <w:sz w:val="28"/>
          <w:lang w:eastAsia="zh-CN"/>
        </w:rPr>
        <w:t>三、游戏周边项目建设单位说明</w:t>
      </w:r>
      <w:bookmarkEnd w:id="9"/>
    </w:p>
    <w:p>
      <w:pPr>
        <w:pStyle w:val="Heading2"/>
        <w:rPr>
          <w:rFonts w:ascii="仿宋" w:eastAsia="仿宋" w:hAnsi="仿宋" w:cs="仿宋" w:hint="eastAsia"/>
          <w:lang w:eastAsia="zh-CN"/>
        </w:rPr>
      </w:pPr>
      <w:bookmarkStart w:id="10" w:name="_Toc1555"/>
      <w:r>
        <w:rPr>
          <w:rFonts w:ascii="仿宋" w:eastAsia="仿宋" w:hAnsi="仿宋" w:cs="仿宋" w:hint="eastAsia"/>
          <w:lang w:eastAsia="zh-CN"/>
        </w:rPr>
        <w:t>(一)、游戏周边项目承办单位基本情况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1665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游戏周边项目承办单位的XXXX，我们着眼于实现可持续的经济效益。通过技术创新和解决方案的提供，公司预计在游戏周边项目执行期间将获得可观的收入增长。这一收入来源主要包括游戏周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同时，我们注重成本控制和效率提升，以确保游戏周边项目的可持续盈利。透过精细的管理和资源优化，公司期望实现游戏周边项目利润最大化。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游戏周边项目实施进行全面的投资评估，包括游戏周边项目启动阶段的资金投入和后续运营成本。通过对游戏周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游戏周边项目实施过程中具备足够的资金流动性，公司将进行详尽的现金流分析。这包括资金需求的合理预测、游戏周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2997"/>
      <w:r>
        <w:rPr>
          <w:rFonts w:ascii="仿宋" w:eastAsia="仿宋" w:hAnsi="仿宋" w:cs="仿宋" w:hint="eastAsia"/>
          <w:sz w:val="28"/>
          <w:lang w:eastAsia="zh-CN"/>
        </w:rPr>
        <w:t>四、游戏周边项目建设背景及必要性分析</w:t>
      </w:r>
      <w:bookmarkEnd w:id="12"/>
    </w:p>
    <w:p>
      <w:pPr>
        <w:pStyle w:val="Heading2"/>
        <w:rPr>
          <w:rFonts w:ascii="仿宋" w:eastAsia="仿宋" w:hAnsi="仿宋" w:cs="仿宋" w:hint="eastAsia"/>
          <w:lang w:eastAsia="zh-CN"/>
        </w:rPr>
      </w:pPr>
      <w:bookmarkStart w:id="13" w:name="_Toc15601"/>
      <w:r>
        <w:rPr>
          <w:rFonts w:ascii="仿宋" w:eastAsia="仿宋" w:hAnsi="仿宋" w:cs="仿宋" w:hint="eastAsia"/>
          <w:lang w:eastAsia="zh-CN"/>
        </w:rPr>
        <w:t>(一)、游戏周边项目背景分析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游戏周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游戏周边项目在这个潮流中的定位。同时，我们将关注行业内涌现的新兴机遇，以便游戏周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游戏周边项目提供了强大的发展动力。我们将聚焦于行业内最新的技术发展趋势，包括但不限于人工智能、大数据分析、物联网等领域。通过深度的技术研究，我们将确保游戏周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游戏周边项目发展的源泉。我们将投入更多的精力对市场需求进行深入剖析，超越表面的需求，深入挖掘潜在的市场痛点和机遇。通过对市场需求的细致了解，游戏周边项目将更有针对性地设计解决方案，满足市场的多样化需求，从而更好地促进游戏周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游戏周边项目战略至关重要。我们将对竞争态势进行更为深入的分析，包括但不限于市场份额、产品特点、客户满意度等多个维度。通过深度的竞争分析，游戏周边项目将能够更准确地把握市场脉搏，制定具有竞争力的游戏周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游戏周边项目的发展具有直接的影响。我们将进行更为全面的法规和政策分析，了解行业发展中的潜在法律风险和合规挑战。通过充分了解和遵守相关法规，游戏周边项目将确保在法律框架内合法合规运营，为游戏周边项目的稳健发展提供有力支持。</w:t>
      </w:r>
    </w:p>
    <w:p>
      <w:pPr>
        <w:pStyle w:val="Heading2"/>
        <w:ind w:firstLine="560" w:firstLineChars="200"/>
        <w:rPr>
          <w:rFonts w:ascii="仿宋" w:eastAsia="仿宋" w:hAnsi="仿宋" w:cs="仿宋" w:hint="eastAsia"/>
          <w:sz w:val="28"/>
          <w:lang w:eastAsia="zh-CN"/>
        </w:rPr>
      </w:pPr>
      <w:bookmarkStart w:id="14" w:name="_Toc10672"/>
      <w:r>
        <w:rPr>
          <w:rFonts w:ascii="仿宋" w:eastAsia="仿宋" w:hAnsi="仿宋" w:cs="仿宋" w:hint="eastAsia"/>
          <w:sz w:val="28"/>
          <w:lang w:eastAsia="zh-CN"/>
        </w:rPr>
        <w:t>(二)、游戏周边项目建设必要性分析</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建设的迫切性源于对行业发展趋势的深刻洞察。我们正处于一个行业变革的时代，科技创新、数字化转型成为企业发展的关键动力。游戏周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建设不仅仅是为了跟上潮流，更是为了通过技术创新推动企业的持续发展。通过引入先进的技术和解决方案，游戏周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游戏周边项目的建设成为必然选择，通过提高产品质量、拓展服务领域，从而在竞争中获得更多的机会。游戏周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游戏周边项目建设的必要性体现在对客户需求更精准的满足。通过游戏周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建设的背后是对企业持续创新的追求。只有通过不断创新，企业才能在竞争中立于不败之地。游戏周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1422"/>
      <w:r>
        <w:rPr>
          <w:rFonts w:ascii="仿宋" w:eastAsia="仿宋" w:hAnsi="仿宋" w:cs="仿宋" w:hint="eastAsia"/>
          <w:sz w:val="28"/>
          <w:lang w:eastAsia="zh-CN"/>
        </w:rPr>
        <w:t>五、游戏周边项目土建工程</w:t>
      </w:r>
      <w:bookmarkEnd w:id="15"/>
    </w:p>
    <w:p>
      <w:pPr>
        <w:pStyle w:val="Heading2"/>
        <w:rPr>
          <w:rFonts w:ascii="仿宋" w:eastAsia="仿宋" w:hAnsi="仿宋" w:cs="仿宋" w:hint="eastAsia"/>
          <w:lang w:eastAsia="zh-CN"/>
        </w:rPr>
      </w:pPr>
      <w:bookmarkStart w:id="16" w:name="_Toc24918"/>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在游戏周边项目的建筑工程设计中，我们将秉承一系列重要的设计原则，以确保游戏周边项目建筑在功能、美观、可持续性等方面达到最佳效果。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首要原则是确保建筑的功能性得到最大化的发挥。我们将充分理解游戏周边项目的实际需求，合理布局各个功能区域，保证建筑在满足业务需求的同时，提供高效的工作环境。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在建筑设计中，我们将综合考虑建设和运营成本。通过精细的经济效益分析，确保设计方案在高效利用资源的同时，对游戏周边项目的长期盈利能力有积极的贡献。</w:t>
      </w:r>
    </w:p>
    <w:p>
      <w:pPr>
        <w:pStyle w:val="Heading2"/>
        <w:ind w:firstLine="560" w:firstLineChars="200"/>
        <w:rPr>
          <w:rFonts w:ascii="仿宋" w:eastAsia="仿宋" w:hAnsi="仿宋" w:cs="仿宋" w:hint="eastAsia"/>
          <w:sz w:val="28"/>
          <w:lang w:eastAsia="zh-CN"/>
        </w:rPr>
      </w:pPr>
      <w:bookmarkStart w:id="17" w:name="_Toc16068"/>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的土建工程设计中，我们将精准设定设计年限，结合游戏周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游戏周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2359"/>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该游戏周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游戏周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游戏周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9" w:name="_Toc12670"/>
      <w:r>
        <w:rPr>
          <w:rFonts w:ascii="仿宋" w:eastAsia="仿宋" w:hAnsi="仿宋" w:cs="仿宋" w:hint="eastAsia"/>
          <w:sz w:val="28"/>
          <w:lang w:eastAsia="zh-CN"/>
        </w:rPr>
        <w:t>(四)、土建工程建设指标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本期工程游戏周边项目预计总建筑面积XXX平方米，其中：计容建筑面积XXX平方米，计划建筑工程投资XX万元，占游戏周边项目总投资的XX%。</w:t>
      </w:r>
    </w:p>
    <w:p>
      <w:pPr>
        <w:pStyle w:val="Heading1"/>
        <w:ind w:firstLine="560" w:firstLineChars="200"/>
        <w:rPr>
          <w:rFonts w:ascii="仿宋" w:eastAsia="仿宋" w:hAnsi="仿宋" w:cs="仿宋" w:hint="eastAsia"/>
          <w:sz w:val="28"/>
          <w:lang w:eastAsia="zh-CN"/>
        </w:rPr>
      </w:pPr>
      <w:bookmarkStart w:id="20" w:name="_Toc21530"/>
      <w:r>
        <w:rPr>
          <w:rFonts w:ascii="仿宋" w:eastAsia="仿宋" w:hAnsi="仿宋" w:cs="仿宋" w:hint="eastAsia"/>
          <w:sz w:val="28"/>
          <w:lang w:eastAsia="zh-CN"/>
        </w:rPr>
        <w:t>六、游戏周边项目绩效评估</w:t>
      </w:r>
      <w:bookmarkEnd w:id="20"/>
    </w:p>
    <w:p>
      <w:pPr>
        <w:pStyle w:val="Heading2"/>
        <w:rPr>
          <w:rFonts w:ascii="仿宋" w:eastAsia="仿宋" w:hAnsi="仿宋" w:cs="仿宋" w:hint="eastAsia"/>
          <w:lang w:eastAsia="zh-CN"/>
        </w:rPr>
      </w:pPr>
      <w:bookmarkStart w:id="21" w:name="_Toc17153"/>
      <w:r>
        <w:rPr>
          <w:rFonts w:ascii="仿宋" w:eastAsia="仿宋" w:hAnsi="仿宋" w:cs="仿宋" w:hint="eastAsia"/>
          <w:lang w:eastAsia="zh-CN"/>
        </w:rPr>
        <w:t>(一)、绩效评估指标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游戏周边项目中，我们设计了一套全面的绩效评估指标，以确保游戏周边项目的可控和成功交付。这些指标跨足游戏周边项目目标、成本、进度和质量等多个维度，为我们提供了全面洞察游戏周边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游戏周边项目目标达成率是我们关注的首要指标。我们设定了明确的目标，并通过定期监测和评估，迅速发现并应对潜在的目标偏差。这为游戏周边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https://d.book118.com/115332143243011123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游戏周边项目规划设计纲要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5C43E8"/>
    <w:rsid w:val="585C43E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533214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2024-03-07T01:40:00Z</dcterms:created>
  <dcterms:modified xsi:type="dcterms:W3CDTF">2024-03-07T01:41:06Z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C15219C0922E484EB87B517F4FDCD4C1_11</vt:lpwstr>
  </property>
  <property fmtid="{D5CDD505-2E9C-101B-9397-08002B2CF9AE}" pid="3" name="KSOProductBuildVer">
    <vt:lpwstr>2052-12.1.0.16388</vt:lpwstr>
  </property>
</Properties>
</file>