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PVC管项目建设总纲及方案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1722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_Toc11722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834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_Toc28834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15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_Toc24915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5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_Toc1285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05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_Toc5205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49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_Toc9249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80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_Toc29880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003" w:history="1">
        <w:r>
          <w:rPr>
            <w:rFonts w:ascii="仿宋" w:eastAsia="仿宋" w:hAnsi="仿宋" w:cs="仿宋" w:hint="eastAsia"/>
            <w:lang w:eastAsia="zh-CN"/>
          </w:rPr>
          <w:t>二、经济影响分析</w:t>
        </w:r>
        <w:r>
          <w:tab/>
        </w:r>
        <w:r>
          <w:fldChar w:fldCharType="begin"/>
        </w:r>
        <w:r>
          <w:instrText xml:space="preserve"> PAGEREF _Toc6003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08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_Toc29808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88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_Toc17888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24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_Toc12424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27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_Toc19227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778" w:history="1">
        <w:r>
          <w:rPr>
            <w:rFonts w:ascii="仿宋" w:eastAsia="仿宋" w:hAnsi="仿宋" w:cs="仿宋" w:hint="eastAsia"/>
            <w:lang w:eastAsia="zh-CN"/>
          </w:rPr>
          <w:t>三、项目监理与质量保证</w:t>
        </w:r>
        <w:r>
          <w:tab/>
        </w:r>
        <w:r>
          <w:fldChar w:fldCharType="begin"/>
        </w:r>
        <w:r>
          <w:instrText xml:space="preserve"> PAGEREF _Toc17778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52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_Toc11052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41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_Toc8941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1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_Toc2891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407" w:history="1">
        <w:r>
          <w:rPr>
            <w:rFonts w:ascii="仿宋" w:eastAsia="仿宋" w:hAnsi="仿宋" w:cs="仿宋" w:hint="eastAsia"/>
            <w:lang w:eastAsia="zh-CN"/>
          </w:rPr>
          <w:t>四、背景、必要性分析</w:t>
        </w:r>
        <w:r>
          <w:tab/>
        </w:r>
        <w:r>
          <w:fldChar w:fldCharType="begin"/>
        </w:r>
        <w:r>
          <w:instrText xml:space="preserve"> PAGEREF _Toc17407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91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_Toc25191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75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_Toc5075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86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_Toc26386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095" w:history="1">
        <w:r>
          <w:rPr>
            <w:rFonts w:ascii="仿宋" w:eastAsia="仿宋" w:hAnsi="仿宋" w:cs="仿宋" w:hint="eastAsia"/>
            <w:lang w:eastAsia="zh-CN"/>
          </w:rPr>
          <w:t>五、财务管理与成本控制</w:t>
        </w:r>
        <w:r>
          <w:tab/>
        </w:r>
        <w:r>
          <w:fldChar w:fldCharType="begin"/>
        </w:r>
        <w:r>
          <w:instrText xml:space="preserve"> PAGEREF _Toc20095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76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_Toc28076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50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_Toc25850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640" w:history="1">
        <w:r>
          <w:rPr>
            <w:rFonts w:ascii="仿宋" w:eastAsia="仿宋" w:hAnsi="仿宋" w:cs="仿宋" w:hint="eastAsia"/>
            <w:lang w:eastAsia="zh-CN"/>
          </w:rPr>
          <w:t>六、发展规划、产业政策和行业准入分析</w:t>
        </w:r>
        <w:r>
          <w:tab/>
        </w:r>
        <w:r>
          <w:fldChar w:fldCharType="begin"/>
        </w:r>
        <w:r>
          <w:instrText xml:space="preserve"> PAGEREF _Toc16640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62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_Toc26062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74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_Toc4274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09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_Toc14409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309" w:history="1">
        <w:r>
          <w:rPr>
            <w:rFonts w:ascii="仿宋" w:eastAsia="仿宋" w:hAnsi="仿宋" w:cs="仿宋" w:hint="eastAsia"/>
            <w:lang w:eastAsia="zh-CN"/>
          </w:rPr>
          <w:t>七、技术创新与产业升级</w:t>
        </w:r>
        <w:r>
          <w:tab/>
        </w:r>
        <w:r>
          <w:fldChar w:fldCharType="begin"/>
        </w:r>
        <w:r>
          <w:instrText xml:space="preserve"> PAGEREF _Toc11309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81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_Toc9781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11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_Toc13811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582" w:history="1">
        <w:r>
          <w:rPr>
            <w:rFonts w:ascii="仿宋" w:eastAsia="仿宋" w:hAnsi="仿宋" w:cs="仿宋" w:hint="eastAsia"/>
            <w:lang w:eastAsia="zh-CN"/>
          </w:rPr>
          <w:t>八、土地利用与规划方案</w:t>
        </w:r>
        <w:r>
          <w:tab/>
        </w:r>
        <w:r>
          <w:fldChar w:fldCharType="begin"/>
        </w:r>
        <w:r>
          <w:instrText xml:space="preserve"> PAGEREF _Toc20582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80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_Toc6780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10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_Toc19610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45" w:history="1">
        <w:r>
          <w:rPr>
            <w:rFonts w:ascii="仿宋" w:eastAsia="仿宋" w:hAnsi="仿宋" w:cs="仿宋" w:hint="eastAsia"/>
            <w:lang w:eastAsia="zh-CN"/>
          </w:rPr>
          <w:t>九、客户关系管理与市场拓展</w:t>
        </w:r>
        <w:r>
          <w:tab/>
        </w:r>
        <w:r>
          <w:fldChar w:fldCharType="begin"/>
        </w:r>
        <w:r>
          <w:instrText xml:space="preserve"> PAGEREF _Toc12045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51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_Toc24451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17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_Toc16417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155" w:history="1">
        <w:r>
          <w:rPr>
            <w:rFonts w:ascii="仿宋" w:eastAsia="仿宋" w:hAnsi="仿宋" w:cs="仿宋" w:hint="eastAsia"/>
            <w:lang w:eastAsia="zh-CN"/>
          </w:rPr>
          <w:t>十、环境保护与治理方案</w:t>
        </w:r>
        <w:r>
          <w:tab/>
        </w:r>
        <w:r>
          <w:fldChar w:fldCharType="begin"/>
        </w:r>
        <w:r>
          <w:instrText xml:space="preserve"> PAGEREF _Toc7155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08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_Toc21608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59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_Toc14459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577" w:history="1">
        <w:r>
          <w:rPr>
            <w:rFonts w:ascii="仿宋" w:eastAsia="仿宋" w:hAnsi="仿宋" w:cs="仿宋" w:hint="eastAsia"/>
            <w:lang w:eastAsia="zh-CN"/>
          </w:rPr>
          <w:t>十一、项目质量与标准</w:t>
        </w:r>
        <w:r>
          <w:tab/>
        </w:r>
        <w:r>
          <w:fldChar w:fldCharType="begin"/>
        </w:r>
        <w:r>
          <w:instrText xml:space="preserve"> PAGEREF _Toc20577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81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_Toc14081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8457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_Toc18457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61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_Toc5661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17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_Toc30617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954" w:history="1">
        <w:r>
          <w:rPr>
            <w:rFonts w:ascii="仿宋" w:eastAsia="仿宋" w:hAnsi="仿宋" w:cs="仿宋" w:hint="eastAsia"/>
            <w:lang w:eastAsia="zh-CN"/>
          </w:rPr>
          <w:t>十二、项目进度计划</w:t>
        </w:r>
        <w:r>
          <w:tab/>
        </w:r>
        <w:r>
          <w:fldChar w:fldCharType="begin"/>
        </w:r>
        <w:r>
          <w:instrText xml:space="preserve"> PAGEREF _Toc16954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82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_Toc24582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47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_Toc27847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54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_Toc13954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95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_Toc25095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63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_Toc31563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88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_Toc31288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1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_Toc691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927" w:history="1">
        <w:r>
          <w:rPr>
            <w:rFonts w:ascii="仿宋" w:eastAsia="仿宋" w:hAnsi="仿宋" w:cs="仿宋" w:hint="eastAsia"/>
            <w:lang w:eastAsia="zh-CN"/>
          </w:rPr>
          <w:t>十三、产业协同与集群发展</w:t>
        </w:r>
        <w:r>
          <w:tab/>
        </w:r>
        <w:r>
          <w:fldChar w:fldCharType="begin"/>
        </w:r>
        <w:r>
          <w:instrText xml:space="preserve"> PAGEREF _Toc26927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41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_Toc18141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1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_Toc1951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584" w:history="1">
        <w:r>
          <w:rPr>
            <w:rFonts w:ascii="仿宋" w:eastAsia="仿宋" w:hAnsi="仿宋" w:cs="仿宋" w:hint="eastAsia"/>
            <w:lang w:eastAsia="zh-CN"/>
          </w:rPr>
          <w:t>十四、知识产权管理与保护</w:t>
        </w:r>
        <w:r>
          <w:tab/>
        </w:r>
        <w:r>
          <w:fldChar w:fldCharType="begin"/>
        </w:r>
        <w:r>
          <w:instrText xml:space="preserve"> PAGEREF _Toc20584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47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_Toc19347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77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_Toc13677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599" w:history="1">
        <w:r>
          <w:rPr>
            <w:rFonts w:ascii="仿宋" w:eastAsia="仿宋" w:hAnsi="仿宋" w:cs="仿宋" w:hint="eastAsia"/>
            <w:lang w:eastAsia="zh-CN"/>
          </w:rPr>
          <w:t>十五、法律法规与政策遵循</w:t>
        </w:r>
        <w:r>
          <w:tab/>
        </w:r>
        <w:r>
          <w:fldChar w:fldCharType="begin"/>
        </w:r>
        <w:r>
          <w:instrText xml:space="preserve"> PAGEREF _Toc4599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09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_Toc27009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25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_Toc10525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920" w:history="1">
        <w:r>
          <w:rPr>
            <w:rFonts w:ascii="仿宋" w:eastAsia="仿宋" w:hAnsi="仿宋" w:cs="仿宋" w:hint="eastAsia"/>
            <w:lang w:eastAsia="zh-CN"/>
          </w:rPr>
          <w:t>十六、人力资源管理与开发</w:t>
        </w:r>
        <w:r>
          <w:tab/>
        </w:r>
        <w:r>
          <w:fldChar w:fldCharType="begin"/>
        </w:r>
        <w:r>
          <w:instrText xml:space="preserve"> PAGEREF _Toc11920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07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_Toc19607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74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_Toc13774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67" w:history="1">
        <w:r>
          <w:rPr>
            <w:rFonts w:ascii="仿宋" w:eastAsia="仿宋" w:hAnsi="仿宋" w:cs="仿宋" w:hint="eastAsia"/>
            <w:lang w:eastAsia="zh-CN"/>
          </w:rPr>
          <w:t>十七、企业合规与伦理</w:t>
        </w:r>
        <w:r>
          <w:tab/>
        </w:r>
        <w:r>
          <w:fldChar w:fldCharType="begin"/>
        </w:r>
        <w:r>
          <w:instrText xml:space="preserve"> PAGEREF _Toc1267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20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_Toc14620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05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_Toc12805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65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_Toc22665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84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_Toc31984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429" w:history="1">
        <w:r>
          <w:rPr>
            <w:rFonts w:ascii="仿宋" w:eastAsia="仿宋" w:hAnsi="仿宋" w:cs="仿宋" w:hint="eastAsia"/>
            <w:lang w:eastAsia="zh-CN"/>
          </w:rPr>
          <w:t>十八、成果转化与推广应用</w:t>
        </w:r>
        <w:r>
          <w:tab/>
        </w:r>
        <w:r>
          <w:fldChar w:fldCharType="begin"/>
        </w:r>
        <w:r>
          <w:instrText xml:space="preserve"> PAGEREF _Toc9429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00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_Toc5900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12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_Toc18212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1722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8834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4915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PVC管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PVC管项目将进行详细的生态影响评估，确保不会对当地的动植物种群和自然栖息地造成负面影响。如果项目地点附近有重要的生物栖息地或生态敏感区，项目将重新考虑建设地点或采取相应的保护措施。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PVC管项目将积极采用可持续材料，如再生塑料和生物降解材料，以减少对环境的影响。项目还将推行废物减量和回收计划，例如通过再利用工业废料或建立回收系统。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PVC管项目还将参与当地的环保活动和计划，如资助当地的环境保护项目或与社区合作进行环保宣传活动。通过这些活动，项目不仅能够提高自身的环境表现，还能在当地社区中树立积极的环保形象。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285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PVC管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PVC管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PVC管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5205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PVC管项目将采用绿色屋顶和生态墙等环境友好型建筑设计，这些设计不仅有助于改善空气质量，还能为城市野生动植物提供栖息地。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PVC管项目将建立高效的废水处理系统，确保所有工业废水在排放前都经过适当处理，达到或超过环保标准。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PVC管项目将致力于使用清洁能源，如太阳能和风能，减少对化石燃料的依赖。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PVC管项目将举办环保教育研讨会，向员工和当地社区普及环保知识，提升对环境保护重要性的认识。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9249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在PVC管项目启动前，将进行一系列深入的地质调查，包括钻探和土壤取样，以深入了解项目区域的地层结构和土壤组成。特别是对于土壤的承载能力和地下水位的深度进行详细评估。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PVC管项目将通过地下水位监测系统定期检测水位变化，以预测和预防由高地下水位可能引起的地基问题。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PVC管项目将进行详尽的水文和地形分析，以识别可能的洪水和泥石流风险区。基于这些分析，项目将设计防洪设施，如提高地基、构建防洪墙和排水沟。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PVC管项目还将考虑建设排水系统，以减少地表水对土壤稳定性的影响。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完成初始的地质风险评估后，PVC管项目将安装长期地质监测设备，如倾斜仪、裂缝计和地下水位计，以持续监测地质条件的变化。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29880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PVC管项目将通过这些措施来适应和尊重特殊环境条件，确保项目的可持续发展，同时减少对环境的负面影响。这不仅有助于保护自然和文化遗产，还能提升项目在社会责任方面的表现和形象。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6003"/>
      <w:r>
        <w:rPr>
          <w:rFonts w:ascii="仿宋" w:eastAsia="仿宋" w:hAnsi="仿宋" w:cs="仿宋" w:hint="eastAsia"/>
          <w:sz w:val="28"/>
          <w:lang w:eastAsia="zh-CN"/>
        </w:rPr>
        <w:t>二、经济影响分析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29808"/>
      <w:r>
        <w:rPr>
          <w:rFonts w:ascii="仿宋" w:eastAsia="仿宋" w:hAnsi="仿宋" w:cs="仿宋" w:hint="eastAsia"/>
          <w:lang w:eastAsia="zh-CN"/>
        </w:rPr>
        <w:t>(一)、经济费用效益或费用效果分析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项目总成本评估：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初始投资成本：假设土地购置成本为XX万元，建筑和基础设施建设成本为XX万元，设备采购和安装费用为XX万元。因此，项目的总初始投资成本估计为XX万元。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运营成本：每年的运营成本包括人力资源成本XX万元，原材料采购XX万元，能源消耗XX万元，维护和修理XX万元。因此，项目的年运营成本估计为XX万元。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环境和社会成本：环境保护措施预计年费用为XX万元，社区补偿和支持预算为XX万元，因此总计为XX万元。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预期收益分析：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直接收益：假设PVC管项目的产品或服务年销售收入为XX万元。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 xml:space="preserve">  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间接收益：包括提高品牌价值和市场份额，假设间接经济效益为XX万元。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社会和环境效益：虽难以量化，但假设其长期价值估计为XX万元。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成本效果比较：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假设项目的总成本（初始投资成本加上预计五年的运营成本和环境社会成本）为XX万元。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预期收益（直接收益加上五年的间接收益和社会环境效益）为XX万元。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因此，项目的成本效果比为XX万元（总成本）对比XX万元（总收益）。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投资回收期分析：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假设项目的总初始投资为XX万元，年运营成本为XX万元，而年直接收益为XX万元。假定直接收益和运营成本保持恒定，则项目的投资回收期为：（总初始投资） / （年直接收益 年运营成本）= XX年。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净现值（NPV）和内部收益率（IRR）分析：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净现值（NPV）是评估项目总收益与总成本现值的差额。假设项目预计持续XX年，每年的净收益为（年直接收益 年运营成本），折现率假定为XX%，则NPV计算为：NPV = ∑ [（年净收益） / （1 + 折现率）^年份] 初始投资成本。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内部收益率（IRR）是使得NPV为零的折现率，这是项目盈利能力的一个重要指标。通过财务软件或手工计算可得出IRR值。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https://d.book118.com/116040025152010044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PVC管项目建设总纲及方案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PVC管项目建设总纲及方案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PVC管项目建设总纲及方案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PVC管项目建设总纲及方案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PVC管项目建设总纲及方案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PVC管项目建设总纲及方案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PVC管项目建设总纲及方案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PVC管项目建设总纲及方案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PVC管项目建设总纲及方案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PVC管项目建设总纲及方案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PVC管项目建设总纲及方案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PVC管项目建设总纲及方案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69E2FC9"/>
    <w:rsid w:val="369E2FC9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11604002515201004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2024-02-03T11:12:00Z</dcterms:created>
  <dcterms:modified xsi:type="dcterms:W3CDTF">2024-02-03T11:12:16Z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2787AD3E9A4740E8A459621A2AD13B89_11</vt:lpwstr>
  </property>
  <property fmtid="{D5CDD505-2E9C-101B-9397-08002B2CF9AE}" pid="3" name="KSOProductBuildVer">
    <vt:lpwstr>2052-12.1.0.16250</vt:lpwstr>
  </property>
</Properties>
</file>