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6009"/>
        </w:tabs>
        <w:spacing w:before="33"/>
        <w:ind w:left="4562" w:firstLine="0"/>
      </w:pPr>
      <w:r>
        <w:t>第二节</w:t>
        <w:tab/>
        <w:t>合同专用条款</w:t>
      </w:r>
    </w:p>
    <w:p>
      <w:pPr>
        <w:pStyle w:val="ListParagraph"/>
        <w:numPr>
          <w:ilvl w:val="0"/>
          <w:numId w:val="22"/>
        </w:numPr>
        <w:tabs>
          <w:tab w:val="left" w:pos="685"/>
        </w:tabs>
        <w:spacing w:before="202" w:after="0" w:line="240" w:lineRule="auto"/>
        <w:ind w:left="684" w:right="0" w:hanging="545"/>
        <w:jc w:val="left"/>
        <w:rPr>
          <w:b/>
          <w:sz w:val="36"/>
        </w:rPr>
      </w:pPr>
      <w:r>
        <w:rPr>
          <w:b/>
          <w:sz w:val="36"/>
        </w:rPr>
        <w:t>一般约定</w:t>
      </w:r>
    </w:p>
    <w:p>
      <w:pPr>
        <w:pStyle w:val="Heading1"/>
        <w:numPr>
          <w:ilvl w:val="1"/>
          <w:numId w:val="22"/>
        </w:numPr>
        <w:tabs>
          <w:tab w:val="left" w:pos="1047"/>
          <w:tab w:val="left" w:pos="1048"/>
        </w:tabs>
        <w:spacing w:before="240" w:after="0" w:line="240" w:lineRule="auto"/>
        <w:ind w:left="1047" w:right="0" w:hanging="908"/>
        <w:jc w:val="left"/>
      </w:pPr>
      <w:r>
        <w:t>词语定义</w:t>
      </w:r>
    </w:p>
    <w:p>
      <w:pPr>
        <w:pStyle w:val="BodyText"/>
        <w:spacing w:before="2"/>
        <w:rPr>
          <w:b/>
          <w:sz w:val="19"/>
        </w:rPr>
      </w:pPr>
    </w:p>
    <w:p>
      <w:pPr>
        <w:pStyle w:val="ListParagraph"/>
        <w:numPr>
          <w:ilvl w:val="2"/>
          <w:numId w:val="22"/>
        </w:numPr>
        <w:tabs>
          <w:tab w:val="left" w:pos="2120"/>
          <w:tab w:val="left" w:pos="2121"/>
        </w:tabs>
        <w:spacing w:before="50" w:after="0" w:line="240" w:lineRule="auto"/>
        <w:ind w:left="2120" w:right="0" w:hanging="1261"/>
        <w:jc w:val="left"/>
        <w:rPr>
          <w:sz w:val="36"/>
        </w:rPr>
      </w:pPr>
      <w:r>
        <w:rPr>
          <w:sz w:val="36"/>
        </w:rPr>
        <w:t>合同当事人和人员</w:t>
      </w:r>
    </w:p>
    <w:p>
      <w:pPr>
        <w:pStyle w:val="ListParagraph"/>
        <w:numPr>
          <w:ilvl w:val="3"/>
          <w:numId w:val="22"/>
        </w:numPr>
        <w:tabs>
          <w:tab w:val="left" w:pos="2534"/>
          <w:tab w:val="left" w:pos="2535"/>
          <w:tab w:val="left" w:pos="4875"/>
        </w:tabs>
        <w:spacing w:before="204" w:after="0" w:line="240" w:lineRule="auto"/>
        <w:ind w:left="2534" w:right="0" w:hanging="1621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384936</wp:posOffset>
            </wp:positionV>
            <wp:extent cx="3454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发包人：</w:t>
        <w:tab/>
        <w:t>两山建设投资</w:t>
      </w:r>
    </w:p>
    <w:p>
      <w:pPr>
        <w:pStyle w:val="ListParagraph"/>
        <w:numPr>
          <w:ilvl w:val="3"/>
          <w:numId w:val="22"/>
        </w:numPr>
        <w:tabs>
          <w:tab w:val="left" w:pos="2480"/>
          <w:tab w:val="left" w:pos="2481"/>
        </w:tabs>
        <w:spacing w:before="209" w:after="0" w:line="240" w:lineRule="auto"/>
        <w:ind w:left="2480" w:right="0" w:hanging="1621"/>
        <w:jc w:val="left"/>
        <w:rPr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394716</wp:posOffset>
            </wp:positionV>
            <wp:extent cx="5537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承包人：</w:t>
      </w:r>
    </w:p>
    <w:p>
      <w:pPr>
        <w:pStyle w:val="BodyText"/>
        <w:tabs>
          <w:tab w:val="left" w:pos="2480"/>
        </w:tabs>
        <w:spacing w:before="215"/>
        <w:ind w:left="86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400557</wp:posOffset>
            </wp:positionV>
            <wp:extent cx="55372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1.1.2.6</w:t>
        <w:tab/>
        <w:t>监理人：</w:t>
      </w:r>
    </w:p>
    <w:p>
      <w:pPr>
        <w:pStyle w:val="ListParagraph"/>
        <w:numPr>
          <w:ilvl w:val="2"/>
          <w:numId w:val="22"/>
        </w:numPr>
        <w:tabs>
          <w:tab w:val="left" w:pos="2120"/>
          <w:tab w:val="left" w:pos="2121"/>
        </w:tabs>
        <w:spacing w:before="212" w:after="0" w:line="240" w:lineRule="auto"/>
        <w:ind w:left="2120" w:right="0" w:hanging="1261"/>
        <w:jc w:val="left"/>
        <w:rPr>
          <w:sz w:val="36"/>
        </w:rPr>
      </w:pPr>
      <w:r>
        <w:rPr>
          <w:sz w:val="36"/>
        </w:rPr>
        <w:t>工程和设备</w:t>
      </w:r>
    </w:p>
    <w:p>
      <w:pPr>
        <w:pStyle w:val="ListParagraph"/>
        <w:numPr>
          <w:ilvl w:val="3"/>
          <w:numId w:val="21"/>
        </w:numPr>
        <w:tabs>
          <w:tab w:val="left" w:pos="2480"/>
          <w:tab w:val="left" w:pos="2481"/>
          <w:tab w:val="left" w:pos="5361"/>
        </w:tabs>
        <w:spacing w:before="217" w:after="0" w:line="240" w:lineRule="auto"/>
        <w:ind w:left="2480" w:right="0" w:hanging="1621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394970</wp:posOffset>
            </wp:positionV>
            <wp:extent cx="40259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永久工程：</w:t>
        <w:tab/>
        <w:t>施工招标围所示工作容。</w:t>
      </w:r>
    </w:p>
    <w:p>
      <w:pPr>
        <w:pStyle w:val="ListParagraph"/>
        <w:numPr>
          <w:ilvl w:val="3"/>
          <w:numId w:val="21"/>
        </w:numPr>
        <w:tabs>
          <w:tab w:val="left" w:pos="2480"/>
          <w:tab w:val="left" w:pos="2481"/>
          <w:tab w:val="left" w:pos="5181"/>
        </w:tabs>
        <w:spacing w:before="212" w:after="0" w:line="240" w:lineRule="auto"/>
        <w:ind w:left="2480" w:right="0" w:hanging="1621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396112</wp:posOffset>
            </wp:positionV>
            <wp:extent cx="53086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临时工程：</w:t>
        <w:tab/>
        <w:t>施工供水工程、施工照明工程、脚手架搭设等。</w:t>
      </w:r>
    </w:p>
    <w:p>
      <w:pPr>
        <w:pStyle w:val="ListParagraph"/>
        <w:numPr>
          <w:ilvl w:val="3"/>
          <w:numId w:val="21"/>
        </w:numPr>
        <w:tabs>
          <w:tab w:val="left" w:pos="2480"/>
          <w:tab w:val="left" w:pos="2481"/>
        </w:tabs>
        <w:spacing w:before="215" w:after="0" w:line="240" w:lineRule="auto"/>
        <w:ind w:left="2480" w:right="0" w:hanging="1621"/>
        <w:jc w:val="left"/>
        <w:rPr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400050</wp:posOffset>
            </wp:positionV>
            <wp:extent cx="53086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单位工程：</w:t>
      </w:r>
    </w:p>
    <w:p>
      <w:pPr>
        <w:pStyle w:val="ListParagraph"/>
        <w:numPr>
          <w:ilvl w:val="3"/>
          <w:numId w:val="20"/>
        </w:numPr>
        <w:tabs>
          <w:tab w:val="left" w:pos="2660"/>
          <w:tab w:val="left" w:pos="2661"/>
        </w:tabs>
        <w:spacing w:before="212" w:after="0" w:line="240" w:lineRule="auto"/>
        <w:ind w:left="2660" w:right="0" w:hanging="1801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389762</wp:posOffset>
            </wp:positionV>
            <wp:extent cx="51943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永久占地：</w:t>
      </w:r>
    </w:p>
    <w:p>
      <w:pPr>
        <w:pStyle w:val="ListParagraph"/>
        <w:numPr>
          <w:ilvl w:val="3"/>
          <w:numId w:val="20"/>
        </w:numPr>
        <w:tabs>
          <w:tab w:val="left" w:pos="2660"/>
          <w:tab w:val="left" w:pos="2661"/>
        </w:tabs>
        <w:spacing w:before="216" w:after="0" w:line="240" w:lineRule="auto"/>
        <w:ind w:left="2660" w:right="0" w:hanging="1801"/>
        <w:jc w:val="left"/>
        <w:rPr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394335</wp:posOffset>
            </wp:positionV>
            <wp:extent cx="5194300" cy="381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临时占地：</w:t>
      </w:r>
    </w:p>
    <w:p>
      <w:pPr>
        <w:pStyle w:val="ListParagraph"/>
        <w:numPr>
          <w:ilvl w:val="2"/>
          <w:numId w:val="22"/>
        </w:numPr>
        <w:tabs>
          <w:tab w:val="left" w:pos="2120"/>
          <w:tab w:val="left" w:pos="2121"/>
        </w:tabs>
        <w:spacing w:before="212" w:after="0" w:line="240" w:lineRule="auto"/>
        <w:ind w:left="2120" w:right="0" w:hanging="1261"/>
        <w:jc w:val="left"/>
        <w:rPr>
          <w:sz w:val="36"/>
        </w:rPr>
      </w:pPr>
      <w:r>
        <w:rPr>
          <w:sz w:val="36"/>
        </w:rPr>
        <w:t>日期</w:t>
      </w:r>
    </w:p>
    <w:p>
      <w:pPr>
        <w:pStyle w:val="BodyText"/>
        <w:tabs>
          <w:tab w:val="left" w:pos="5001"/>
        </w:tabs>
        <w:spacing w:before="215"/>
        <w:ind w:left="86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400050</wp:posOffset>
            </wp:positionV>
            <wp:extent cx="51943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1.1.4.5</w:t>
      </w:r>
      <w:r>
        <w:rPr>
          <w:spacing w:val="-1"/>
        </w:rPr>
        <w:t xml:space="preserve"> </w:t>
      </w:r>
      <w:r>
        <w:t>缺陷责任期：</w:t>
        <w:tab/>
        <w:t>24</w:t>
      </w:r>
      <w:r>
        <w:rPr>
          <w:spacing w:val="-90"/>
        </w:rPr>
        <w:t xml:space="preserve"> </w:t>
      </w:r>
      <w:r>
        <w:t>个月</w:t>
      </w:r>
    </w:p>
    <w:p>
      <w:pPr>
        <w:pStyle w:val="Heading1"/>
        <w:numPr>
          <w:ilvl w:val="1"/>
          <w:numId w:val="19"/>
        </w:numPr>
        <w:tabs>
          <w:tab w:val="left" w:pos="1047"/>
          <w:tab w:val="left" w:pos="1048"/>
        </w:tabs>
        <w:spacing w:before="158" w:after="0" w:line="240" w:lineRule="auto"/>
        <w:ind w:left="1047" w:right="0" w:hanging="908"/>
        <w:jc w:val="left"/>
      </w:pPr>
      <w:r>
        <w:t>合同文件的优先顺序</w:t>
      </w:r>
    </w:p>
    <w:p>
      <w:pPr>
        <w:pStyle w:val="BodyText"/>
        <w:spacing w:before="310"/>
        <w:ind w:left="104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453897</wp:posOffset>
            </wp:positionV>
            <wp:extent cx="18542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合同文件的优先顺序：按通用条款执行。</w:t>
      </w:r>
    </w:p>
    <w:p>
      <w:pPr>
        <w:pStyle w:val="Heading1"/>
        <w:numPr>
          <w:ilvl w:val="1"/>
          <w:numId w:val="19"/>
        </w:numPr>
        <w:tabs>
          <w:tab w:val="left" w:pos="1047"/>
          <w:tab w:val="left" w:pos="1048"/>
        </w:tabs>
        <w:spacing w:before="158" w:after="0" w:line="240" w:lineRule="auto"/>
        <w:ind w:left="1047" w:right="0" w:hanging="908"/>
        <w:jc w:val="left"/>
      </w:pPr>
      <w:r>
        <w:t>合同生效的条件</w:t>
      </w:r>
    </w:p>
    <w:p>
      <w:pPr>
        <w:pStyle w:val="BodyText"/>
        <w:spacing w:before="298"/>
        <w:ind w:left="86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447039</wp:posOffset>
            </wp:positionV>
            <wp:extent cx="52832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合同生效的条件： 中标人提交履约保证金后，双方签订合同后生效。</w:t>
      </w:r>
    </w:p>
    <w:p>
      <w:pPr>
        <w:pStyle w:val="Heading1"/>
        <w:numPr>
          <w:ilvl w:val="1"/>
          <w:numId w:val="19"/>
        </w:numPr>
        <w:tabs>
          <w:tab w:val="left" w:pos="1047"/>
          <w:tab w:val="left" w:pos="1048"/>
        </w:tabs>
        <w:spacing w:before="158" w:after="0" w:line="240" w:lineRule="auto"/>
        <w:ind w:left="1047" w:right="0" w:hanging="908"/>
        <w:jc w:val="left"/>
      </w:pPr>
      <w:r>
        <w:t>图纸和承包人文件</w:t>
      </w:r>
    </w:p>
    <w:p>
      <w:pPr>
        <w:pStyle w:val="ListParagraph"/>
        <w:numPr>
          <w:ilvl w:val="2"/>
          <w:numId w:val="19"/>
        </w:numPr>
        <w:tabs>
          <w:tab w:val="left" w:pos="2120"/>
          <w:tab w:val="left" w:pos="2121"/>
        </w:tabs>
        <w:spacing w:before="295" w:after="0" w:line="240" w:lineRule="auto"/>
        <w:ind w:left="2120" w:right="0" w:hanging="1261"/>
        <w:jc w:val="left"/>
        <w:rPr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448183</wp:posOffset>
            </wp:positionV>
            <wp:extent cx="3479800" cy="381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发包人提供图纸的期限、数量：</w:t>
      </w:r>
    </w:p>
    <w:p>
      <w:pPr>
        <w:pStyle w:val="ListParagraph"/>
        <w:numPr>
          <w:ilvl w:val="2"/>
          <w:numId w:val="19"/>
        </w:numPr>
        <w:tabs>
          <w:tab w:val="left" w:pos="2120"/>
          <w:tab w:val="left" w:pos="2121"/>
        </w:tabs>
        <w:spacing w:before="215" w:after="0" w:line="350" w:lineRule="auto"/>
        <w:ind w:left="860" w:right="7138" w:firstLine="0"/>
        <w:jc w:val="left"/>
        <w:rPr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399414</wp:posOffset>
            </wp:positionV>
            <wp:extent cx="4394200" cy="381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818514</wp:posOffset>
            </wp:positionV>
            <wp:extent cx="4279900" cy="381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承包人提供的文件围： </w:t>
      </w:r>
      <w:r>
        <w:rPr>
          <w:spacing w:val="-2"/>
          <w:sz w:val="36"/>
        </w:rPr>
        <w:t>承包人提供文件的期限、数量：</w:t>
      </w:r>
    </w:p>
    <w:p>
      <w:pPr>
        <w:pStyle w:val="BodyText"/>
        <w:spacing w:before="4"/>
        <w:ind w:left="860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259079</wp:posOffset>
            </wp:positionV>
            <wp:extent cx="3822700" cy="38100"/>
            <wp:effectExtent l="0" t="0" r="0" b="0"/>
            <wp:wrapNone/>
            <wp:docPr id="2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监理人批复承包人提供文件的期限：</w:t>
      </w:r>
    </w:p>
    <w:p>
      <w:pPr>
        <w:pStyle w:val="ListParagraph"/>
        <w:numPr>
          <w:ilvl w:val="2"/>
          <w:numId w:val="19"/>
        </w:numPr>
        <w:tabs>
          <w:tab w:val="left" w:pos="2120"/>
          <w:tab w:val="left" w:pos="2121"/>
        </w:tabs>
        <w:spacing w:before="213" w:after="0" w:line="240" w:lineRule="auto"/>
        <w:ind w:left="2120" w:right="0" w:hanging="1261"/>
        <w:jc w:val="left"/>
        <w:rPr>
          <w:sz w:val="3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395477</wp:posOffset>
            </wp:positionV>
            <wp:extent cx="37084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监理人签发图纸修改的期限：</w:t>
      </w:r>
    </w:p>
    <w:p>
      <w:pPr>
        <w:pStyle w:val="Heading1"/>
        <w:numPr>
          <w:ilvl w:val="1"/>
          <w:numId w:val="19"/>
        </w:numPr>
        <w:tabs>
          <w:tab w:val="left" w:pos="1047"/>
          <w:tab w:val="left" w:pos="1048"/>
        </w:tabs>
        <w:spacing w:before="157" w:after="0" w:line="240" w:lineRule="auto"/>
        <w:ind w:left="1047" w:right="0" w:hanging="908"/>
        <w:jc w:val="left"/>
      </w:pPr>
      <w:r>
        <w:t>联络</w:t>
      </w:r>
    </w:p>
    <w:p>
      <w:pPr>
        <w:pStyle w:val="BodyText"/>
        <w:tabs>
          <w:tab w:val="left" w:pos="2120"/>
        </w:tabs>
        <w:spacing w:before="299"/>
        <w:ind w:left="86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450849</wp:posOffset>
            </wp:positionV>
            <wp:extent cx="4851400" cy="3810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1.7.2</w:t>
        <w:tab/>
        <w:t>联络送达的期限：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158" w:after="0" w:line="240" w:lineRule="auto"/>
        <w:ind w:left="867" w:right="0" w:hanging="728"/>
        <w:jc w:val="left"/>
      </w:pPr>
      <w:r>
        <w:t>发包人义务</w:t>
      </w:r>
    </w:p>
    <w:p>
      <w:pPr>
        <w:pStyle w:val="ListParagraph"/>
        <w:numPr>
          <w:ilvl w:val="1"/>
          <w:numId w:val="18"/>
        </w:numPr>
        <w:tabs>
          <w:tab w:val="left" w:pos="1047"/>
          <w:tab w:val="left" w:pos="1048"/>
        </w:tabs>
        <w:spacing w:before="241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提供施工场地</w:t>
      </w:r>
    </w:p>
    <w:p>
      <w:pPr>
        <w:pStyle w:val="BodyText"/>
        <w:spacing w:before="294"/>
        <w:ind w:left="860"/>
      </w:pPr>
      <w:r>
        <w:t>发包人提供施工场地和有关资料的时间：</w:t>
      </w:r>
    </w:p>
    <w:p>
      <w:pPr>
        <w:spacing w:after="0"/>
        <w:sectPr>
          <w:type w:val="continuous"/>
          <w:pgSz w:w="17860" w:h="25260"/>
          <w:pgMar w:top="2160" w:right="2260" w:bottom="280" w:left="2560" w:header="708" w:footer="708"/>
          <w:cols w:space="708"/>
        </w:sectPr>
      </w:pP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33" w:after="0" w:line="350" w:lineRule="auto"/>
        <w:ind w:left="140" w:right="442" w:firstLine="719"/>
        <w:jc w:val="both"/>
        <w:rPr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280416</wp:posOffset>
            </wp:positionV>
            <wp:extent cx="7480300" cy="38100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712216</wp:posOffset>
            </wp:positionV>
            <wp:extent cx="6654800" cy="381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36"/>
        </w:rPr>
        <w:t>施工场地具备施工条件的要求及完成的时间：已基本具备，由承包人负</w:t>
      </w:r>
      <w:r>
        <w:rPr>
          <w:sz w:val="36"/>
        </w:rPr>
        <w:t>责，费用包含在报价中按实结算部分包干使用，中标后不作调整。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4" w:after="0" w:line="350" w:lineRule="auto"/>
        <w:ind w:left="140" w:right="296" w:firstLine="719"/>
        <w:jc w:val="both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258826</wp:posOffset>
            </wp:positionV>
            <wp:extent cx="7480300" cy="38100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687451</wp:posOffset>
            </wp:positionV>
            <wp:extent cx="7937500" cy="38100"/>
            <wp:effectExtent l="0" t="0" r="0" b="0"/>
            <wp:wrapNone/>
            <wp:docPr id="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1119251</wp:posOffset>
            </wp:positionV>
            <wp:extent cx="1854200" cy="38100"/>
            <wp:effectExtent l="0" t="0" r="0" b="0"/>
            <wp:wrapNone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 xml:space="preserve">将施工所需的水、电、路、电讯线路接至施工场地的时间、地点和供应要求：由承包人负责办理，费用自行测算，列入报价中按实结算部分包干使用， </w:t>
      </w:r>
      <w:r>
        <w:rPr>
          <w:sz w:val="36"/>
        </w:rPr>
        <w:t>中标后不作调整。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3" w:after="0" w:line="350" w:lineRule="auto"/>
        <w:ind w:left="140" w:right="437" w:firstLine="719"/>
        <w:jc w:val="both"/>
        <w:rPr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265684</wp:posOffset>
            </wp:positionV>
            <wp:extent cx="7480300" cy="381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687959</wp:posOffset>
            </wp:positionV>
            <wp:extent cx="7937500" cy="38100"/>
            <wp:effectExtent l="0" t="0" r="0" b="0"/>
            <wp:wrapNone/>
            <wp:docPr id="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1116584</wp:posOffset>
            </wp:positionV>
            <wp:extent cx="711200" cy="38100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6"/>
        </w:rPr>
        <w:t>施工场地与公共道路的通道开通时间和要求：由承包人现场踏勘确定道</w:t>
      </w:r>
      <w:r>
        <w:rPr>
          <w:spacing w:val="-13"/>
          <w:sz w:val="36"/>
        </w:rPr>
        <w:t>路走向和位置，费用自行测算，列入报价中按实结算部分包干使用，中标后不作</w:t>
      </w:r>
      <w:r>
        <w:rPr>
          <w:sz w:val="36"/>
        </w:rPr>
        <w:t>调整。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7" w:after="0" w:line="350" w:lineRule="auto"/>
        <w:ind w:left="140" w:right="259" w:firstLine="719"/>
        <w:jc w:val="left"/>
        <w:rPr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263398</wp:posOffset>
            </wp:positionV>
            <wp:extent cx="7480300" cy="3810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695198</wp:posOffset>
            </wp:positionV>
            <wp:extent cx="7937500" cy="38100"/>
            <wp:effectExtent l="0" t="0" r="0" b="0"/>
            <wp:wrapNone/>
            <wp:docPr id="5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1117473</wp:posOffset>
            </wp:positionV>
            <wp:extent cx="1168400" cy="38100"/>
            <wp:effectExtent l="0" t="0" r="0" b="0"/>
            <wp:wrapNone/>
            <wp:docPr id="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36"/>
        </w:rPr>
        <w:t>工程地质和地下管线资料的提供时间： 施工场地需要拆迁的管网</w:t>
      </w:r>
      <w:r>
        <w:rPr>
          <w:sz w:val="36"/>
        </w:rPr>
        <w:t>（线</w:t>
      </w:r>
      <w:r>
        <w:rPr>
          <w:spacing w:val="-16"/>
          <w:sz w:val="36"/>
        </w:rPr>
        <w:t xml:space="preserve">） </w:t>
      </w:r>
      <w:r>
        <w:rPr>
          <w:spacing w:val="-11"/>
          <w:sz w:val="36"/>
        </w:rPr>
        <w:t>由承包人组织拆迁，费用自行测算，列入报价中按实结算部分包干使用，中标后不作调整。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3" w:after="0" w:line="352" w:lineRule="auto"/>
        <w:ind w:left="140" w:right="442" w:firstLine="719"/>
        <w:jc w:val="left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258825</wp:posOffset>
            </wp:positionV>
            <wp:extent cx="7480300" cy="38100"/>
            <wp:effectExtent l="0" t="0" r="0" b="0"/>
            <wp:wrapNone/>
            <wp:docPr id="5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690625</wp:posOffset>
            </wp:positionV>
            <wp:extent cx="482600" cy="38100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36"/>
        </w:rPr>
        <w:t>由发包人办理的施工所需证件、批件的名称和完成时间：工程开工前完</w:t>
      </w:r>
      <w:r>
        <w:rPr>
          <w:sz w:val="36"/>
        </w:rPr>
        <w:t>成。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0" w:after="0" w:line="352" w:lineRule="auto"/>
        <w:ind w:left="140" w:right="437" w:firstLine="719"/>
        <w:jc w:val="left"/>
        <w:rPr>
          <w:sz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263270</wp:posOffset>
            </wp:positionV>
            <wp:extent cx="7480300" cy="38100"/>
            <wp:effectExtent l="0" t="0" r="0" b="0"/>
            <wp:wrapNone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685545</wp:posOffset>
            </wp:positionV>
            <wp:extent cx="6769100" cy="38100"/>
            <wp:effectExtent l="0" t="0" r="0" b="0"/>
            <wp:wrapNone/>
            <wp:docPr id="6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36"/>
        </w:rPr>
        <w:t>水准点与座标控制点交验要求：开工前发包人技术人员以书面形式通知</w:t>
      </w:r>
      <w:r>
        <w:rPr>
          <w:sz w:val="36"/>
        </w:rPr>
        <w:t>承包人，由发包人组织相关单位进行现场交验，并作好交验记录。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0" w:after="0" w:line="455" w:lineRule="exact"/>
        <w:ind w:left="1580" w:right="0" w:hanging="721"/>
        <w:jc w:val="left"/>
        <w:rPr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253063</wp:posOffset>
            </wp:positionV>
            <wp:extent cx="5397500" cy="38100"/>
            <wp:effectExtent l="0" t="0" r="0" b="0"/>
            <wp:wrapNone/>
            <wp:docPr id="6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6"/>
        </w:rPr>
        <w:t xml:space="preserve">图纸会审和设计交底时间： 施工图提交后 </w:t>
      </w:r>
      <w:r>
        <w:rPr>
          <w:sz w:val="36"/>
        </w:rPr>
        <w:t>5</w:t>
      </w:r>
      <w:r>
        <w:rPr>
          <w:spacing w:val="-30"/>
          <w:sz w:val="36"/>
        </w:rPr>
        <w:t xml:space="preserve"> 天。</w:t>
      </w:r>
    </w:p>
    <w:p>
      <w:pPr>
        <w:pStyle w:val="ListParagraph"/>
        <w:numPr>
          <w:ilvl w:val="2"/>
          <w:numId w:val="18"/>
        </w:numPr>
        <w:tabs>
          <w:tab w:val="left" w:pos="1761"/>
        </w:tabs>
        <w:spacing w:before="210" w:after="0" w:line="350" w:lineRule="auto"/>
        <w:ind w:left="140" w:right="447" w:firstLine="899"/>
        <w:jc w:val="both"/>
        <w:rPr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391921</wp:posOffset>
            </wp:positionV>
            <wp:extent cx="7480300" cy="38100"/>
            <wp:effectExtent l="0" t="0" r="0" b="0"/>
            <wp:wrapNone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823721</wp:posOffset>
            </wp:positionV>
            <wp:extent cx="7937500" cy="38100"/>
            <wp:effectExtent l="0" t="0" r="0" b="0"/>
            <wp:wrapNone/>
            <wp:docPr id="6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1255521</wp:posOffset>
            </wp:positionV>
            <wp:extent cx="7937500" cy="38100"/>
            <wp:effectExtent l="0" t="0" r="0" b="0"/>
            <wp:wrapNone/>
            <wp:docPr id="7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1674621</wp:posOffset>
            </wp:positionV>
            <wp:extent cx="7112000" cy="38100"/>
            <wp:effectExtent l="0" t="0" r="0" b="0"/>
            <wp:wrapNone/>
            <wp:docPr id="7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协调处理施工场地周围地下管线和邻近建筑物、构筑物（含文物保护建筑</w:t>
      </w:r>
      <w:r>
        <w:rPr>
          <w:spacing w:val="-180"/>
          <w:sz w:val="36"/>
        </w:rPr>
        <w:t>）</w:t>
      </w:r>
      <w:r>
        <w:rPr>
          <w:sz w:val="36"/>
        </w:rPr>
        <w:t>、古树名木的保护工作：发包人配合承包人做好保护工作，保护费用由承包人承担，发包人指明的、资料中显示的以及相关单位指认走向的管网（线</w:t>
      </w:r>
      <w:r>
        <w:rPr>
          <w:spacing w:val="-160"/>
          <w:sz w:val="36"/>
        </w:rPr>
        <w:t>）</w:t>
      </w:r>
      <w:r>
        <w:rPr>
          <w:spacing w:val="-9"/>
          <w:sz w:val="36"/>
        </w:rPr>
        <w:t>，</w:t>
      </w:r>
      <w:r>
        <w:rPr>
          <w:sz w:val="36"/>
        </w:rPr>
        <w:t>在施工过程中发生损坏，由承包人负责，发包人不因此承担任何责任。</w:t>
      </w:r>
    </w:p>
    <w:p>
      <w:pPr>
        <w:pStyle w:val="ListParagraph"/>
        <w:numPr>
          <w:ilvl w:val="2"/>
          <w:numId w:val="18"/>
        </w:numPr>
        <w:tabs>
          <w:tab w:val="left" w:pos="1581"/>
        </w:tabs>
        <w:spacing w:before="6" w:after="0" w:line="350" w:lineRule="auto"/>
        <w:ind w:left="140" w:right="437" w:firstLine="719"/>
        <w:jc w:val="left"/>
        <w:rPr>
          <w:sz w:val="36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262381</wp:posOffset>
            </wp:positionV>
            <wp:extent cx="7480300" cy="38100"/>
            <wp:effectExtent l="0" t="0" r="0" b="0"/>
            <wp:wrapNone/>
            <wp:docPr id="7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694181</wp:posOffset>
            </wp:positionV>
            <wp:extent cx="2654300" cy="38100"/>
            <wp:effectExtent l="0" t="0" r="0" b="0"/>
            <wp:wrapNone/>
            <wp:docPr id="7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双方约定发包人应做的其他工作： 及时协调处理好施工过程中应由发</w:t>
      </w:r>
      <w:r>
        <w:rPr>
          <w:sz w:val="36"/>
        </w:rPr>
        <w:t>包人协调处理的关系。</w:t>
      </w:r>
    </w:p>
    <w:p>
      <w:pPr>
        <w:pStyle w:val="BodyText"/>
        <w:spacing w:before="3" w:line="350" w:lineRule="auto"/>
        <w:ind w:left="140" w:right="437" w:firstLine="719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266826</wp:posOffset>
            </wp:positionV>
            <wp:extent cx="7480300" cy="38100"/>
            <wp:effectExtent l="0" t="0" r="0" b="0"/>
            <wp:wrapNone/>
            <wp:docPr id="7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685926</wp:posOffset>
            </wp:positionV>
            <wp:extent cx="482600" cy="38100"/>
            <wp:effectExtent l="0" t="0" r="0" b="0"/>
            <wp:wrapNone/>
            <wp:docPr id="8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（10）</w:t>
      </w:r>
      <w:r>
        <w:rPr>
          <w:spacing w:val="-8"/>
        </w:rPr>
        <w:t>发包人委托承包人办理的工作：届时双方协商，以书面通知或协议为</w:t>
      </w:r>
      <w:r>
        <w:t>准。</w:t>
      </w:r>
    </w:p>
    <w:p>
      <w:pPr>
        <w:pStyle w:val="Heading1"/>
        <w:spacing w:line="408" w:lineRule="exact"/>
        <w:ind w:left="140" w:firstLine="0"/>
      </w:pPr>
      <w:r>
        <w:t>2.8 其他义务</w:t>
      </w:r>
    </w:p>
    <w:p>
      <w:pPr>
        <w:pStyle w:val="BodyText"/>
        <w:tabs>
          <w:tab w:val="left" w:pos="10221"/>
          <w:tab w:val="left" w:pos="11842"/>
        </w:tabs>
        <w:spacing w:before="295"/>
        <w:ind w:left="86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446277</wp:posOffset>
            </wp:positionV>
            <wp:extent cx="1282700" cy="38100"/>
            <wp:effectExtent l="0" t="0" r="0" b="0"/>
            <wp:wrapNone/>
            <wp:docPr id="8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发包人向承包人提供支付担保的金额、方式和提交时间：</w:t>
        <w:tab/>
        <w:t>不采用</w:t>
        <w:tab/>
        <w:t>。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158" w:after="0" w:line="240" w:lineRule="auto"/>
        <w:ind w:left="867" w:right="0" w:hanging="728"/>
        <w:jc w:val="left"/>
      </w:pPr>
      <w:r>
        <w:t>监理人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241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监理人的职责和权力</w:t>
      </w:r>
    </w:p>
    <w:p>
      <w:pPr>
        <w:pStyle w:val="BodyText"/>
        <w:tabs>
          <w:tab w:val="left" w:pos="2120"/>
          <w:tab w:val="left" w:pos="8061"/>
        </w:tabs>
        <w:spacing w:before="298"/>
        <w:ind w:left="860"/>
      </w:pPr>
      <w:r>
        <w:t>3.1.1</w:t>
        <w:tab/>
        <w:t>须经发包人事先批准行使的权力：</w:t>
        <w:tab/>
        <w:t>以发包人书面通知为准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80" w:right="2260" w:bottom="280" w:left="256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124650</wp:posOffset>
            </wp:positionV>
            <wp:extent cx="1270" cy="1270"/>
            <wp:effectExtent l="0" t="0" r="0" b="0"/>
            <wp:wrapTopAndBottom/>
            <wp:docPr id="8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nextPage"/>
          <w:pgSz w:w="17860" w:h="25260"/>
          <w:pgMar w:top="1980" w:right="2260" w:bottom="280" w:left="2560" w:header="708" w:footer="708"/>
          <w:pgNumType w:start="3"/>
          <w:cols w:space="708"/>
          <w:titlePg w:val="0"/>
        </w:sectPr>
      </w:pP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35" w:after="0" w:line="240" w:lineRule="auto"/>
        <w:ind w:left="867" w:right="0" w:hanging="728"/>
        <w:jc w:val="left"/>
      </w:pPr>
      <w:r>
        <w:t>承包人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242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承包人的一般义务</w:t>
      </w:r>
    </w:p>
    <w:p>
      <w:pPr>
        <w:pStyle w:val="BodyText"/>
        <w:tabs>
          <w:tab w:val="left" w:pos="2120"/>
        </w:tabs>
        <w:spacing w:before="294"/>
        <w:ind w:left="860"/>
      </w:pPr>
      <w:r>
        <w:t>4.1.8</w:t>
        <w:tab/>
        <w:t>为他人提供方便</w:t>
      </w:r>
    </w:p>
    <w:p>
      <w:pPr>
        <w:pStyle w:val="BodyText"/>
        <w:tabs>
          <w:tab w:val="left" w:pos="5901"/>
        </w:tabs>
        <w:spacing w:before="216"/>
        <w:ind w:left="860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398398</wp:posOffset>
            </wp:positionV>
            <wp:extent cx="3797300" cy="38100"/>
            <wp:effectExtent l="0" t="0" r="0" b="0"/>
            <wp:wrapNone/>
            <wp:docPr id="8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承包人为他人提供条件的容：</w:t>
        <w:tab/>
        <w:t>施工过程中根据实际情况确定</w:t>
      </w:r>
    </w:p>
    <w:p>
      <w:pPr>
        <w:pStyle w:val="BodyText"/>
        <w:spacing w:before="212" w:line="352" w:lineRule="auto"/>
        <w:ind w:left="140" w:right="435" w:firstLine="719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390651</wp:posOffset>
            </wp:positionV>
            <wp:extent cx="2540000" cy="38100"/>
            <wp:effectExtent l="0" t="0" r="0" b="0"/>
            <wp:wrapNone/>
            <wp:docPr id="8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819276</wp:posOffset>
            </wp:positionV>
            <wp:extent cx="2311400" cy="38100"/>
            <wp:effectExtent l="0" t="0" r="0" b="0"/>
            <wp:wrapNone/>
            <wp:docPr id="9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承包人为他人提供条件可能发生费用的处理方法： 由承包人计入投标总价中，中标后不作调整</w:t>
      </w:r>
    </w:p>
    <w:p>
      <w:pPr>
        <w:pStyle w:val="Heading1"/>
        <w:numPr>
          <w:ilvl w:val="1"/>
          <w:numId w:val="22"/>
        </w:numPr>
        <w:tabs>
          <w:tab w:val="left" w:pos="868"/>
        </w:tabs>
        <w:spacing w:before="0" w:after="0" w:line="401" w:lineRule="exact"/>
        <w:ind w:left="867" w:right="0" w:hanging="728"/>
        <w:jc w:val="left"/>
      </w:pPr>
      <w:r>
        <w:t>履约担保</w:t>
      </w:r>
    </w:p>
    <w:p>
      <w:pPr>
        <w:pStyle w:val="BodyText"/>
        <w:spacing w:before="295" w:line="352" w:lineRule="auto"/>
        <w:ind w:left="860" w:right="3178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877062</wp:posOffset>
            </wp:positionV>
            <wp:extent cx="3848100" cy="38100"/>
            <wp:effectExtent l="0" t="0" r="0" b="0"/>
            <wp:wrapNone/>
            <wp:docPr id="9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承包人向发包人提供履约担保的金额、方式和提交时间： 金额：按照中标金额的 10%缴纳履约保证金；</w:t>
      </w:r>
    </w:p>
    <w:p>
      <w:pPr>
        <w:pStyle w:val="BodyText"/>
        <w:spacing w:line="352" w:lineRule="auto"/>
        <w:ind w:left="860" w:right="5697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263779</wp:posOffset>
            </wp:positionV>
            <wp:extent cx="3225800" cy="38100"/>
            <wp:effectExtent l="0" t="0" r="0" b="0"/>
            <wp:wrapNone/>
            <wp:docPr id="9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686054</wp:posOffset>
            </wp:positionV>
            <wp:extent cx="2997200" cy="38100"/>
            <wp:effectExtent l="0" t="0" r="0" b="0"/>
            <wp:wrapNone/>
            <wp:docPr id="9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方式：转账或电汇到发包人指定账户； </w:t>
      </w:r>
      <w:r>
        <w:rPr>
          <w:spacing w:val="-7"/>
        </w:rPr>
        <w:t xml:space="preserve">提交时间：中标通知书发出后 </w:t>
      </w:r>
      <w:r>
        <w:t>7</w:t>
      </w:r>
      <w:r>
        <w:rPr>
          <w:spacing w:val="-23"/>
        </w:rPr>
        <w:t xml:space="preserve"> 日提交。</w:t>
      </w:r>
    </w:p>
    <w:p>
      <w:pPr>
        <w:pStyle w:val="BodyText"/>
        <w:spacing w:line="350" w:lineRule="auto"/>
        <w:ind w:left="140" w:right="385" w:firstLine="719"/>
        <w:jc w:val="both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257429</wp:posOffset>
            </wp:positionV>
            <wp:extent cx="5651500" cy="38100"/>
            <wp:effectExtent l="0" t="0" r="0" b="0"/>
            <wp:wrapNone/>
            <wp:docPr id="9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689229</wp:posOffset>
            </wp:positionV>
            <wp:extent cx="7937500" cy="38100"/>
            <wp:effectExtent l="0" t="0" r="0" b="0"/>
            <wp:wrapNone/>
            <wp:docPr id="10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1121029</wp:posOffset>
            </wp:positionV>
            <wp:extent cx="4140200" cy="38100"/>
            <wp:effectExtent l="0" t="0" r="0" b="0"/>
            <wp:wrapNone/>
            <wp:docPr id="10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履约担保金退还：支付第一期工程款的时候，无息退还 </w:t>
      </w:r>
      <w:r>
        <w:t>10%</w:t>
      </w:r>
      <w:r>
        <w:rPr>
          <w:spacing w:val="-3"/>
        </w:rPr>
        <w:t xml:space="preserve">的履约保证金； </w:t>
      </w:r>
      <w:r>
        <w:rPr>
          <w:spacing w:val="-5"/>
        </w:rPr>
        <w:t xml:space="preserve">支付第三期工程款的时候，无息退还 </w:t>
      </w:r>
      <w:r>
        <w:t>40%</w:t>
      </w:r>
      <w:r>
        <w:rPr>
          <w:spacing w:val="-8"/>
        </w:rPr>
        <w:t xml:space="preserve">的履约保证金；剩余 </w:t>
      </w:r>
      <w:r>
        <w:t>50%的履约保证金待工程竣工验收合格后一次性无息退还。</w:t>
      </w:r>
    </w:p>
    <w:p>
      <w:pPr>
        <w:pStyle w:val="Heading1"/>
        <w:numPr>
          <w:ilvl w:val="1"/>
          <w:numId w:val="22"/>
        </w:numPr>
        <w:tabs>
          <w:tab w:val="left" w:pos="868"/>
        </w:tabs>
        <w:spacing w:before="0" w:after="0" w:line="410" w:lineRule="exact"/>
        <w:ind w:left="867" w:right="0" w:hanging="728"/>
        <w:jc w:val="both"/>
      </w:pPr>
      <w:r>
        <w:t>分包</w:t>
      </w:r>
    </w:p>
    <w:p>
      <w:pPr>
        <w:pStyle w:val="BodyText"/>
        <w:tabs>
          <w:tab w:val="left" w:pos="2120"/>
        </w:tabs>
        <w:spacing w:before="287"/>
        <w:ind w:left="860"/>
      </w:pPr>
      <w:r>
        <w:t>4.3.2</w:t>
        <w:tab/>
        <w:t>分包的容</w:t>
      </w:r>
    </w:p>
    <w:p>
      <w:pPr>
        <w:pStyle w:val="BodyText"/>
        <w:tabs>
          <w:tab w:val="left" w:pos="9718"/>
        </w:tabs>
        <w:spacing w:before="212"/>
        <w:ind w:left="860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390398</wp:posOffset>
            </wp:positionV>
            <wp:extent cx="2095500" cy="38100"/>
            <wp:effectExtent l="0" t="0" r="0" b="0"/>
            <wp:wrapNone/>
            <wp:docPr id="10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当事人约定某些非主体</w:t>
      </w:r>
      <w:r>
        <w:rPr>
          <w:spacing w:val="-72"/>
        </w:rPr>
        <w:t>、</w:t>
      </w:r>
      <w:r>
        <w:t>非关键性工作分包给第三人：</w:t>
        <w:tab/>
        <w:t>本工程不允许分包</w:t>
      </w:r>
    </w:p>
    <w:p>
      <w:pPr>
        <w:pStyle w:val="Heading1"/>
        <w:numPr>
          <w:ilvl w:val="1"/>
          <w:numId w:val="17"/>
        </w:numPr>
        <w:tabs>
          <w:tab w:val="left" w:pos="1227"/>
          <w:tab w:val="left" w:pos="1228"/>
        </w:tabs>
        <w:spacing w:before="158" w:after="0" w:line="240" w:lineRule="auto"/>
        <w:ind w:left="1227" w:right="0" w:hanging="1088"/>
        <w:jc w:val="left"/>
      </w:pPr>
      <w:r>
        <w:t>不利物质条件</w:t>
      </w:r>
    </w:p>
    <w:p>
      <w:pPr>
        <w:pStyle w:val="ListParagraph"/>
        <w:numPr>
          <w:ilvl w:val="2"/>
          <w:numId w:val="17"/>
        </w:numPr>
        <w:tabs>
          <w:tab w:val="left" w:pos="2300"/>
          <w:tab w:val="left" w:pos="2301"/>
          <w:tab w:val="left" w:pos="6621"/>
        </w:tabs>
        <w:spacing w:before="298" w:after="0" w:line="240" w:lineRule="auto"/>
        <w:ind w:left="2300" w:right="0" w:hanging="1441"/>
        <w:jc w:val="left"/>
        <w:rPr>
          <w:sz w:val="36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445770</wp:posOffset>
            </wp:positionV>
            <wp:extent cx="3683000" cy="38100"/>
            <wp:effectExtent l="0" t="0" r="0" b="0"/>
            <wp:wrapNone/>
            <wp:docPr id="10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不利物质条件的围：</w:t>
        <w:tab/>
        <w:t>不适用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158" w:after="0" w:line="240" w:lineRule="auto"/>
        <w:ind w:left="867" w:right="0" w:hanging="728"/>
        <w:jc w:val="left"/>
      </w:pPr>
      <w:r>
        <w:t>材料和工程设备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241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承包人提供的材料和工程设备</w:t>
      </w:r>
    </w:p>
    <w:p>
      <w:pPr>
        <w:pStyle w:val="ListParagraph"/>
        <w:numPr>
          <w:ilvl w:val="2"/>
          <w:numId w:val="16"/>
        </w:numPr>
        <w:tabs>
          <w:tab w:val="left" w:pos="2120"/>
          <w:tab w:val="left" w:pos="2121"/>
        </w:tabs>
        <w:spacing w:before="295" w:after="0" w:line="350" w:lineRule="auto"/>
        <w:ind w:left="140" w:right="296" w:firstLine="720"/>
        <w:jc w:val="left"/>
        <w:rPr>
          <w:sz w:val="36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445643</wp:posOffset>
            </wp:positionV>
            <wp:extent cx="1638300" cy="38100"/>
            <wp:effectExtent l="0" t="0" r="0" b="0"/>
            <wp:wrapNone/>
            <wp:docPr id="10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877443</wp:posOffset>
            </wp:positionV>
            <wp:extent cx="7937500" cy="38100"/>
            <wp:effectExtent l="0" t="0" r="0" b="0"/>
            <wp:wrapNone/>
            <wp:docPr id="11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1309243</wp:posOffset>
            </wp:positionV>
            <wp:extent cx="7937500" cy="38100"/>
            <wp:effectExtent l="0" t="0" r="0" b="0"/>
            <wp:wrapNone/>
            <wp:docPr id="1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1731517</wp:posOffset>
            </wp:positionV>
            <wp:extent cx="7937500" cy="38100"/>
            <wp:effectExtent l="0" t="0" r="0" b="0"/>
            <wp:wrapNone/>
            <wp:docPr id="11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2160142</wp:posOffset>
            </wp:positionV>
            <wp:extent cx="1625600" cy="38100"/>
            <wp:effectExtent l="0" t="0" r="0" b="0"/>
            <wp:wrapNone/>
            <wp:docPr id="11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承包人负责采购、运输和保管的材料、工程设备：所有进场材料、</w:t>
      </w:r>
      <w:r>
        <w:rPr>
          <w:spacing w:val="-7"/>
          <w:sz w:val="36"/>
        </w:rPr>
        <w:t>设备质量应符合国家现行质量验收标准，符合设计要求。所有材料设备必须经监</w:t>
      </w:r>
      <w:r>
        <w:rPr>
          <w:spacing w:val="-8"/>
          <w:sz w:val="36"/>
        </w:rPr>
        <w:t>理单位、发包人确认后才能进场。对未按上述要求采购、进场的材料、设备，发</w:t>
      </w:r>
      <w:r>
        <w:rPr>
          <w:spacing w:val="-9"/>
          <w:sz w:val="36"/>
        </w:rPr>
        <w:t>包人将拒绝用于本工程，并要求承包人自行无偿清退出场。由此造成的损失，概由承包人承担。</w:t>
      </w:r>
    </w:p>
    <w:p>
      <w:pPr>
        <w:pStyle w:val="ListParagraph"/>
        <w:numPr>
          <w:ilvl w:val="2"/>
          <w:numId w:val="16"/>
        </w:numPr>
        <w:tabs>
          <w:tab w:val="left" w:pos="2120"/>
          <w:tab w:val="left" w:pos="2121"/>
        </w:tabs>
        <w:spacing w:before="11" w:after="0" w:line="240" w:lineRule="auto"/>
        <w:ind w:left="2120" w:right="0" w:hanging="1261"/>
        <w:jc w:val="left"/>
        <w:rPr>
          <w:sz w:val="3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266699</wp:posOffset>
            </wp:positionV>
            <wp:extent cx="3479800" cy="38100"/>
            <wp:effectExtent l="0" t="0" r="0" b="0"/>
            <wp:wrapNone/>
            <wp:docPr id="1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7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承包人报送监理人审批的时间：</w:t>
      </w:r>
    </w:p>
    <w:p>
      <w:pPr>
        <w:pStyle w:val="Heading1"/>
        <w:numPr>
          <w:ilvl w:val="1"/>
          <w:numId w:val="22"/>
        </w:numPr>
        <w:tabs>
          <w:tab w:val="left" w:pos="1047"/>
          <w:tab w:val="left" w:pos="1048"/>
        </w:tabs>
        <w:spacing w:before="158" w:after="0" w:line="240" w:lineRule="auto"/>
        <w:ind w:left="1047" w:right="0" w:hanging="908"/>
        <w:jc w:val="left"/>
      </w:pPr>
      <w:r>
        <w:t>发包人提供的材料和工程设备</w:t>
      </w:r>
    </w:p>
    <w:p>
      <w:pPr>
        <w:pStyle w:val="BodyText"/>
        <w:tabs>
          <w:tab w:val="left" w:pos="9141"/>
        </w:tabs>
        <w:spacing w:before="294"/>
        <w:ind w:left="860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449453</wp:posOffset>
            </wp:positionV>
            <wp:extent cx="3365500" cy="38100"/>
            <wp:effectExtent l="0" t="0" r="0" b="0"/>
            <wp:wrapNone/>
            <wp:docPr id="12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5.2.1</w:t>
      </w:r>
      <w:r>
        <w:rPr>
          <w:spacing w:val="-1"/>
        </w:rPr>
        <w:t xml:space="preserve"> </w:t>
      </w:r>
      <w:r>
        <w:t>材料的名称、规格、数量和价格：</w:t>
        <w:tab/>
        <w:t>无</w:t>
      </w:r>
    </w:p>
    <w:p>
      <w:pPr>
        <w:pStyle w:val="BodyText"/>
        <w:tabs>
          <w:tab w:val="left" w:pos="9321"/>
        </w:tabs>
        <w:spacing w:before="216"/>
        <w:ind w:left="860"/>
      </w:pPr>
      <w:r>
        <w:t>材料的交货方式、地点和日期：</w:t>
        <w:tab/>
        <w:t>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20" w:right="2260" w:bottom="280" w:left="256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261000</wp:posOffset>
            </wp:positionV>
            <wp:extent cx="1270" cy="1270"/>
            <wp:effectExtent l="0" t="0" r="0" b="0"/>
            <wp:wrapTopAndBottom/>
            <wp:docPr id="12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type w:val="nextPage"/>
          <w:pgSz w:w="17860" w:h="25260"/>
          <w:pgMar w:top="1920" w:right="2260" w:bottom="280" w:left="2560" w:header="708" w:footer="708"/>
          <w:pgNumType w:start="5"/>
          <w:cols w:space="708"/>
          <w:titlePg w:val="0"/>
        </w:sectPr>
      </w:pPr>
    </w:p>
    <w:p>
      <w:pPr>
        <w:pStyle w:val="BodyText"/>
        <w:tabs>
          <w:tab w:val="left" w:pos="9681"/>
          <w:tab w:val="left" w:pos="10041"/>
        </w:tabs>
        <w:spacing w:before="33" w:line="350" w:lineRule="auto"/>
        <w:ind w:left="860" w:right="2635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280416</wp:posOffset>
            </wp:positionV>
            <wp:extent cx="3594100" cy="38100"/>
            <wp:effectExtent l="0" t="0" r="0" b="0"/>
            <wp:wrapNone/>
            <wp:docPr id="12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712216</wp:posOffset>
            </wp:positionV>
            <wp:extent cx="3822700" cy="38100"/>
            <wp:effectExtent l="0" t="0" r="0" b="0"/>
            <wp:wrapNone/>
            <wp:docPr id="12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工程设备的名称、规格、数量和价格：</w:t>
        <w:tab/>
        <w:t>无 工程设备的交货方式、地点和日期：</w:t>
        <w:tab/>
        <w:tab/>
      </w:r>
      <w:r>
        <w:rPr>
          <w:spacing w:val="-17"/>
        </w:rPr>
        <w:t>无</w:t>
      </w:r>
    </w:p>
    <w:p>
      <w:pPr>
        <w:pStyle w:val="BodyText"/>
        <w:tabs>
          <w:tab w:val="left" w:pos="2120"/>
          <w:tab w:val="left" w:pos="9681"/>
        </w:tabs>
        <w:spacing w:before="4"/>
        <w:ind w:left="860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258826</wp:posOffset>
            </wp:positionV>
            <wp:extent cx="2794000" cy="38100"/>
            <wp:effectExtent l="0" t="0" r="0" b="0"/>
            <wp:wrapNone/>
            <wp:docPr id="12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5.2.3</w:t>
        <w:tab/>
        <w:t>材料和工程设备的接收、运输与保管：</w:t>
        <w:tab/>
        <w:t>无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158" w:after="0" w:line="240" w:lineRule="auto"/>
        <w:ind w:left="867" w:right="0" w:hanging="728"/>
        <w:jc w:val="left"/>
      </w:pPr>
      <w:r>
        <w:t>施工设备和临时设施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237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承包人提供的施工设备和临时设施</w:t>
      </w:r>
    </w:p>
    <w:p>
      <w:pPr>
        <w:pStyle w:val="BodyText"/>
        <w:tabs>
          <w:tab w:val="left" w:pos="2120"/>
        </w:tabs>
        <w:spacing w:before="298" w:line="350" w:lineRule="auto"/>
        <w:ind w:left="860" w:right="5158"/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444119</wp:posOffset>
            </wp:positionV>
            <wp:extent cx="3022600" cy="38100"/>
            <wp:effectExtent l="0" t="0" r="0" b="0"/>
            <wp:wrapNone/>
            <wp:docPr id="13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3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875919</wp:posOffset>
            </wp:positionV>
            <wp:extent cx="4140200" cy="38100"/>
            <wp:effectExtent l="0" t="0" r="0" b="0"/>
            <wp:wrapNone/>
            <wp:docPr id="13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4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6.1.2</w:t>
        <w:tab/>
      </w:r>
      <w:r>
        <w:rPr>
          <w:spacing w:val="-2"/>
        </w:rPr>
        <w:t xml:space="preserve">发包人承担修建临时设施费用的围： </w:t>
      </w:r>
      <w:r>
        <w:t>临时占地的申请： 由承包人自行申请</w:t>
      </w:r>
    </w:p>
    <w:p>
      <w:pPr>
        <w:pStyle w:val="BodyText"/>
        <w:tabs>
          <w:tab w:val="left" w:pos="4461"/>
        </w:tabs>
        <w:spacing w:before="3"/>
        <w:ind w:left="860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263144</wp:posOffset>
            </wp:positionV>
            <wp:extent cx="4483100" cy="38100"/>
            <wp:effectExtent l="0" t="0" r="0" b="0"/>
            <wp:wrapNone/>
            <wp:docPr id="1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临时占地相关费用：</w:t>
        <w:tab/>
        <w:t>由承包人承担</w:t>
      </w:r>
    </w:p>
    <w:p>
      <w:pPr>
        <w:pStyle w:val="Heading1"/>
        <w:numPr>
          <w:ilvl w:val="1"/>
          <w:numId w:val="22"/>
        </w:numPr>
        <w:tabs>
          <w:tab w:val="left" w:pos="1047"/>
          <w:tab w:val="left" w:pos="1048"/>
        </w:tabs>
        <w:spacing w:before="159" w:after="0" w:line="240" w:lineRule="auto"/>
        <w:ind w:left="1047" w:right="0" w:hanging="908"/>
        <w:jc w:val="left"/>
      </w:pPr>
      <w:r>
        <w:t>发包人提供的施工设备和临时设施</w:t>
      </w:r>
    </w:p>
    <w:p>
      <w:pPr>
        <w:pStyle w:val="BodyText"/>
        <w:spacing w:before="295"/>
        <w:ind w:left="1541"/>
      </w:pPr>
      <w:r>
        <w:t>无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158" w:after="0" w:line="240" w:lineRule="auto"/>
        <w:ind w:left="867" w:right="0" w:hanging="728"/>
        <w:jc w:val="left"/>
      </w:pPr>
      <w:r>
        <w:t>交通运输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240" w:after="0" w:line="240" w:lineRule="auto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道路通行权和场外设施</w:t>
      </w:r>
    </w:p>
    <w:p>
      <w:pPr>
        <w:pStyle w:val="BodyText"/>
        <w:tabs>
          <w:tab w:val="left" w:pos="4461"/>
          <w:tab w:val="left" w:pos="9141"/>
        </w:tabs>
        <w:spacing w:before="299" w:line="350" w:lineRule="auto"/>
        <w:ind w:left="860" w:right="1017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453135</wp:posOffset>
            </wp:positionV>
            <wp:extent cx="2908300" cy="38100"/>
            <wp:effectExtent l="0" t="0" r="0" b="0"/>
            <wp:wrapNone/>
            <wp:docPr id="13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872235</wp:posOffset>
            </wp:positionV>
            <wp:extent cx="6337300" cy="38100"/>
            <wp:effectExtent l="0" t="0" r="0" b="0"/>
            <wp:wrapNone/>
            <wp:docPr id="13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取得道路通行权、修建场外设施权的办理人：</w:t>
        <w:tab/>
        <w:t>承包人自行办理 相关费用：</w:t>
        <w:tab/>
        <w:t>包含在合同价（中标价）中，由承包人自行负</w:t>
      </w:r>
      <w:r>
        <w:rPr>
          <w:spacing w:val="-19"/>
        </w:rPr>
        <w:t>责</w:t>
      </w:r>
    </w:p>
    <w:p>
      <w:pPr>
        <w:pStyle w:val="Heading1"/>
        <w:numPr>
          <w:ilvl w:val="1"/>
          <w:numId w:val="22"/>
        </w:numPr>
        <w:tabs>
          <w:tab w:val="left" w:pos="1047"/>
          <w:tab w:val="left" w:pos="1048"/>
        </w:tabs>
        <w:spacing w:before="0" w:after="0" w:line="407" w:lineRule="exact"/>
        <w:ind w:left="1047" w:right="0" w:hanging="908"/>
        <w:jc w:val="left"/>
      </w:pPr>
      <w:r>
        <w:rPr>
          <w:w w:val="95"/>
        </w:rPr>
        <w:t>场施工道路</w:t>
      </w:r>
    </w:p>
    <w:p>
      <w:pPr>
        <w:pStyle w:val="BodyText"/>
        <w:spacing w:before="5"/>
        <w:rPr>
          <w:b/>
          <w:sz w:val="19"/>
        </w:rPr>
      </w:pPr>
    </w:p>
    <w:p>
      <w:pPr>
        <w:pStyle w:val="ListParagraph"/>
        <w:numPr>
          <w:ilvl w:val="2"/>
          <w:numId w:val="15"/>
        </w:numPr>
        <w:tabs>
          <w:tab w:val="left" w:pos="2120"/>
          <w:tab w:val="left" w:pos="2121"/>
        </w:tabs>
        <w:spacing w:before="50" w:after="0" w:line="240" w:lineRule="auto"/>
        <w:ind w:left="2120" w:right="0" w:hanging="1261"/>
        <w:jc w:val="left"/>
        <w:rPr>
          <w:sz w:val="36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287401</wp:posOffset>
            </wp:positionV>
            <wp:extent cx="1511300" cy="38100"/>
            <wp:effectExtent l="0" t="0" r="0" b="0"/>
            <wp:wrapNone/>
            <wp:docPr id="14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8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6"/>
        </w:rPr>
        <w:t>临时道路和交通设施的修建、维护、养护和管理人： 承包人自行办</w:t>
      </w:r>
    </w:p>
    <w:p>
      <w:pPr>
        <w:pStyle w:val="BodyText"/>
        <w:spacing w:before="212"/>
        <w:ind w:left="140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394208</wp:posOffset>
            </wp:positionV>
            <wp:extent cx="2197100" cy="38100"/>
            <wp:effectExtent l="0" t="0" r="0" b="0"/>
            <wp:wrapNone/>
            <wp:docPr id="14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9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理</w:t>
      </w:r>
    </w:p>
    <w:p>
      <w:pPr>
        <w:pStyle w:val="ListParagraph"/>
        <w:numPr>
          <w:ilvl w:val="2"/>
          <w:numId w:val="15"/>
        </w:numPr>
        <w:tabs>
          <w:tab w:val="left" w:pos="2120"/>
          <w:tab w:val="left" w:pos="2121"/>
          <w:tab w:val="left" w:pos="8781"/>
        </w:tabs>
        <w:spacing w:before="216" w:after="0" w:line="240" w:lineRule="auto"/>
        <w:ind w:left="2120" w:right="0" w:hanging="1261"/>
        <w:jc w:val="left"/>
        <w:rPr>
          <w:sz w:val="36"/>
        </w:rPr>
      </w:pPr>
      <w:r>
        <w:rPr>
          <w:sz w:val="36"/>
        </w:rPr>
        <w:t>临时道路和交通设施相关费用的承担：</w:t>
        <w:tab/>
        <w:t>包含在合同价（中标价）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80" w:right="2260" w:bottom="280" w:left="256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232386</wp:posOffset>
            </wp:positionV>
            <wp:extent cx="1270" cy="1270"/>
            <wp:effectExtent l="0" t="0" r="0" b="0"/>
            <wp:wrapTopAndBottom/>
            <wp:docPr id="14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10484" w:lineRule="exact"/>
        <w:ind w:left="140"/>
      </w:pPr>
      <w:r>
        <w:t>中，由承包人自行负责</w:t>
      </w:r>
    </w:p>
    <w:p>
      <w:pPr>
        <w:pStyle w:val="Heading1"/>
        <w:numPr>
          <w:ilvl w:val="1"/>
          <w:numId w:val="22"/>
        </w:numPr>
        <w:tabs>
          <w:tab w:val="left" w:pos="1047"/>
          <w:tab w:val="left" w:pos="1048"/>
        </w:tabs>
        <w:spacing w:before="0" w:after="0" w:line="9865" w:lineRule="exact"/>
        <w:ind w:left="1047" w:right="0" w:hanging="908"/>
        <w:jc w:val="left"/>
        <w:sectPr>
          <w:type w:val="nextPage"/>
          <w:pgSz w:w="17860" w:h="25260"/>
          <w:pgMar w:top="1980" w:right="2260" w:bottom="280" w:left="2560" w:header="708" w:footer="708"/>
          <w:pgNumType w:start="7"/>
          <w:cols w:space="708"/>
          <w:titlePg w:val="0"/>
        </w:sect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-429672</wp:posOffset>
            </wp:positionV>
            <wp:extent cx="2768600" cy="38100"/>
            <wp:effectExtent l="0" t="0" r="0" b="0"/>
            <wp:wrapNone/>
            <wp:docPr id="14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443452</wp:posOffset>
            </wp:positionV>
            <wp:extent cx="1993900" cy="38100"/>
            <wp:effectExtent l="0" t="0" r="0" b="0"/>
            <wp:wrapNone/>
            <wp:docPr id="14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2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1764252</wp:posOffset>
            </wp:positionV>
            <wp:extent cx="1651000" cy="38100"/>
            <wp:effectExtent l="0" t="0" r="0" b="0"/>
            <wp:wrapNone/>
            <wp:docPr id="15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3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2196052</wp:posOffset>
            </wp:positionV>
            <wp:extent cx="5080000" cy="38100"/>
            <wp:effectExtent l="0" t="0" r="0" b="0"/>
            <wp:wrapNone/>
            <wp:docPr id="15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2627852</wp:posOffset>
            </wp:positionV>
            <wp:extent cx="3251200" cy="38100"/>
            <wp:effectExtent l="0" t="0" r="0" b="0"/>
            <wp:wrapNone/>
            <wp:docPr id="15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超大件和超重件的运输</w:t>
      </w:r>
    </w:p>
    <w:p>
      <w:pPr>
        <w:pStyle w:val="BodyText"/>
        <w:tabs>
          <w:tab w:val="left" w:pos="10581"/>
        </w:tabs>
        <w:spacing w:line="9105" w:lineRule="exact"/>
        <w:ind w:left="860"/>
      </w:pPr>
      <w:r>
        <w:t>道路和桥梁临时加固改造费用和其他有关费用的承担：</w:t>
        <w:tab/>
        <w:t>无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0" w:after="0" w:line="8486" w:lineRule="exact"/>
        <w:ind w:left="867" w:right="0" w:hanging="728"/>
        <w:jc w:val="left"/>
        <w:sectPr>
          <w:type w:val="nextPage"/>
          <w:pgSz w:w="17860" w:h="25260"/>
          <w:pgMar w:top="1980" w:right="2260" w:bottom="280" w:left="2560" w:header="708" w:footer="708"/>
          <w:pgNumType w:start="8"/>
          <w:cols w:space="708"/>
          <w:titlePg w:val="0"/>
        </w:sectPr>
      </w:pPr>
      <w:r>
        <w:t>测量放线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0" w:after="0" w:line="7784" w:lineRule="exact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施工控制网</w:t>
      </w:r>
    </w:p>
    <w:p>
      <w:pPr>
        <w:pStyle w:val="BodyText"/>
        <w:tabs>
          <w:tab w:val="left" w:pos="2120"/>
          <w:tab w:val="left" w:pos="10401"/>
        </w:tabs>
        <w:spacing w:line="7028" w:lineRule="exact"/>
        <w:ind w:left="860"/>
      </w:pPr>
      <w:r>
        <w:t>8.1.1</w:t>
        <w:tab/>
        <w:t>发包人提供测量基准点、基准线和水准点的期限：</w:t>
        <w:tab/>
        <w:t>开工前</w:t>
      </w:r>
      <w:r>
        <w:rPr>
          <w:spacing w:val="-89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天。</w:t>
      </w:r>
    </w:p>
    <w:p>
      <w:pPr>
        <w:pStyle w:val="BodyText"/>
        <w:tabs>
          <w:tab w:val="left" w:pos="5001"/>
        </w:tabs>
        <w:spacing w:line="6350" w:lineRule="exact"/>
        <w:ind w:left="1400"/>
        <w:sectPr>
          <w:type w:val="nextPage"/>
          <w:pgSz w:w="17860" w:h="25260"/>
          <w:pgMar w:top="1980" w:right="2260" w:bottom="280" w:left="2560" w:header="708" w:footer="708"/>
          <w:pgNumType w:start="9"/>
          <w:cols w:space="708"/>
          <w:titlePg w:val="0"/>
        </w:sectPr>
      </w:pPr>
      <w:r>
        <w:t>施工控制网的测设：</w:t>
        <w:tab/>
        <w:t>由承包人测设。</w:t>
      </w:r>
    </w:p>
    <w:p>
      <w:pPr>
        <w:pStyle w:val="BodyText"/>
        <w:spacing w:line="5677" w:lineRule="exact"/>
        <w:ind w:left="1400"/>
      </w:pPr>
      <w:r>
        <w:t>报监理人审批施工控制网资料的期限：</w:t>
      </w:r>
    </w:p>
    <w:p>
      <w:pPr>
        <w:pStyle w:val="Heading1"/>
        <w:numPr>
          <w:ilvl w:val="0"/>
          <w:numId w:val="22"/>
        </w:numPr>
        <w:tabs>
          <w:tab w:val="left" w:pos="867"/>
          <w:tab w:val="left" w:pos="868"/>
        </w:tabs>
        <w:spacing w:before="0" w:after="0" w:line="5058" w:lineRule="exact"/>
        <w:ind w:left="867" w:right="0" w:hanging="728"/>
        <w:jc w:val="left"/>
      </w:pPr>
      <w:r>
        <w:t>施工安全、治安保卫和环境保护</w:t>
      </w:r>
    </w:p>
    <w:p>
      <w:pPr>
        <w:pStyle w:val="ListParagraph"/>
        <w:numPr>
          <w:ilvl w:val="1"/>
          <w:numId w:val="22"/>
        </w:numPr>
        <w:tabs>
          <w:tab w:val="left" w:pos="1047"/>
          <w:tab w:val="left" w:pos="1048"/>
        </w:tabs>
        <w:spacing w:before="0" w:after="0" w:line="4356" w:lineRule="exact"/>
        <w:ind w:left="1047" w:right="0" w:hanging="908"/>
        <w:jc w:val="left"/>
        <w:rPr>
          <w:b/>
          <w:sz w:val="36"/>
        </w:rPr>
      </w:pPr>
      <w:r>
        <w:rPr>
          <w:b/>
          <w:sz w:val="36"/>
        </w:rPr>
        <w:t>发包人的施工安全责任</w:t>
      </w:r>
    </w:p>
    <w:p>
      <w:pPr>
        <w:pStyle w:val="BodyText"/>
        <w:spacing w:line="3596" w:lineRule="exact"/>
        <w:ind w:left="860"/>
      </w:pPr>
      <w:r>
        <w:t>增加下列项：</w:t>
      </w:r>
    </w:p>
    <w:p>
      <w:pPr>
        <w:pStyle w:val="BodyText"/>
        <w:tabs>
          <w:tab w:val="left" w:pos="2120"/>
        </w:tabs>
        <w:spacing w:line="2923" w:lineRule="exact"/>
        <w:ind w:left="860"/>
      </w:pPr>
      <w:r>
        <w:t>9.1.4</w:t>
        <w:tab/>
      </w:r>
      <w:r>
        <w:rPr>
          <w:spacing w:val="-11"/>
        </w:rPr>
        <w:t>发包人应按照《市建设工程安全生产监督管理办法</w:t>
      </w:r>
      <w:r>
        <w:rPr>
          <w:spacing w:val="-287"/>
        </w:rPr>
        <w:t>》</w:t>
      </w:r>
      <w:r>
        <w:t>（</w:t>
      </w:r>
      <w:r>
        <w:rPr>
          <w:spacing w:val="-27"/>
        </w:rPr>
        <w:t>渝建发〔</w:t>
      </w:r>
      <w:r>
        <w:t>2008〕</w:t>
      </w:r>
    </w:p>
    <w:p>
      <w:pPr>
        <w:spacing w:after="0" w:line="2923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https://d.book118.com/116205213155010041</w:t>
        </w:r>
      </w:hyperlink>
    </w:p>
    <w:p>
      <w:pPr>
        <w:spacing w:after="0" w:line="2923" w:lineRule="exact"/>
      </w:pPr>
    </w:p>
    <w:sectPr>
      <w:type w:val="nextPage"/>
      <w:pgSz w:w="17860" w:h="25260"/>
      <w:pgMar w:top="1980" w:right="2260" w:bottom="280" w:left="2560" w:header="708" w:footer="708"/>
      <w:pgNumType w:start="1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B5FB"/>
    <w:multiLevelType w:val="hybridMultilevel"/>
    <w:tmpl w:val="00000000"/>
    <w:lvl w:ilvl="0">
      <w:start w:val="1"/>
      <w:numFmt w:val="decimal"/>
      <w:lvlText w:val="（%1）"/>
      <w:lvlJc w:val="left"/>
      <w:pPr>
        <w:ind w:left="1761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901"/>
      </w:pPr>
      <w:rPr>
        <w:rFonts w:hint="default"/>
      </w:rPr>
    </w:lvl>
  </w:abstractNum>
  <w:abstractNum w:abstractNumId="1">
    <w:nsid w:val="0444A774"/>
    <w:multiLevelType w:val="hybridMultilevel"/>
    <w:tmpl w:val="00000000"/>
    <w:lvl w:ilvl="0">
      <w:start w:val="1"/>
      <w:numFmt w:val="decimal"/>
      <w:lvlText w:val="%1."/>
      <w:lvlJc w:val="left"/>
      <w:pPr>
        <w:ind w:left="684" w:hanging="544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047" w:hanging="90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2"/>
      <w:numFmt w:val="decimal"/>
      <w:lvlText w:val="%1.%2.%3"/>
      <w:lvlJc w:val="left"/>
      <w:pPr>
        <w:ind w:left="2120" w:hanging="12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2"/>
      <w:numFmt w:val="decimal"/>
      <w:lvlText w:val="%1.%2.%3.%4"/>
      <w:lvlJc w:val="left"/>
      <w:pPr>
        <w:ind w:left="2534" w:hanging="162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2120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0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9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39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39" w:hanging="1620"/>
      </w:pPr>
      <w:rPr>
        <w:rFonts w:hint="default"/>
      </w:rPr>
    </w:lvl>
  </w:abstractNum>
  <w:abstractNum w:abstractNumId="2">
    <w:nsid w:val="0AA4C9E0"/>
    <w:multiLevelType w:val="hybridMultilevel"/>
    <w:tmpl w:val="00000000"/>
    <w:lvl w:ilvl="0">
      <w:start w:val="15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140" w:hanging="916"/>
        <w:jc w:val="left"/>
      </w:pPr>
      <w:rPr>
        <w:rFonts w:ascii="仿宋" w:eastAsia="仿宋" w:hAnsi="仿宋" w:cs="仿宋" w:hint="default"/>
        <w:b/>
        <w:bCs/>
        <w:spacing w:val="0"/>
        <w:w w:val="99"/>
        <w:sz w:val="34"/>
        <w:szCs w:val="34"/>
      </w:rPr>
    </w:lvl>
    <w:lvl w:ilvl="3">
      <w:start w:val="0"/>
      <w:numFmt w:val="bullet"/>
      <w:lvlText w:val="•"/>
      <w:lvlJc w:val="left"/>
      <w:pPr>
        <w:ind w:left="3846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3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6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9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3" w:hanging="916"/>
      </w:pPr>
      <w:rPr>
        <w:rFonts w:hint="default"/>
      </w:rPr>
    </w:lvl>
  </w:abstractNum>
  <w:abstractNum w:abstractNumId="3">
    <w:nsid w:val="0D491257"/>
    <w:multiLevelType w:val="hybridMultilevel"/>
    <w:tmpl w:val="00000000"/>
    <w:lvl w:ilvl="0">
      <w:start w:val="1"/>
      <w:numFmt w:val="decimal"/>
      <w:lvlText w:val="%1"/>
      <w:lvlJc w:val="left"/>
      <w:pPr>
        <w:ind w:left="2660" w:hanging="18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60" w:hanging="180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660" w:hanging="1800"/>
        <w:jc w:val="left"/>
      </w:pPr>
      <w:rPr>
        <w:rFonts w:hint="default"/>
      </w:rPr>
    </w:lvl>
    <w:lvl w:ilvl="3">
      <w:start w:val="10"/>
      <w:numFmt w:val="decimal"/>
      <w:lvlText w:val="%1.%2.%3.%4"/>
      <w:lvlJc w:val="left"/>
      <w:pPr>
        <w:ind w:left="2660" w:hanging="180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811" w:hanging="1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1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1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5" w:hanging="1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1800"/>
      </w:pPr>
      <w:rPr>
        <w:rFonts w:hint="default"/>
      </w:rPr>
    </w:lvl>
  </w:abstractNum>
  <w:abstractNum w:abstractNumId="4">
    <w:nsid w:val="182F74F5"/>
    <w:multiLevelType w:val="hybridMultilevel"/>
    <w:tmpl w:val="00000000"/>
    <w:lvl w:ilvl="0">
      <w:start w:val="7"/>
      <w:numFmt w:val="decimal"/>
      <w:lvlText w:val="%1"/>
      <w:lvlJc w:val="left"/>
      <w:pPr>
        <w:ind w:left="2120" w:hanging="126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2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12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39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1260"/>
      </w:pPr>
      <w:rPr>
        <w:rFonts w:hint="default"/>
      </w:rPr>
    </w:lvl>
  </w:abstractNum>
  <w:abstractNum w:abstractNumId="5">
    <w:nsid w:val="1D296DE5"/>
    <w:multiLevelType w:val="hybridMultilevel"/>
    <w:tmpl w:val="00000000"/>
    <w:lvl w:ilvl="0">
      <w:start w:val="11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583" w:hanging="10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10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10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10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10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10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5" w:hanging="1087"/>
      </w:pPr>
      <w:rPr>
        <w:rFonts w:hint="default"/>
      </w:rPr>
    </w:lvl>
  </w:abstractNum>
  <w:abstractNum w:abstractNumId="6">
    <w:nsid w:val="2D56D2D4"/>
    <w:multiLevelType w:val="hybridMultilevel"/>
    <w:tmpl w:val="00000000"/>
    <w:lvl w:ilvl="0">
      <w:start w:val="9"/>
      <w:numFmt w:val="decimal"/>
      <w:lvlText w:val="%1"/>
      <w:lvlJc w:val="left"/>
      <w:pPr>
        <w:ind w:left="2120" w:hanging="126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20" w:hanging="1260"/>
        <w:jc w:val="left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2120" w:hanging="12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39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1260"/>
      </w:pPr>
      <w:rPr>
        <w:rFonts w:hint="default"/>
      </w:rPr>
    </w:lvl>
  </w:abstractNum>
  <w:abstractNum w:abstractNumId="7">
    <w:nsid w:val="37A139E2"/>
    <w:multiLevelType w:val="hybridMultilevel"/>
    <w:tmpl w:val="00000000"/>
    <w:lvl w:ilvl="0">
      <w:start w:val="15"/>
      <w:numFmt w:val="decimal"/>
      <w:lvlText w:val="%1."/>
      <w:lvlJc w:val="left"/>
      <w:pPr>
        <w:ind w:left="1047" w:hanging="90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42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7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9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4" w:hanging="1440"/>
      </w:pPr>
      <w:rPr>
        <w:rFonts w:hint="default"/>
      </w:rPr>
    </w:lvl>
  </w:abstractNum>
  <w:abstractNum w:abstractNumId="8">
    <w:nsid w:val="381C0313"/>
    <w:multiLevelType w:val="hybridMultilevel"/>
    <w:tmpl w:val="00000000"/>
    <w:lvl w:ilvl="0">
      <w:start w:val="20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86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46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3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9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3" w:hanging="1440"/>
      </w:pPr>
      <w:rPr>
        <w:rFonts w:hint="default"/>
      </w:rPr>
    </w:lvl>
  </w:abstractNum>
  <w:abstractNum w:abstractNumId="9">
    <w:nsid w:val="392DE94A"/>
    <w:multiLevelType w:val="hybridMultilevel"/>
    <w:tmpl w:val="00000000"/>
    <w:lvl w:ilvl="0">
      <w:start w:val="2"/>
      <w:numFmt w:val="decimal"/>
      <w:lvlText w:val="%1"/>
      <w:lvlJc w:val="left"/>
      <w:pPr>
        <w:ind w:left="1047" w:hanging="90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7" w:hanging="90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(%3)"/>
      <w:lvlJc w:val="left"/>
      <w:pPr>
        <w:ind w:left="140" w:hanging="720"/>
        <w:jc w:val="righ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706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3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3" w:hanging="720"/>
      </w:pPr>
      <w:rPr>
        <w:rFonts w:hint="default"/>
      </w:rPr>
    </w:lvl>
  </w:abstractNum>
  <w:abstractNum w:abstractNumId="10">
    <w:nsid w:val="4936BA2A"/>
    <w:multiLevelType w:val="hybridMultilevel"/>
    <w:tmpl w:val="00000000"/>
    <w:lvl w:ilvl="0">
      <w:start w:val="1"/>
      <w:numFmt w:val="decimal"/>
      <w:lvlText w:val="%1"/>
      <w:lvlJc w:val="left"/>
      <w:pPr>
        <w:ind w:left="1047" w:hanging="90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7" w:hanging="90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120" w:hanging="12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54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3" w:hanging="1260"/>
      </w:pPr>
      <w:rPr>
        <w:rFonts w:hint="default"/>
      </w:rPr>
    </w:lvl>
  </w:abstractNum>
  <w:abstractNum w:abstractNumId="11">
    <w:nsid w:val="4A7AAE3A"/>
    <w:multiLevelType w:val="hybridMultilevel"/>
    <w:tmpl w:val="00000000"/>
    <w:lvl w:ilvl="0">
      <w:start w:val="17"/>
      <w:numFmt w:val="decimal"/>
      <w:lvlText w:val="%1"/>
      <w:lvlJc w:val="left"/>
      <w:pPr>
        <w:ind w:left="2300" w:hanging="144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00" w:hanging="144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521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3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1" w:hanging="1440"/>
      </w:pPr>
      <w:rPr>
        <w:rFonts w:hint="default"/>
      </w:rPr>
    </w:lvl>
  </w:abstractNum>
  <w:abstractNum w:abstractNumId="12">
    <w:nsid w:val="4AF656C2"/>
    <w:multiLevelType w:val="hybridMultilevel"/>
    <w:tmpl w:val="00000000"/>
    <w:lvl w:ilvl="0">
      <w:start w:val="13"/>
      <w:numFmt w:val="decimal"/>
      <w:lvlText w:val="%1"/>
      <w:lvlJc w:val="left"/>
      <w:pPr>
        <w:ind w:left="2300" w:hanging="14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00" w:hanging="144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521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3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1" w:hanging="1440"/>
      </w:pPr>
      <w:rPr>
        <w:rFonts w:hint="default"/>
      </w:rPr>
    </w:lvl>
  </w:abstractNum>
  <w:abstractNum w:abstractNumId="13">
    <w:nsid w:val="4BDF85AC"/>
    <w:multiLevelType w:val="hybridMultilevel"/>
    <w:tmpl w:val="00000000"/>
    <w:lvl w:ilvl="0">
      <w:start w:val="1"/>
      <w:numFmt w:val="decimal"/>
      <w:lvlText w:val="%1"/>
      <w:lvlJc w:val="left"/>
      <w:pPr>
        <w:ind w:left="2480" w:hanging="16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0" w:hanging="162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480" w:hanging="1620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480" w:hanging="162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70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5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620"/>
      </w:pPr>
      <w:rPr>
        <w:rFonts w:hint="default"/>
      </w:rPr>
    </w:lvl>
  </w:abstractNum>
  <w:abstractNum w:abstractNumId="14">
    <w:nsid w:val="5454E540"/>
    <w:multiLevelType w:val="hybridMultilevel"/>
    <w:tmpl w:val="00000000"/>
    <w:lvl w:ilvl="0">
      <w:start w:val="21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86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3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3" w:hanging="1440"/>
      </w:pPr>
      <w:rPr>
        <w:rFonts w:hint="default"/>
      </w:rPr>
    </w:lvl>
  </w:abstractNum>
  <w:abstractNum w:abstractNumId="15">
    <w:nsid w:val="5EEA241D"/>
    <w:multiLevelType w:val="hybridMultilevel"/>
    <w:tmpl w:val="00000000"/>
    <w:lvl w:ilvl="0">
      <w:start w:val="1"/>
      <w:numFmt w:val="decimal"/>
      <w:lvlText w:val="（%1）"/>
      <w:lvlJc w:val="left"/>
      <w:pPr>
        <w:ind w:left="1761" w:hanging="901"/>
        <w:jc w:val="left"/>
      </w:pPr>
      <w:rPr>
        <w:rFonts w:ascii="仿宋" w:eastAsia="仿宋" w:hAnsi="仿宋" w:cs="仿宋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901"/>
      </w:pPr>
      <w:rPr>
        <w:rFonts w:hint="default"/>
      </w:rPr>
    </w:lvl>
  </w:abstractNum>
  <w:abstractNum w:abstractNumId="16">
    <w:nsid w:val="6C51D0CE"/>
    <w:multiLevelType w:val="hybridMultilevel"/>
    <w:tmpl w:val="00000000"/>
    <w:lvl w:ilvl="0">
      <w:start w:val="5"/>
      <w:numFmt w:val="decimal"/>
      <w:lvlText w:val="%1"/>
      <w:lvlJc w:val="left"/>
      <w:pPr>
        <w:ind w:left="14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" w:hanging="126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0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1260"/>
      </w:pPr>
      <w:rPr>
        <w:rFonts w:hint="default"/>
      </w:rPr>
    </w:lvl>
  </w:abstractNum>
  <w:abstractNum w:abstractNumId="17">
    <w:nsid w:val="6C842484"/>
    <w:multiLevelType w:val="hybridMultilevel"/>
    <w:tmpl w:val="00000000"/>
    <w:lvl w:ilvl="0">
      <w:start w:val="18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583" w:hanging="10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10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10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10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10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10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5" w:hanging="1087"/>
      </w:pPr>
      <w:rPr>
        <w:rFonts w:hint="default"/>
      </w:rPr>
    </w:lvl>
  </w:abstractNum>
  <w:abstractNum w:abstractNumId="18">
    <w:nsid w:val="6E27559F"/>
    <w:multiLevelType w:val="hybridMultilevel"/>
    <w:tmpl w:val="00000000"/>
    <w:lvl w:ilvl="0">
      <w:start w:val="4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86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3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3" w:hanging="1440"/>
      </w:pPr>
      <w:rPr>
        <w:rFonts w:hint="default"/>
      </w:rPr>
    </w:lvl>
  </w:abstractNum>
  <w:abstractNum w:abstractNumId="19">
    <w:nsid w:val="6EE72935"/>
    <w:multiLevelType w:val="hybridMultilevel"/>
    <w:tmpl w:val="00000000"/>
    <w:lvl w:ilvl="0">
      <w:start w:val="24"/>
      <w:numFmt w:val="decimal"/>
      <w:lvlText w:val="%1."/>
      <w:lvlJc w:val="left"/>
      <w:pPr>
        <w:ind w:left="1047" w:hanging="90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140" w:hanging="1095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220" w:hanging="10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7" w:hanging="10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4" w:hanging="10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2" w:hanging="10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29" w:hanging="10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07" w:hanging="10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84" w:hanging="1095"/>
      </w:pPr>
      <w:rPr>
        <w:rFonts w:hint="default"/>
      </w:rPr>
    </w:lvl>
  </w:abstractNum>
  <w:abstractNum w:abstractNumId="20">
    <w:nsid w:val="6F8B2ED6"/>
    <w:multiLevelType w:val="hybridMultilevel"/>
    <w:tmpl w:val="00000000"/>
    <w:lvl w:ilvl="0">
      <w:start w:val="15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86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3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3" w:hanging="1440"/>
      </w:pPr>
      <w:rPr>
        <w:rFonts w:hint="default"/>
      </w:rPr>
    </w:lvl>
  </w:abstractNum>
  <w:abstractNum w:abstractNumId="21">
    <w:nsid w:val="7F6D820D"/>
    <w:multiLevelType w:val="hybridMultilevel"/>
    <w:tmpl w:val="00000000"/>
    <w:lvl w:ilvl="0">
      <w:start w:val="18"/>
      <w:numFmt w:val="decimal"/>
      <w:lvlText w:val="%1"/>
      <w:lvlJc w:val="left"/>
      <w:pPr>
        <w:ind w:left="1227" w:hanging="1087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27" w:hanging="108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2300" w:hanging="14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42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4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7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9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2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4" w:hanging="144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8"/>
  </w:num>
  <w:num w:numId="4">
    <w:abstractNumId w:val="0"/>
  </w:num>
  <w:num w:numId="5">
    <w:abstractNumId w:val="21"/>
  </w:num>
  <w:num w:numId="6">
    <w:abstractNumId w:val="17"/>
  </w:num>
  <w:num w:numId="7">
    <w:abstractNumId w:val="11"/>
  </w:num>
  <w:num w:numId="8">
    <w:abstractNumId w:val="20"/>
  </w:num>
  <w:num w:numId="9">
    <w:abstractNumId w:val="2"/>
  </w:num>
  <w:num w:numId="10">
    <w:abstractNumId w:val="7"/>
  </w:num>
  <w:num w:numId="11">
    <w:abstractNumId w:val="15"/>
  </w:num>
  <w:num w:numId="12">
    <w:abstractNumId w:val="12"/>
  </w:num>
  <w:num w:numId="13">
    <w:abstractNumId w:val="5"/>
  </w:num>
  <w:num w:numId="14">
    <w:abstractNumId w:val="6"/>
  </w:num>
  <w:num w:numId="15">
    <w:abstractNumId w:val="4"/>
  </w:num>
  <w:num w:numId="16">
    <w:abstractNumId w:val="16"/>
  </w:num>
  <w:num w:numId="17">
    <w:abstractNumId w:val="18"/>
  </w:num>
  <w:num w:numId="18">
    <w:abstractNumId w:val="9"/>
  </w:num>
  <w:num w:numId="19">
    <w:abstractNumId w:val="10"/>
  </w:num>
  <w:num w:numId="20">
    <w:abstractNumId w:val="3"/>
  </w:num>
  <w:num w:numId="21">
    <w:abstractNumId w:val="13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left="1047" w:hanging="1088"/>
      <w:outlineLvl w:val="0"/>
    </w:pPr>
    <w:rPr>
      <w:rFonts w:ascii="仿宋" w:eastAsia="仿宋" w:hAnsi="仿宋" w:cs="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47" w:hanging="1088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hyperlink" Target="https://d.book118.com/116205213155010041" TargetMode="Externa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2024-01-10T21:04:56Z</dcterms:created>
  <dcterms:modified xsi:type="dcterms:W3CDTF">2024-01-10T21:04:56Z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2024-01-10T00:00:00Z</vt:filetime>
  </property>
</Properties>
</file>