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1、[题干]患儿女，5岁，有鼻塞、流清鼻涕，偶有打喷嚏，伴耳闷、张嘴呼吸半年。鼻镜检查见：鼻黏膜苍白水肿，鼻道有较多的清水样分泌物。对于治疗此病一线首选用药为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A.抗组胺药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B.儿茶酚胺类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C.抗胆碱药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D.肥大细胞稳定剂。E,抗生素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2、[题干]患者表情呆滞，记忆减退，沉默寡语，伴腰膝酸软，食少纳呆，气短懒言，舌质淡，舌体胖大，苔白，脉沉细弱，双尺尤甚。其证候是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A.脾肾两虚证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B.痰浊蒙窍证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C.瘀血内阻证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D.髓海不足证。E,肝肾阴虚证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3、[单选题]四物汤主治证候的病机要点是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A.气血不足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B.精血匮乏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C.阴血亏虚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D.营血虚滞。E,血失统摄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4、[单选题]X连锁无丙种球蛋白血症的主要临床表现为()。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A.反复严重的支原体感染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B.反复严重的真菌感染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C.反复严重的病毒感染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D.反复严重的细菌感染。E,反复严重的混合感染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5、[题干]维生素B12缺乏与叶酸缺乏引起的贫血区别于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A.贫血症状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B.肝脾肿大的程度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C.神经系统症状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D.血象和骨髓象。E,有无消化道症状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6、[单选题]心为“五脏六腑之大主”的理论依据是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https://d.book118.com/117012022023006043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117012022023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