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离子及射线检测、分析仪器相关行业公司成立方案及可行性研究报告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89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_Toc24898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60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_Toc11260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_Toc23870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_Toc31132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_Toc9921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_Toc8319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13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_Toc22513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_Toc2825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_Toc20262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_Toc28051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1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_Toc2351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_Toc27680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_Toc4785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78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_Toc7878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_Toc29023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_Toc29306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_Toc11301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_Toc4382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_Toc4476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_Toc4854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_Toc5499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27" w:history="1">
        <w:r>
          <w:rPr>
            <w:rFonts w:ascii="仿宋" w:eastAsia="仿宋" w:hAnsi="仿宋" w:cs="仿宋" w:hint="eastAsia"/>
            <w:lang w:eastAsia="zh-CN"/>
          </w:rPr>
          <w:t>五、离子及射线检测、分析仪器筹建公司基本信息</w:t>
        </w:r>
        <w:r>
          <w:tab/>
        </w:r>
        <w:r>
          <w:fldChar w:fldCharType="begin"/>
        </w:r>
        <w:r>
          <w:instrText xml:space="preserve"> PAGEREF _Toc3327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_Toc11626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_Toc27318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_Toc31960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_Toc14158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_Toc2186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_Toc22891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9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_Toc1469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_Toc7639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_Toc20620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_Toc4307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_Toc10877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24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_Toc25324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_Toc10884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_Toc15744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_Toc20981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_Toc19535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_Toc5696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_Toc11482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_Toc28023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67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_Toc14675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_Toc7129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_Toc5223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_Toc13063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_Toc17469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_Toc30601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38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_Toc24138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8" w:history="1">
        <w:r>
          <w:rPr>
            <w:rFonts w:ascii="仿宋" w:eastAsia="仿宋" w:hAnsi="仿宋" w:cs="仿宋" w:hint="eastAsia"/>
            <w:lang w:eastAsia="zh-CN"/>
          </w:rPr>
          <w:t>(一)、离子及射线检测、分析仪器项目进度安排</w:t>
        </w:r>
        <w:r>
          <w:tab/>
        </w:r>
        <w:r>
          <w:fldChar w:fldCharType="begin"/>
        </w:r>
        <w:r>
          <w:instrText xml:space="preserve"> PAGEREF _Toc18378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8" w:history="1">
        <w:r>
          <w:rPr>
            <w:rFonts w:ascii="仿宋" w:eastAsia="仿宋" w:hAnsi="仿宋" w:cs="仿宋" w:hint="eastAsia"/>
            <w:lang w:eastAsia="zh-CN"/>
          </w:rPr>
          <w:t>(二)、离子及射线检测、分析仪器项目实施保障措施</w:t>
        </w:r>
        <w:r>
          <w:tab/>
        </w:r>
        <w:r>
          <w:fldChar w:fldCharType="begin"/>
        </w:r>
        <w:r>
          <w:instrText xml:space="preserve"> PAGEREF _Toc4848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68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_Toc14268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_Toc7946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_Toc28347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_Toc6858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_Toc362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93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_Toc6293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0" w:history="1">
        <w:r>
          <w:rPr>
            <w:rFonts w:ascii="仿宋" w:eastAsia="仿宋" w:hAnsi="仿宋" w:cs="仿宋" w:hint="eastAsia"/>
            <w:lang w:eastAsia="zh-CN"/>
          </w:rPr>
          <w:t>(一)、离子及射线检测、分析仪器项目背景分析</w:t>
        </w:r>
        <w:r>
          <w:tab/>
        </w:r>
        <w:r>
          <w:fldChar w:fldCharType="begin"/>
        </w:r>
        <w:r>
          <w:instrText xml:space="preserve"> PAGEREF _Toc4000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7" w:history="1">
        <w:r>
          <w:rPr>
            <w:rFonts w:ascii="仿宋" w:eastAsia="仿宋" w:hAnsi="仿宋" w:cs="仿宋" w:hint="eastAsia"/>
            <w:lang w:eastAsia="zh-CN"/>
          </w:rPr>
          <w:t>(二)、离子及射线检测、分析仪器项目建设必要性分析</w:t>
        </w:r>
        <w:r>
          <w:tab/>
        </w:r>
        <w:r>
          <w:fldChar w:fldCharType="begin"/>
        </w:r>
        <w:r>
          <w:instrText xml:space="preserve"> PAGEREF _Toc23497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_Toc28323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_Toc28293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13" w:history="1">
        <w:r>
          <w:rPr>
            <w:rFonts w:ascii="仿宋" w:eastAsia="仿宋" w:hAnsi="仿宋" w:cs="仿宋" w:hint="eastAsia"/>
            <w:lang w:eastAsia="zh-CN"/>
          </w:rPr>
          <w:t>十一、离子及射线检测、分析仪器项目总结分析</w:t>
        </w:r>
        <w:r>
          <w:tab/>
        </w:r>
        <w:r>
          <w:fldChar w:fldCharType="begin"/>
        </w:r>
        <w:r>
          <w:instrText xml:space="preserve"> PAGEREF _Toc10813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89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260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870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https://d.book118.com/117034201156006042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离子及射线检测、分析仪器相关行业公司成立方案及可行性研究报告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离子及射线检测、分析仪器相关行业公司成立方案及可行性研究报告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离子及射线检测、分析仪器相关行业公司成立方案及可行性研究报告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离子及射线检测、分析仪器相关行业公司成立方案及可行性研究报告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离子及射线检测、分析仪器相关行业公司成立方案及可行性研究报告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17034201156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2024-02-05T03:20:00Z</dcterms:created>
  <dcterms:modified xsi:type="dcterms:W3CDTF">2024-02-05T03:20:54Z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1F7EF3F4D03F4C268746591B6A5E5AA4_11</vt:lpwstr>
  </property>
  <property fmtid="{D5CDD505-2E9C-101B-9397-08002B2CF9AE}" pid="3" name="KSOProductBuildVer">
    <vt:lpwstr>2052-12.1.0.16250</vt:lpwstr>
  </property>
</Properties>
</file>