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2018-2023年浙江建设职业技术学院高职单招（数学／语文／英语）历年常考试题库含答案解析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抗战时期，郭沫若写有历史剧（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D.《星空》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孟子和孔子同属（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D.名家学派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我国诗歌史上被称为“诗史”的是以下哪位诗人的作品（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B.屈原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黄省三是下列哪部作品中的人物（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D.叠字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D.数罟不入湾池。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从表现方法上说，《氓》是一首（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C.哲理诗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D.寓言诗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下列诗句中，罗敷通过夸夫震慑刺史的是（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B.脱帽著帩头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C.使君一何愚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D.为人洁白皙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“亟请于武公”句中“亟”的意思是（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小说《苦恼》中展示了“人与人”之间的关系，也展示了“人与马”之间的关系。这两方面又构成了（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C.象征关系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D.层递关系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李清照《声声慢》（寻寻觅觅）是（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A.婉约词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B.豪放词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C.风雅词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D.田园词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小说中麦琪的礼物的象征含义是（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A.指西方圣诞节馈赠的礼物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B.指年轻夫妇德拉和吉姆所购买的表链和梳子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C.指主人公的真挚的情感及他们美好的心灵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D.指首创了节日互赠礼品的风俗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李煜《虞美人》的主题是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A.羁旅行役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B.亡国之恨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C.伤春悲秋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D.怀古伤今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陶渊明《饮酒》中，最富有哲理意味的诗句是（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A.飞鸟相与还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B.心远地自偏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C.结庐在人境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D.悠然见南山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https://d.book118.com/117044141162006044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17044141162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