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rPr>
          <w:rFonts w:ascii="幼圆" w:eastAsia="幼圆" w:hAnsi="幼圆" w:cs="幼圆" w:hint="default"/>
          <w:b/>
          <w:bCs/>
          <w:color w:val="auto"/>
          <w:spacing w:val="-6"/>
          <w:sz w:val="36"/>
          <w:szCs w:val="36"/>
        </w:rPr>
      </w:pPr>
      <w:bookmarkStart w:id="0" w:name="_Toc133858024"/>
      <w:bookmarkStart w:id="1" w:name="_Toc133858351"/>
      <w:bookmarkStart w:id="2" w:name="_GoBack"/>
      <w:r>
        <w:rPr>
          <w:rFonts w:ascii="幼圆" w:eastAsia="幼圆" w:hAnsi="幼圆" w:cs="幼圆" w:hint="eastAsia"/>
          <w:b/>
          <w:bCs/>
          <w:color w:val="auto"/>
          <w:spacing w:val="-6"/>
          <w:sz w:val="36"/>
          <w:szCs w:val="36"/>
          <w:lang w:val="en-US" w:eastAsia="zh-CN"/>
        </w:rPr>
        <w:t>中国对澳大利亚农产品贸易竞争力分析</w:t>
      </w:r>
      <w:bookmarkEnd w:id="0"/>
      <w:bookmarkEnd w:id="1"/>
    </w:p>
    <w:bookmarkEnd w:id="2"/>
    <w:p>
      <w:pPr>
        <w:pStyle w:val="785785"/>
        <w:spacing w:before="157" w:after="157" w:line="360" w:lineRule="auto"/>
        <w:jc w:val="both"/>
        <w:rPr>
          <w:rFonts w:ascii="幼圆" w:eastAsia="幼圆" w:hAnsi="幼圆" w:cs="幼圆" w:hint="eastAsia"/>
          <w:sz w:val="24"/>
          <w:szCs w:val="24"/>
          <w:highlight w:val="none"/>
          <w:shd w:val="clear" w:color="auto" w:fill="auto"/>
        </w:rPr>
      </w:pPr>
      <w:bookmarkStart w:id="3" w:name="_Toc133858354"/>
      <w:bookmarkStart w:id="4" w:name="_Toc133858027"/>
      <w:r>
        <w:rPr>
          <w:rFonts w:ascii="幼圆" w:eastAsia="幼圆" w:hAnsi="幼圆" w:cs="幼圆" w:hint="eastAsia"/>
          <w:sz w:val="24"/>
          <w:szCs w:val="24"/>
          <w:highlight w:val="none"/>
          <w:shd w:val="clear" w:color="auto" w:fill="auto"/>
        </w:rPr>
        <w:fldChar w:fldCharType="begin"/>
      </w:r>
      <w:r>
        <w:rPr>
          <w:rFonts w:ascii="幼圆" w:eastAsia="幼圆" w:hAnsi="幼圆" w:cs="幼圆" w:hint="eastAsia"/>
          <w:sz w:val="24"/>
          <w:szCs w:val="24"/>
          <w:highlight w:val="none"/>
          <w:shd w:val="clear" w:color="auto" w:fill="auto"/>
        </w:rPr>
        <w:instrText xml:space="preserve"> TOC \o "1-1" \h \z \t "标题 2,1,标题3,2" </w:instrText>
      </w:r>
      <w:r>
        <w:rPr>
          <w:rFonts w:ascii="幼圆" w:eastAsia="幼圆" w:hAnsi="幼圆" w:cs="幼圆" w:hint="eastAsia"/>
          <w:sz w:val="24"/>
          <w:szCs w:val="24"/>
          <w:highlight w:val="none"/>
          <w:shd w:val="clear" w:color="auto" w:fill="auto"/>
        </w:rPr>
        <w:fldChar w:fldCharType="separate"/>
      </w:r>
    </w:p>
    <w:p>
      <w:pPr>
        <w:pStyle w:val="TOC1"/>
        <w:tabs>
          <w:tab w:val="right" w:leader="dot" w:pos="8324"/>
        </w:tabs>
        <w:spacing w:line="360" w:lineRule="auto"/>
        <w:rPr>
          <w:rFonts w:ascii="幼圆" w:eastAsia="幼圆" w:hAnsi="幼圆" w:cs="幼圆" w:hint="eastAsia"/>
          <w:sz w:val="24"/>
          <w:szCs w:val="24"/>
          <w:highlight w:val="none"/>
          <w:shd w:val="clear" w:color="auto" w:fill="auto"/>
        </w:rPr>
      </w:pPr>
      <w:hyperlink w:anchor="_Toc389750144" w:history="1">
        <w:r>
          <w:rPr>
            <w:rStyle w:val="Hyperlink"/>
            <w:rFonts w:ascii="幼圆" w:eastAsia="幼圆" w:hAnsi="幼圆" w:cs="幼圆" w:hint="eastAsia"/>
            <w:sz w:val="24"/>
            <w:szCs w:val="24"/>
            <w:highlight w:val="none"/>
            <w:shd w:val="clear" w:color="auto" w:fill="auto"/>
          </w:rPr>
          <w:t>摘要</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rPr>
          <w:fldChar w:fldCharType="begin"/>
        </w:r>
        <w:r>
          <w:rPr>
            <w:rFonts w:ascii="幼圆" w:eastAsia="幼圆" w:hAnsi="幼圆" w:cs="幼圆" w:hint="eastAsia"/>
            <w:sz w:val="24"/>
            <w:szCs w:val="24"/>
            <w:highlight w:val="none"/>
            <w:shd w:val="clear" w:color="auto" w:fill="auto"/>
          </w:rPr>
          <w:instrText xml:space="preserve"> PAGEREF _Toc389750144 \h </w:instrText>
        </w:r>
        <w:r>
          <w:rPr>
            <w:rFonts w:ascii="幼圆" w:eastAsia="幼圆" w:hAnsi="幼圆" w:cs="幼圆" w:hint="eastAsia"/>
            <w:sz w:val="24"/>
            <w:szCs w:val="24"/>
            <w:highlight w:val="none"/>
            <w:shd w:val="clear" w:color="auto" w:fill="auto"/>
          </w:rPr>
          <w:fldChar w:fldCharType="separate"/>
        </w:r>
        <w:r>
          <w:rPr>
            <w:rFonts w:ascii="幼圆" w:eastAsia="幼圆" w:hAnsi="幼圆" w:cs="幼圆" w:hint="eastAsia"/>
            <w:sz w:val="24"/>
            <w:szCs w:val="24"/>
            <w:highlight w:val="none"/>
            <w:shd w:val="clear" w:color="auto" w:fill="auto"/>
          </w:rPr>
          <w:t>I</w:t>
        </w:r>
        <w:r>
          <w:rPr>
            <w:rFonts w:ascii="幼圆" w:eastAsia="幼圆" w:hAnsi="幼圆" w:cs="幼圆" w:hint="eastAsia"/>
            <w:sz w:val="24"/>
            <w:szCs w:val="24"/>
            <w:highlight w:val="none"/>
            <w:shd w:val="clear" w:color="auto" w:fill="auto"/>
          </w:rPr>
          <w:fldChar w:fldCharType="end"/>
        </w:r>
      </w:hyperlink>
    </w:p>
    <w:p>
      <w:pPr>
        <w:pStyle w:val="TOC1"/>
        <w:tabs>
          <w:tab w:val="right" w:leader="dot" w:pos="8324"/>
        </w:tabs>
        <w:spacing w:line="360" w:lineRule="auto"/>
        <w:rPr>
          <w:rFonts w:ascii="幼圆" w:eastAsia="幼圆" w:hAnsi="幼圆" w:cs="幼圆" w:hint="eastAsia"/>
          <w:color w:val="auto"/>
          <w:sz w:val="24"/>
          <w:szCs w:val="24"/>
          <w:highlight w:val="none"/>
          <w:shd w:val="clear" w:color="auto" w:fill="auto"/>
          <w:lang w:val="en-US" w:eastAsia="zh-CN"/>
        </w:rPr>
      </w:pPr>
      <w:hyperlink w:anchor="_Toc389750146" w:history="1">
        <w:r>
          <w:rPr>
            <w:rStyle w:val="Hyperlink"/>
            <w:rFonts w:ascii="幼圆" w:eastAsia="幼圆" w:hAnsi="幼圆" w:cs="幼圆" w:hint="eastAsia"/>
            <w:color w:val="auto"/>
            <w:sz w:val="24"/>
            <w:szCs w:val="24"/>
            <w:highlight w:val="none"/>
            <w:shd w:val="clear" w:color="auto" w:fill="auto"/>
          </w:rPr>
          <w:t xml:space="preserve">1  </w:t>
        </w:r>
        <w:r>
          <w:rPr>
            <w:rStyle w:val="Hyperlink"/>
            <w:rFonts w:ascii="幼圆" w:eastAsia="幼圆" w:hAnsi="幼圆" w:cs="幼圆" w:hint="eastAsia"/>
            <w:color w:val="auto"/>
            <w:sz w:val="24"/>
            <w:szCs w:val="24"/>
            <w:highlight w:val="none"/>
            <w:shd w:val="clear" w:color="auto" w:fill="auto"/>
          </w:rPr>
          <w:t>前言</w:t>
        </w:r>
        <w:r>
          <w:rPr>
            <w:rFonts w:ascii="幼圆" w:eastAsia="幼圆" w:hAnsi="幼圆" w:cs="幼圆" w:hint="eastAsia"/>
            <w:color w:val="auto"/>
            <w:sz w:val="24"/>
            <w:szCs w:val="24"/>
            <w:highlight w:val="none"/>
            <w:shd w:val="clear" w:color="auto" w:fill="auto"/>
          </w:rPr>
          <w:tab/>
        </w:r>
      </w:hyperlink>
      <w:r>
        <w:rPr>
          <w:rFonts w:ascii="幼圆" w:eastAsia="幼圆" w:hAnsi="幼圆" w:cs="幼圆" w:hint="eastAsia"/>
          <w:color w:val="auto"/>
          <w:sz w:val="24"/>
          <w:szCs w:val="24"/>
          <w:highlight w:val="none"/>
          <w:shd w:val="clear" w:color="auto" w:fill="auto"/>
          <w:lang w:val="en-US" w:eastAsia="zh-CN"/>
        </w:rPr>
        <w:t>1</w:t>
      </w:r>
    </w:p>
    <w:p>
      <w:pPr>
        <w:pStyle w:val="TOC2"/>
        <w:tabs>
          <w:tab w:val="right" w:leader="dot" w:pos="8324"/>
        </w:tabs>
        <w:spacing w:line="360" w:lineRule="auto"/>
        <w:ind w:left="439"/>
        <w:rPr>
          <w:rFonts w:ascii="幼圆" w:eastAsia="幼圆" w:hAnsi="幼圆" w:cs="幼圆" w:hint="eastAsia"/>
          <w:color w:val="auto"/>
          <w:sz w:val="24"/>
          <w:szCs w:val="24"/>
          <w:highlight w:val="none"/>
          <w:shd w:val="clear" w:color="auto" w:fill="auto"/>
        </w:rPr>
      </w:pPr>
      <w:hyperlink w:anchor="_Toc389750147" w:history="1">
        <w:r>
          <w:rPr>
            <w:rStyle w:val="Hyperlink"/>
            <w:rFonts w:ascii="幼圆" w:eastAsia="幼圆" w:hAnsi="幼圆" w:cs="幼圆" w:hint="eastAsia"/>
            <w:color w:val="auto"/>
            <w:sz w:val="24"/>
            <w:szCs w:val="24"/>
            <w:highlight w:val="none"/>
            <w:shd w:val="clear" w:color="auto" w:fill="auto"/>
          </w:rPr>
          <w:t xml:space="preserve">1.1  </w:t>
        </w:r>
        <w:r>
          <w:rPr>
            <w:rStyle w:val="Hyperlink"/>
            <w:rFonts w:ascii="幼圆" w:eastAsia="幼圆" w:hAnsi="幼圆" w:cs="幼圆" w:hint="eastAsia"/>
            <w:color w:val="auto"/>
            <w:sz w:val="24"/>
            <w:szCs w:val="24"/>
            <w:highlight w:val="none"/>
            <w:shd w:val="clear" w:color="auto" w:fill="auto"/>
          </w:rPr>
          <w:t>本研究的目的与意义</w:t>
        </w:r>
        <w:r>
          <w:rPr>
            <w:rFonts w:ascii="幼圆" w:eastAsia="幼圆" w:hAnsi="幼圆" w:cs="幼圆" w:hint="eastAsia"/>
            <w:color w:val="auto"/>
            <w:sz w:val="24"/>
            <w:szCs w:val="24"/>
            <w:highlight w:val="none"/>
            <w:shd w:val="clear" w:color="auto" w:fill="auto"/>
          </w:rPr>
          <w:tab/>
        </w:r>
        <w:r>
          <w:rPr>
            <w:rFonts w:ascii="幼圆" w:eastAsia="幼圆" w:hAnsi="幼圆" w:cs="幼圆" w:hint="eastAsia"/>
            <w:color w:val="auto"/>
            <w:sz w:val="24"/>
            <w:szCs w:val="24"/>
            <w:highlight w:val="none"/>
            <w:shd w:val="clear" w:color="auto" w:fill="auto"/>
            <w:lang w:val="en-US" w:eastAsia="zh-CN"/>
          </w:rPr>
          <w:t>1</w:t>
        </w:r>
      </w:hyperlink>
    </w:p>
    <w:p>
      <w:pPr>
        <w:pStyle w:val="TOC2"/>
        <w:tabs>
          <w:tab w:val="right" w:leader="dot" w:pos="8324"/>
        </w:tabs>
        <w:spacing w:line="360" w:lineRule="auto"/>
        <w:ind w:left="439"/>
        <w:rPr>
          <w:rFonts w:ascii="幼圆" w:eastAsia="幼圆" w:hAnsi="幼圆" w:cs="幼圆" w:hint="eastAsia"/>
          <w:color w:val="auto"/>
          <w:sz w:val="24"/>
          <w:szCs w:val="24"/>
          <w:highlight w:val="none"/>
          <w:shd w:val="clear" w:color="auto" w:fill="auto"/>
        </w:rPr>
      </w:pPr>
      <w:hyperlink w:anchor="_Toc389750148" w:history="1">
        <w:r>
          <w:rPr>
            <w:rStyle w:val="Hyperlink"/>
            <w:rFonts w:ascii="幼圆" w:eastAsia="幼圆" w:hAnsi="幼圆" w:cs="幼圆" w:hint="eastAsia"/>
            <w:color w:val="auto"/>
            <w:sz w:val="24"/>
            <w:szCs w:val="24"/>
            <w:highlight w:val="none"/>
            <w:shd w:val="clear" w:color="auto" w:fill="auto"/>
          </w:rPr>
          <w:t xml:space="preserve">1.2  </w:t>
        </w:r>
        <w:r>
          <w:rPr>
            <w:rStyle w:val="Hyperlink"/>
            <w:rFonts w:ascii="幼圆" w:eastAsia="幼圆" w:hAnsi="幼圆" w:cs="幼圆" w:hint="eastAsia"/>
            <w:color w:val="auto"/>
            <w:sz w:val="24"/>
            <w:szCs w:val="24"/>
            <w:highlight w:val="none"/>
            <w:shd w:val="clear" w:color="auto" w:fill="auto"/>
          </w:rPr>
          <w:t>国内外研究文献综述</w:t>
        </w:r>
        <w:r>
          <w:rPr>
            <w:rFonts w:ascii="幼圆" w:eastAsia="幼圆" w:hAnsi="幼圆" w:cs="幼圆" w:hint="eastAsia"/>
            <w:color w:val="auto"/>
            <w:sz w:val="24"/>
            <w:szCs w:val="24"/>
            <w:highlight w:val="none"/>
            <w:shd w:val="clear" w:color="auto" w:fill="auto"/>
          </w:rPr>
          <w:tab/>
        </w:r>
        <w:r>
          <w:rPr>
            <w:rFonts w:ascii="幼圆" w:eastAsia="幼圆" w:hAnsi="幼圆" w:cs="幼圆" w:hint="eastAsia"/>
            <w:color w:val="auto"/>
            <w:sz w:val="24"/>
            <w:szCs w:val="24"/>
            <w:highlight w:val="none"/>
            <w:shd w:val="clear" w:color="auto" w:fill="auto"/>
            <w:lang w:val="en-US" w:eastAsia="zh-CN"/>
          </w:rPr>
          <w:t>1</w:t>
        </w:r>
      </w:hyperlink>
    </w:p>
    <w:p>
      <w:pPr>
        <w:pStyle w:val="TOC2"/>
        <w:tabs>
          <w:tab w:val="right" w:leader="dot" w:pos="8324"/>
        </w:tabs>
        <w:spacing w:line="360" w:lineRule="auto"/>
        <w:ind w:left="439"/>
        <w:rPr>
          <w:rFonts w:ascii="幼圆" w:eastAsia="幼圆" w:hAnsi="幼圆" w:cs="幼圆" w:hint="eastAsia"/>
          <w:color w:val="auto"/>
          <w:sz w:val="24"/>
          <w:szCs w:val="24"/>
          <w:highlight w:val="none"/>
          <w:shd w:val="clear" w:color="auto" w:fill="auto"/>
        </w:rPr>
      </w:pPr>
      <w:hyperlink w:anchor="_Toc389750149" w:history="1">
        <w:r>
          <w:rPr>
            <w:rStyle w:val="Hyperlink"/>
            <w:rFonts w:ascii="幼圆" w:eastAsia="幼圆" w:hAnsi="幼圆" w:cs="幼圆" w:hint="eastAsia"/>
            <w:color w:val="auto"/>
            <w:sz w:val="24"/>
            <w:szCs w:val="24"/>
            <w:highlight w:val="none"/>
            <w:shd w:val="clear" w:color="auto" w:fill="auto"/>
          </w:rPr>
          <w:t xml:space="preserve">1.3  </w:t>
        </w:r>
        <w:r>
          <w:rPr>
            <w:rStyle w:val="Hyperlink"/>
            <w:rFonts w:ascii="幼圆" w:eastAsia="幼圆" w:hAnsi="幼圆" w:cs="幼圆" w:hint="eastAsia"/>
            <w:color w:val="auto"/>
            <w:sz w:val="24"/>
            <w:szCs w:val="24"/>
            <w:highlight w:val="none"/>
            <w:shd w:val="clear" w:color="auto" w:fill="auto"/>
          </w:rPr>
          <w:t>本研究的主要内容</w:t>
        </w:r>
        <w:r>
          <w:rPr>
            <w:rFonts w:ascii="幼圆" w:eastAsia="幼圆" w:hAnsi="幼圆" w:cs="幼圆" w:hint="eastAsia"/>
            <w:color w:val="auto"/>
            <w:sz w:val="24"/>
            <w:szCs w:val="24"/>
            <w:highlight w:val="none"/>
            <w:shd w:val="clear" w:color="auto" w:fill="auto"/>
          </w:rPr>
          <w:tab/>
        </w:r>
        <w:r>
          <w:rPr>
            <w:rFonts w:ascii="幼圆" w:eastAsia="幼圆" w:hAnsi="幼圆" w:cs="幼圆" w:hint="eastAsia"/>
            <w:color w:val="auto"/>
            <w:sz w:val="24"/>
            <w:szCs w:val="24"/>
            <w:highlight w:val="none"/>
            <w:shd w:val="clear" w:color="auto" w:fill="auto"/>
            <w:lang w:val="en-US" w:eastAsia="zh-CN"/>
          </w:rPr>
          <w:t>3</w:t>
        </w:r>
      </w:hyperlink>
    </w:p>
    <w:p>
      <w:pPr>
        <w:pStyle w:val="TOC1"/>
        <w:tabs>
          <w:tab w:val="right" w:leader="dot" w:pos="8324"/>
        </w:tabs>
        <w:spacing w:line="360" w:lineRule="auto"/>
        <w:rPr>
          <w:rFonts w:ascii="幼圆" w:eastAsia="幼圆" w:hAnsi="幼圆" w:cs="幼圆" w:hint="eastAsia"/>
          <w:sz w:val="24"/>
          <w:szCs w:val="24"/>
          <w:highlight w:val="none"/>
          <w:shd w:val="clear" w:color="auto" w:fill="auto"/>
        </w:rPr>
      </w:pPr>
      <w:hyperlink w:anchor="_Toc389750150" w:history="1">
        <w:r>
          <w:rPr>
            <w:rStyle w:val="Hyperlink"/>
            <w:rFonts w:ascii="幼圆" w:eastAsia="幼圆" w:hAnsi="幼圆" w:cs="幼圆" w:hint="eastAsia"/>
            <w:color w:val="auto"/>
            <w:sz w:val="24"/>
            <w:szCs w:val="24"/>
            <w:highlight w:val="none"/>
            <w:shd w:val="clear" w:color="auto" w:fill="auto"/>
          </w:rPr>
          <w:t xml:space="preserve">2  </w:t>
        </w:r>
        <w:r>
          <w:rPr>
            <w:rStyle w:val="Hyperlink"/>
            <w:rFonts w:ascii="幼圆" w:eastAsia="幼圆" w:hAnsi="幼圆" w:cs="幼圆" w:hint="eastAsia"/>
            <w:color w:val="auto"/>
            <w:sz w:val="24"/>
            <w:szCs w:val="24"/>
            <w:highlight w:val="none"/>
            <w:shd w:val="clear" w:color="auto" w:fill="auto"/>
            <w:lang w:val="en-US" w:eastAsia="zh-CN"/>
          </w:rPr>
          <w:t>中澳农产品贸易现状以及中澳农产品国际竞争力分析</w:t>
        </w:r>
        <w:r>
          <w:rPr>
            <w:rFonts w:ascii="幼圆" w:eastAsia="幼圆" w:hAnsi="幼圆" w:cs="幼圆" w:hint="eastAsia"/>
            <w:color w:val="auto"/>
            <w:sz w:val="24"/>
            <w:szCs w:val="24"/>
            <w:highlight w:val="none"/>
            <w:shd w:val="clear" w:color="auto" w:fill="auto"/>
          </w:rPr>
          <w:tab/>
        </w:r>
        <w:r>
          <w:rPr>
            <w:rFonts w:ascii="幼圆" w:eastAsia="幼圆" w:hAnsi="幼圆" w:cs="幼圆" w:hint="eastAsia"/>
            <w:color w:val="auto"/>
            <w:sz w:val="24"/>
            <w:szCs w:val="24"/>
            <w:highlight w:val="none"/>
            <w:shd w:val="clear" w:color="auto" w:fill="auto"/>
          </w:rPr>
          <w:fldChar w:fldCharType="begin"/>
        </w:r>
        <w:r>
          <w:rPr>
            <w:rFonts w:ascii="幼圆" w:eastAsia="幼圆" w:hAnsi="幼圆" w:cs="幼圆" w:hint="eastAsia"/>
            <w:color w:val="auto"/>
            <w:sz w:val="24"/>
            <w:szCs w:val="24"/>
            <w:highlight w:val="none"/>
            <w:shd w:val="clear" w:color="auto" w:fill="auto"/>
          </w:rPr>
          <w:instrText xml:space="preserve"> PAGEREF _Toc389750150 \h </w:instrText>
        </w:r>
        <w:r>
          <w:rPr>
            <w:rFonts w:ascii="幼圆" w:eastAsia="幼圆" w:hAnsi="幼圆" w:cs="幼圆" w:hint="eastAsia"/>
            <w:color w:val="auto"/>
            <w:sz w:val="24"/>
            <w:szCs w:val="24"/>
            <w:highlight w:val="none"/>
            <w:shd w:val="clear" w:color="auto" w:fill="auto"/>
          </w:rPr>
          <w:fldChar w:fldCharType="separate"/>
        </w:r>
        <w:r>
          <w:rPr>
            <w:rFonts w:ascii="幼圆" w:eastAsia="幼圆" w:hAnsi="幼圆" w:cs="幼圆" w:hint="eastAsia"/>
            <w:color w:val="auto"/>
            <w:sz w:val="24"/>
            <w:szCs w:val="24"/>
            <w:highlight w:val="none"/>
            <w:shd w:val="clear" w:color="auto" w:fill="auto"/>
          </w:rPr>
          <w:t>3</w:t>
        </w:r>
        <w:r>
          <w:rPr>
            <w:rFonts w:ascii="幼圆" w:eastAsia="幼圆" w:hAnsi="幼圆" w:cs="幼圆" w:hint="eastAsia"/>
            <w:color w:val="auto"/>
            <w:sz w:val="24"/>
            <w:szCs w:val="24"/>
            <w:highlight w:val="none"/>
            <w:shd w:val="clear" w:color="auto" w:fill="auto"/>
          </w:rPr>
          <w:fldChar w:fldCharType="end"/>
        </w:r>
      </w:hyperlink>
    </w:p>
    <w:p>
      <w:pPr>
        <w:pStyle w:val="TOC2"/>
        <w:tabs>
          <w:tab w:val="right" w:leader="dot" w:pos="8324"/>
        </w:tabs>
        <w:spacing w:line="360" w:lineRule="auto"/>
        <w:ind w:left="439"/>
        <w:rPr>
          <w:rStyle w:val="Hyperlink"/>
          <w:rFonts w:ascii="幼圆" w:eastAsia="幼圆" w:hAnsi="幼圆" w:cs="幼圆" w:hint="eastAsia"/>
          <w:sz w:val="24"/>
          <w:szCs w:val="24"/>
          <w:highlight w:val="none"/>
          <w:shd w:val="clear" w:color="auto" w:fill="auto"/>
          <w:lang w:val="en-US" w:eastAsia="zh-CN"/>
        </w:rPr>
      </w:pPr>
      <w:r>
        <w:rPr>
          <w:rFonts w:ascii="幼圆" w:eastAsia="幼圆" w:hAnsi="幼圆" w:cs="幼圆" w:hint="eastAsia"/>
          <w:sz w:val="24"/>
          <w:szCs w:val="24"/>
          <w:highlight w:val="none"/>
          <w:shd w:val="clear" w:color="auto" w:fill="auto"/>
        </w:rPr>
        <w:fldChar w:fldCharType="begin"/>
      </w:r>
      <w:r>
        <w:rPr>
          <w:rFonts w:ascii="幼圆" w:eastAsia="幼圆" w:hAnsi="幼圆" w:cs="幼圆" w:hint="eastAsia"/>
          <w:sz w:val="24"/>
          <w:szCs w:val="24"/>
          <w:highlight w:val="none"/>
          <w:shd w:val="clear" w:color="auto" w:fill="auto"/>
        </w:rPr>
        <w:instrText xml:space="preserve"> HYPERLINK \l "_Toc389750153" </w:instrText>
      </w:r>
      <w:r>
        <w:rPr>
          <w:rFonts w:ascii="幼圆" w:eastAsia="幼圆" w:hAnsi="幼圆" w:cs="幼圆" w:hint="eastAsia"/>
          <w:sz w:val="24"/>
          <w:szCs w:val="24"/>
          <w:highlight w:val="none"/>
          <w:shd w:val="clear" w:color="auto" w:fill="auto"/>
        </w:rPr>
        <w:fldChar w:fldCharType="separate"/>
      </w:r>
      <w:r>
        <w:rPr>
          <w:rStyle w:val="Hyperlink"/>
          <w:rFonts w:ascii="幼圆" w:eastAsia="幼圆" w:hAnsi="幼圆" w:cs="幼圆" w:hint="eastAsia"/>
          <w:sz w:val="24"/>
          <w:szCs w:val="24"/>
          <w:highlight w:val="none"/>
          <w:shd w:val="clear" w:color="auto" w:fill="auto"/>
        </w:rPr>
        <w:t>2.</w:t>
      </w:r>
      <w:r>
        <w:rPr>
          <w:rStyle w:val="Hyperlink"/>
          <w:rFonts w:ascii="幼圆" w:eastAsia="幼圆" w:hAnsi="幼圆" w:cs="幼圆" w:hint="eastAsia"/>
          <w:sz w:val="24"/>
          <w:szCs w:val="24"/>
          <w:highlight w:val="none"/>
          <w:shd w:val="clear" w:color="auto" w:fill="auto"/>
          <w:lang w:val="en-US" w:eastAsia="zh-CN"/>
        </w:rPr>
        <w:t>1</w:t>
      </w:r>
      <w:r>
        <w:rPr>
          <w:rStyle w:val="Hyperlink"/>
          <w:rFonts w:ascii="幼圆" w:eastAsia="幼圆" w:hAnsi="幼圆" w:cs="幼圆" w:hint="eastAsia"/>
          <w:sz w:val="24"/>
          <w:szCs w:val="24"/>
          <w:highlight w:val="none"/>
          <w:shd w:val="clear" w:color="auto" w:fill="auto"/>
        </w:rPr>
        <w:t xml:space="preserve">  </w:t>
      </w:r>
      <w:r>
        <w:rPr>
          <w:rStyle w:val="Hyperlink"/>
          <w:rFonts w:ascii="幼圆" w:eastAsia="幼圆" w:hAnsi="幼圆" w:cs="幼圆" w:hint="eastAsia"/>
          <w:sz w:val="24"/>
          <w:szCs w:val="24"/>
          <w:highlight w:val="none"/>
          <w:shd w:val="clear" w:color="auto" w:fill="auto"/>
          <w:lang w:val="en-US" w:eastAsia="zh-CN"/>
        </w:rPr>
        <w:t>中国农产品贸易规模</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4</w:t>
      </w:r>
    </w:p>
    <w:p>
      <w:pPr>
        <w:pStyle w:val="TOC2"/>
        <w:tabs>
          <w:tab w:val="right" w:leader="dot" w:pos="8324"/>
        </w:tabs>
        <w:spacing w:line="360" w:lineRule="auto"/>
        <w:ind w:left="439"/>
        <w:rPr>
          <w:rStyle w:val="Hyperlink"/>
          <w:rFonts w:ascii="幼圆" w:eastAsia="幼圆" w:hAnsi="幼圆" w:cs="幼圆" w:hint="eastAsia"/>
          <w:sz w:val="24"/>
          <w:szCs w:val="24"/>
          <w:highlight w:val="none"/>
          <w:shd w:val="clear" w:color="auto" w:fill="auto"/>
          <w:lang w:val="en-US" w:eastAsia="zh-CN"/>
        </w:rPr>
      </w:pPr>
      <w:r>
        <w:rPr>
          <w:rStyle w:val="Hyperlink"/>
          <w:rFonts w:ascii="幼圆" w:eastAsia="幼圆" w:hAnsi="幼圆" w:cs="幼圆" w:hint="eastAsia"/>
          <w:sz w:val="24"/>
          <w:szCs w:val="24"/>
          <w:highlight w:val="none"/>
          <w:shd w:val="clear" w:color="auto" w:fill="auto"/>
          <w:lang w:val="en-US" w:eastAsia="zh-CN"/>
        </w:rPr>
        <w:t>2.2  中澳农产品贸易结构</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5</w:t>
      </w:r>
    </w:p>
    <w:p>
      <w:pPr>
        <w:pStyle w:val="TOC2"/>
        <w:tabs>
          <w:tab w:val="right" w:leader="dot" w:pos="8324"/>
        </w:tabs>
        <w:spacing w:line="360" w:lineRule="auto"/>
        <w:ind w:left="439"/>
        <w:rPr>
          <w:rFonts w:ascii="幼圆" w:eastAsia="幼圆" w:hAnsi="幼圆" w:cs="幼圆" w:hint="eastAsia"/>
          <w:sz w:val="24"/>
          <w:szCs w:val="24"/>
          <w:highlight w:val="none"/>
          <w:shd w:val="clear" w:color="auto" w:fill="auto"/>
          <w:lang w:val="en-US" w:eastAsia="zh-CN"/>
        </w:rPr>
      </w:pPr>
      <w:r>
        <w:rPr>
          <w:rFonts w:ascii="幼圆" w:eastAsia="幼圆" w:hAnsi="幼圆" w:cs="幼圆" w:hint="eastAsia"/>
          <w:sz w:val="24"/>
          <w:szCs w:val="24"/>
          <w:highlight w:val="none"/>
          <w:shd w:val="clear" w:color="auto" w:fill="auto"/>
          <w:lang w:val="en-US" w:eastAsia="zh-CN"/>
        </w:rPr>
        <w:t>2.3  中澳农产品国际竞争力分析</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6</w:t>
      </w:r>
      <w:r>
        <w:rPr>
          <w:rFonts w:ascii="幼圆" w:eastAsia="幼圆" w:hAnsi="幼圆" w:cs="幼圆" w:hint="eastAsia"/>
          <w:sz w:val="24"/>
          <w:szCs w:val="24"/>
          <w:highlight w:val="none"/>
          <w:shd w:val="clear" w:color="auto" w:fill="auto"/>
        </w:rPr>
        <w:fldChar w:fldCharType="end"/>
      </w:r>
      <w:r>
        <w:rPr>
          <w:rFonts w:ascii="幼圆" w:eastAsia="幼圆" w:hAnsi="幼圆" w:cs="幼圆" w:hint="eastAsia"/>
          <w:sz w:val="24"/>
          <w:szCs w:val="24"/>
          <w:highlight w:val="none"/>
          <w:shd w:val="clear" w:color="auto" w:fill="auto"/>
          <w:lang w:val="en-US" w:eastAsia="zh-CN"/>
        </w:rPr>
        <w:t xml:space="preserve"> </w:t>
      </w:r>
    </w:p>
    <w:p>
      <w:pPr>
        <w:pStyle w:val="TOC1"/>
        <w:tabs>
          <w:tab w:val="right" w:leader="dot" w:pos="8324"/>
        </w:tabs>
        <w:spacing w:line="360" w:lineRule="auto"/>
        <w:rPr>
          <w:rFonts w:ascii="幼圆" w:eastAsia="幼圆" w:hAnsi="幼圆" w:cs="幼圆" w:hint="eastAsia"/>
          <w:sz w:val="24"/>
          <w:szCs w:val="24"/>
          <w:highlight w:val="none"/>
          <w:shd w:val="clear" w:color="auto" w:fill="auto"/>
        </w:rPr>
      </w:pPr>
      <w:hyperlink w:anchor="_Toc389750154" w:history="1">
        <w:r>
          <w:rPr>
            <w:rStyle w:val="Hyperlink"/>
            <w:rFonts w:ascii="幼圆" w:eastAsia="幼圆" w:hAnsi="幼圆" w:cs="幼圆" w:hint="eastAsia"/>
            <w:sz w:val="24"/>
            <w:szCs w:val="24"/>
            <w:highlight w:val="none"/>
            <w:shd w:val="clear" w:color="auto" w:fill="auto"/>
          </w:rPr>
          <w:t xml:space="preserve">3  </w:t>
        </w:r>
        <w:r>
          <w:rPr>
            <w:rStyle w:val="Hyperlink"/>
            <w:rFonts w:ascii="幼圆" w:eastAsia="幼圆" w:hAnsi="幼圆" w:cs="幼圆" w:hint="eastAsia"/>
            <w:sz w:val="24"/>
            <w:szCs w:val="24"/>
            <w:highlight w:val="none"/>
            <w:shd w:val="clear" w:color="auto" w:fill="auto"/>
            <w:lang w:val="en-US" w:eastAsia="zh-CN"/>
          </w:rPr>
          <w:t>影响中澳农产品贸易发展的因素</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7</w:t>
        </w:r>
      </w:hyperlink>
    </w:p>
    <w:p>
      <w:pPr>
        <w:pStyle w:val="TOC2"/>
        <w:tabs>
          <w:tab w:val="right" w:leader="dot" w:pos="8324"/>
        </w:tabs>
        <w:spacing w:line="360" w:lineRule="auto"/>
        <w:ind w:left="439"/>
        <w:rPr>
          <w:rFonts w:ascii="幼圆" w:eastAsia="幼圆" w:hAnsi="幼圆" w:cs="幼圆" w:hint="eastAsia"/>
          <w:sz w:val="24"/>
          <w:szCs w:val="24"/>
          <w:highlight w:val="none"/>
          <w:shd w:val="clear" w:color="auto" w:fill="auto"/>
        </w:rPr>
      </w:pPr>
      <w:hyperlink w:anchor="_Toc389750155" w:history="1">
        <w:r>
          <w:rPr>
            <w:rStyle w:val="Hyperlink"/>
            <w:rFonts w:ascii="幼圆" w:eastAsia="幼圆" w:hAnsi="幼圆" w:cs="幼圆" w:hint="eastAsia"/>
            <w:sz w:val="24"/>
            <w:szCs w:val="24"/>
            <w:highlight w:val="none"/>
            <w:shd w:val="clear" w:color="auto" w:fill="auto"/>
          </w:rPr>
          <w:t xml:space="preserve">3.1  </w:t>
        </w:r>
        <w:r>
          <w:rPr>
            <w:rStyle w:val="Hyperlink"/>
            <w:rFonts w:ascii="幼圆" w:eastAsia="幼圆" w:hAnsi="幼圆" w:cs="幼圆" w:hint="eastAsia"/>
            <w:sz w:val="24"/>
            <w:szCs w:val="24"/>
            <w:highlight w:val="none"/>
            <w:shd w:val="clear" w:color="auto" w:fill="auto"/>
            <w:lang w:val="en-US" w:eastAsia="zh-CN"/>
          </w:rPr>
          <w:t>中澳农产品贸易壁垒</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8</w:t>
        </w:r>
      </w:hyperlink>
    </w:p>
    <w:p>
      <w:pPr>
        <w:pStyle w:val="TOC2"/>
        <w:tabs>
          <w:tab w:val="right" w:leader="dot" w:pos="8324"/>
        </w:tabs>
        <w:spacing w:line="360" w:lineRule="auto"/>
        <w:ind w:left="439"/>
        <w:rPr>
          <w:rFonts w:ascii="幼圆" w:eastAsia="幼圆" w:hAnsi="幼圆" w:cs="幼圆" w:hint="eastAsia"/>
          <w:sz w:val="24"/>
          <w:szCs w:val="24"/>
          <w:highlight w:val="none"/>
          <w:shd w:val="clear" w:color="auto" w:fill="auto"/>
          <w:lang w:val="en-US" w:eastAsia="zh-CN"/>
        </w:rPr>
      </w:pPr>
      <w:hyperlink w:anchor="_Toc389750156" w:history="1">
        <w:r>
          <w:rPr>
            <w:rStyle w:val="Hyperlink"/>
            <w:rFonts w:ascii="幼圆" w:eastAsia="幼圆" w:hAnsi="幼圆" w:cs="幼圆" w:hint="eastAsia"/>
            <w:sz w:val="24"/>
            <w:szCs w:val="24"/>
            <w:highlight w:val="none"/>
            <w:shd w:val="clear" w:color="auto" w:fill="auto"/>
          </w:rPr>
          <w:t xml:space="preserve">3.2  </w:t>
        </w:r>
        <w:r>
          <w:rPr>
            <w:rStyle w:val="Hyperlink"/>
            <w:rFonts w:ascii="幼圆" w:eastAsia="幼圆" w:hAnsi="幼圆" w:cs="幼圆" w:hint="eastAsia"/>
            <w:sz w:val="24"/>
            <w:szCs w:val="24"/>
            <w:highlight w:val="none"/>
            <w:shd w:val="clear" w:color="auto" w:fill="auto"/>
            <w:lang w:val="en-US" w:eastAsia="zh-CN"/>
          </w:rPr>
          <w:t>我国农产品国际竞争力弱</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9</w:t>
        </w:r>
      </w:hyperlink>
    </w:p>
    <w:p>
      <w:pPr>
        <w:pStyle w:val="TOC2"/>
        <w:tabs>
          <w:tab w:val="right" w:leader="dot" w:pos="8324"/>
        </w:tabs>
        <w:spacing w:line="360" w:lineRule="auto"/>
        <w:rPr>
          <w:rFonts w:ascii="幼圆" w:eastAsia="幼圆" w:hAnsi="幼圆" w:cs="幼圆" w:hint="eastAsia"/>
          <w:sz w:val="24"/>
          <w:szCs w:val="24"/>
          <w:highlight w:val="none"/>
          <w:shd w:val="clear" w:color="auto" w:fill="auto"/>
          <w:lang w:val="en-US" w:eastAsia="zh-CN"/>
        </w:rPr>
      </w:pPr>
      <w:hyperlink w:anchor="_Toc389750157" w:history="1">
        <w:r>
          <w:rPr>
            <w:rStyle w:val="Hyperlink"/>
            <w:rFonts w:ascii="幼圆" w:eastAsia="幼圆" w:hAnsi="幼圆" w:cs="幼圆" w:hint="eastAsia"/>
            <w:sz w:val="24"/>
            <w:szCs w:val="24"/>
            <w:highlight w:val="none"/>
            <w:shd w:val="clear" w:color="auto" w:fill="auto"/>
            <w:lang w:val="en-US" w:eastAsia="zh-CN"/>
          </w:rPr>
          <w:t>3.3  中澳外交关系不稳定</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1</w:t>
        </w:r>
      </w:hyperlink>
      <w:r>
        <w:rPr>
          <w:rFonts w:ascii="幼圆" w:eastAsia="幼圆" w:hAnsi="幼圆" w:cs="幼圆" w:hint="eastAsia"/>
          <w:sz w:val="24"/>
          <w:szCs w:val="24"/>
          <w:highlight w:val="none"/>
          <w:shd w:val="clear" w:color="auto" w:fill="auto"/>
          <w:lang w:val="en-US" w:eastAsia="zh-CN"/>
        </w:rPr>
        <w:t>0</w:t>
      </w:r>
    </w:p>
    <w:p>
      <w:pPr>
        <w:pStyle w:val="TOC1"/>
        <w:tabs>
          <w:tab w:val="right" w:leader="dot" w:pos="8324"/>
        </w:tabs>
        <w:spacing w:line="360" w:lineRule="auto"/>
        <w:rPr>
          <w:rFonts w:ascii="幼圆" w:eastAsia="幼圆" w:hAnsi="幼圆" w:cs="幼圆" w:hint="eastAsia"/>
          <w:sz w:val="24"/>
          <w:szCs w:val="24"/>
          <w:highlight w:val="none"/>
          <w:shd w:val="clear" w:color="auto" w:fill="auto"/>
          <w:lang w:val="en-US" w:eastAsia="zh-CN"/>
        </w:rPr>
      </w:pPr>
      <w:hyperlink w:anchor="_Toc389750162" w:history="1">
        <w:r>
          <w:rPr>
            <w:rFonts w:ascii="幼圆" w:eastAsia="幼圆" w:hAnsi="幼圆" w:cs="幼圆" w:hint="eastAsia"/>
            <w:sz w:val="24"/>
            <w:szCs w:val="24"/>
            <w:highlight w:val="none"/>
            <w:shd w:val="clear" w:color="auto" w:fill="auto"/>
            <w:lang w:val="en-US" w:eastAsia="zh-CN"/>
          </w:rPr>
          <w:t xml:space="preserve">4   </w:t>
        </w:r>
        <w:r>
          <w:rPr>
            <w:rStyle w:val="Hyperlink"/>
            <w:rFonts w:ascii="幼圆" w:eastAsia="幼圆" w:hAnsi="幼圆" w:cs="幼圆" w:hint="eastAsia"/>
            <w:sz w:val="24"/>
            <w:szCs w:val="24"/>
            <w:highlight w:val="none"/>
            <w:shd w:val="clear" w:color="auto" w:fill="auto"/>
            <w:lang w:val="en-US" w:eastAsia="zh-CN"/>
          </w:rPr>
          <w:t>促进中国对澳洲农产品贸易的对策</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1</w:t>
        </w:r>
      </w:hyperlink>
      <w:r>
        <w:rPr>
          <w:rFonts w:ascii="幼圆" w:eastAsia="幼圆" w:hAnsi="幼圆" w:cs="幼圆" w:hint="eastAsia"/>
          <w:sz w:val="24"/>
          <w:szCs w:val="24"/>
          <w:highlight w:val="none"/>
          <w:shd w:val="clear" w:color="auto" w:fill="auto"/>
          <w:lang w:val="en-US" w:eastAsia="zh-CN"/>
        </w:rPr>
        <w:t>1</w:t>
      </w:r>
    </w:p>
    <w:p>
      <w:pPr>
        <w:pStyle w:val="TOC2"/>
        <w:tabs>
          <w:tab w:val="right" w:leader="dot" w:pos="8324"/>
        </w:tabs>
        <w:spacing w:line="360" w:lineRule="auto"/>
        <w:ind w:left="439"/>
        <w:rPr>
          <w:rFonts w:ascii="幼圆" w:eastAsia="幼圆" w:hAnsi="幼圆" w:cs="幼圆" w:hint="eastAsia"/>
          <w:sz w:val="24"/>
          <w:szCs w:val="24"/>
          <w:highlight w:val="none"/>
          <w:shd w:val="clear" w:color="auto" w:fill="auto"/>
          <w:lang w:val="en-US" w:eastAsia="zh-CN"/>
        </w:rPr>
      </w:pPr>
      <w:hyperlink w:anchor="_Toc389750163" w:history="1">
        <w:r>
          <w:rPr>
            <w:rFonts w:ascii="幼圆" w:eastAsia="幼圆" w:hAnsi="幼圆" w:cs="幼圆" w:hint="eastAsia"/>
            <w:sz w:val="24"/>
            <w:szCs w:val="24"/>
            <w:highlight w:val="none"/>
            <w:shd w:val="clear" w:color="auto" w:fill="auto"/>
            <w:lang w:val="en-US" w:eastAsia="zh-CN"/>
          </w:rPr>
          <w:t>4</w:t>
        </w:r>
        <w:r>
          <w:rPr>
            <w:rStyle w:val="Hyperlink"/>
            <w:rFonts w:ascii="幼圆" w:eastAsia="幼圆" w:hAnsi="幼圆" w:cs="幼圆" w:hint="eastAsia"/>
            <w:sz w:val="24"/>
            <w:szCs w:val="24"/>
            <w:highlight w:val="none"/>
            <w:shd w:val="clear" w:color="auto" w:fill="auto"/>
          </w:rPr>
          <w:t xml:space="preserve">.1  </w:t>
        </w:r>
        <w:r>
          <w:rPr>
            <w:rStyle w:val="Hyperlink"/>
            <w:rFonts w:ascii="幼圆" w:eastAsia="幼圆" w:hAnsi="幼圆" w:cs="幼圆" w:hint="eastAsia"/>
            <w:sz w:val="24"/>
            <w:szCs w:val="24"/>
            <w:highlight w:val="none"/>
            <w:shd w:val="clear" w:color="auto" w:fill="auto"/>
            <w:lang w:val="en-US" w:eastAsia="zh-CN"/>
          </w:rPr>
          <w:t>互利共赢逐渐消除两国贸易壁垒实现双赢</w:t>
        </w:r>
        <w:r>
          <w:rPr>
            <w:rFonts w:ascii="幼圆" w:eastAsia="幼圆" w:hAnsi="幼圆" w:cs="幼圆" w:hint="eastAsia"/>
            <w:sz w:val="24"/>
            <w:szCs w:val="24"/>
            <w:highlight w:val="none"/>
            <w:shd w:val="clear" w:color="auto" w:fill="auto"/>
          </w:rPr>
          <w:tab/>
        </w:r>
      </w:hyperlink>
      <w:r>
        <w:rPr>
          <w:rFonts w:ascii="幼圆" w:eastAsia="幼圆" w:hAnsi="幼圆" w:cs="幼圆" w:hint="eastAsia"/>
          <w:sz w:val="24"/>
          <w:szCs w:val="24"/>
          <w:highlight w:val="none"/>
          <w:shd w:val="clear" w:color="auto" w:fill="auto"/>
          <w:lang w:val="en-US" w:eastAsia="zh-CN"/>
        </w:rPr>
        <w:t>11</w:t>
      </w:r>
    </w:p>
    <w:p>
      <w:pPr>
        <w:pStyle w:val="TOC2"/>
        <w:tabs>
          <w:tab w:val="right" w:leader="dot" w:pos="8324"/>
        </w:tabs>
        <w:spacing w:line="360" w:lineRule="auto"/>
        <w:ind w:left="439"/>
        <w:rPr>
          <w:rFonts w:ascii="幼圆" w:eastAsia="幼圆" w:hAnsi="幼圆" w:cs="幼圆" w:hint="eastAsia"/>
          <w:sz w:val="24"/>
          <w:szCs w:val="24"/>
          <w:highlight w:val="none"/>
          <w:shd w:val="clear" w:color="auto" w:fill="auto"/>
          <w:lang w:val="en-US" w:eastAsia="zh-CN"/>
        </w:rPr>
      </w:pPr>
      <w:hyperlink w:anchor="_Toc389750164" w:history="1">
        <w:r>
          <w:rPr>
            <w:rFonts w:ascii="幼圆" w:eastAsia="幼圆" w:hAnsi="幼圆" w:cs="幼圆" w:hint="eastAsia"/>
            <w:sz w:val="24"/>
            <w:szCs w:val="24"/>
            <w:highlight w:val="none"/>
            <w:shd w:val="clear" w:color="auto" w:fill="auto"/>
            <w:lang w:val="en-US" w:eastAsia="zh-CN"/>
          </w:rPr>
          <w:t>4</w:t>
        </w:r>
        <w:r>
          <w:rPr>
            <w:rStyle w:val="Hyperlink"/>
            <w:rFonts w:ascii="幼圆" w:eastAsia="幼圆" w:hAnsi="幼圆" w:cs="幼圆" w:hint="eastAsia"/>
            <w:sz w:val="24"/>
            <w:szCs w:val="24"/>
            <w:highlight w:val="none"/>
            <w:shd w:val="clear" w:color="auto" w:fill="auto"/>
          </w:rPr>
          <w:t xml:space="preserve">.2  </w:t>
        </w:r>
        <w:r>
          <w:rPr>
            <w:rStyle w:val="Hyperlink"/>
            <w:rFonts w:ascii="幼圆" w:eastAsia="幼圆" w:hAnsi="幼圆" w:cs="幼圆" w:hint="eastAsia"/>
            <w:sz w:val="24"/>
            <w:szCs w:val="24"/>
            <w:highlight w:val="none"/>
            <w:shd w:val="clear" w:color="auto" w:fill="auto"/>
            <w:lang w:val="en-US" w:eastAsia="zh-CN"/>
          </w:rPr>
          <w:t>优化调整进口结构，提高我国农产品国际竞争力</w:t>
        </w:r>
        <w:r>
          <w:rPr>
            <w:rFonts w:ascii="幼圆" w:eastAsia="幼圆" w:hAnsi="幼圆" w:cs="幼圆" w:hint="eastAsia"/>
            <w:sz w:val="24"/>
            <w:szCs w:val="24"/>
            <w:highlight w:val="none"/>
            <w:shd w:val="clear" w:color="auto" w:fill="auto"/>
          </w:rPr>
          <w:tab/>
        </w:r>
      </w:hyperlink>
      <w:r>
        <w:rPr>
          <w:rFonts w:ascii="幼圆" w:eastAsia="幼圆" w:hAnsi="幼圆" w:cs="幼圆" w:hint="eastAsia"/>
          <w:sz w:val="24"/>
          <w:szCs w:val="24"/>
          <w:highlight w:val="none"/>
          <w:shd w:val="clear" w:color="auto" w:fill="auto"/>
          <w:lang w:val="en-US" w:eastAsia="zh-CN"/>
        </w:rPr>
        <w:t>12</w:t>
      </w:r>
    </w:p>
    <w:p>
      <w:pPr>
        <w:pStyle w:val="TOC2"/>
        <w:tabs>
          <w:tab w:val="right" w:leader="dot" w:pos="8324"/>
        </w:tabs>
        <w:spacing w:line="360" w:lineRule="auto"/>
        <w:ind w:left="439"/>
        <w:rPr>
          <w:rFonts w:ascii="幼圆" w:eastAsia="幼圆" w:hAnsi="幼圆" w:cs="幼圆" w:hint="eastAsia"/>
          <w:sz w:val="24"/>
          <w:szCs w:val="24"/>
          <w:highlight w:val="none"/>
          <w:shd w:val="clear" w:color="auto" w:fill="auto"/>
          <w:lang w:val="en-US" w:eastAsia="zh-CN"/>
        </w:rPr>
      </w:pPr>
      <w:r>
        <w:rPr>
          <w:rFonts w:ascii="幼圆" w:eastAsia="幼圆" w:hAnsi="幼圆" w:cs="幼圆" w:hint="eastAsia"/>
          <w:sz w:val="24"/>
          <w:szCs w:val="24"/>
          <w:highlight w:val="none"/>
          <w:shd w:val="clear" w:color="auto" w:fill="auto"/>
        </w:rPr>
        <w:fldChar w:fldCharType="begin"/>
      </w:r>
      <w:r>
        <w:rPr>
          <w:rFonts w:ascii="幼圆" w:eastAsia="幼圆" w:hAnsi="幼圆" w:cs="幼圆" w:hint="eastAsia"/>
          <w:sz w:val="24"/>
          <w:szCs w:val="24"/>
          <w:highlight w:val="none"/>
          <w:shd w:val="clear" w:color="auto" w:fill="auto"/>
        </w:rPr>
        <w:instrText xml:space="preserve"> HYPERLINK \l "_Toc389750165" </w:instrText>
      </w:r>
      <w:r>
        <w:rPr>
          <w:rFonts w:ascii="幼圆" w:eastAsia="幼圆" w:hAnsi="幼圆" w:cs="幼圆" w:hint="eastAsia"/>
          <w:sz w:val="24"/>
          <w:szCs w:val="24"/>
          <w:highlight w:val="none"/>
          <w:shd w:val="clear" w:color="auto" w:fill="auto"/>
        </w:rPr>
        <w:fldChar w:fldCharType="separate"/>
      </w:r>
      <w:r>
        <w:rPr>
          <w:rFonts w:ascii="幼圆" w:eastAsia="幼圆" w:hAnsi="幼圆" w:cs="幼圆" w:hint="eastAsia"/>
          <w:sz w:val="24"/>
          <w:szCs w:val="24"/>
          <w:highlight w:val="none"/>
          <w:shd w:val="clear" w:color="auto" w:fill="auto"/>
          <w:lang w:val="en-US" w:eastAsia="zh-CN"/>
        </w:rPr>
        <w:t>4</w:t>
      </w:r>
      <w:r>
        <w:rPr>
          <w:rStyle w:val="Hyperlink"/>
          <w:rFonts w:ascii="幼圆" w:eastAsia="幼圆" w:hAnsi="幼圆" w:cs="幼圆" w:hint="eastAsia"/>
          <w:sz w:val="24"/>
          <w:szCs w:val="24"/>
          <w:highlight w:val="none"/>
          <w:shd w:val="clear" w:color="auto" w:fill="auto"/>
        </w:rPr>
        <w:t xml:space="preserve">.3  </w:t>
      </w:r>
      <w:r>
        <w:rPr>
          <w:rStyle w:val="Hyperlink"/>
          <w:rFonts w:ascii="幼圆" w:eastAsia="幼圆" w:hAnsi="幼圆" w:cs="幼圆" w:hint="eastAsia"/>
          <w:sz w:val="24"/>
          <w:szCs w:val="24"/>
          <w:highlight w:val="none"/>
          <w:shd w:val="clear" w:color="auto" w:fill="auto"/>
          <w:lang w:val="en-US" w:eastAsia="zh-CN"/>
        </w:rPr>
        <w:t>深化双边贸易合作交流，积极转变我国贸易逆差地位</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12</w:t>
      </w:r>
    </w:p>
    <w:p>
      <w:pPr>
        <w:pStyle w:val="TOC2"/>
        <w:tabs>
          <w:tab w:val="right" w:leader="dot" w:pos="8324"/>
        </w:tabs>
        <w:spacing w:line="360" w:lineRule="auto"/>
        <w:ind w:left="0" w:firstLine="0" w:leftChars="0" w:firstLineChars="0"/>
        <w:rPr>
          <w:rFonts w:ascii="幼圆" w:eastAsia="幼圆" w:hAnsi="幼圆" w:cs="幼圆" w:hint="eastAsia"/>
          <w:sz w:val="24"/>
          <w:szCs w:val="24"/>
          <w:highlight w:val="none"/>
          <w:shd w:val="clear" w:color="auto" w:fill="auto"/>
          <w:lang w:val="en-US" w:eastAsia="zh-CN"/>
        </w:rPr>
      </w:pPr>
      <w:r>
        <w:rPr>
          <w:rFonts w:ascii="幼圆" w:eastAsia="幼圆" w:hAnsi="幼圆" w:cs="幼圆" w:hint="eastAsia"/>
          <w:sz w:val="24"/>
          <w:szCs w:val="24"/>
          <w:highlight w:val="none"/>
          <w:shd w:val="clear" w:color="auto" w:fill="auto"/>
        </w:rPr>
        <w:fldChar w:fldCharType="end"/>
      </w:r>
      <w:hyperlink w:anchor="_Toc389750166" w:history="1">
        <w:r>
          <w:rPr>
            <w:rFonts w:ascii="幼圆" w:eastAsia="幼圆" w:hAnsi="幼圆" w:cs="幼圆" w:hint="eastAsia"/>
            <w:sz w:val="24"/>
            <w:szCs w:val="24"/>
            <w:highlight w:val="none"/>
            <w:shd w:val="clear" w:color="auto" w:fill="auto"/>
            <w:lang w:val="en-US" w:eastAsia="zh-CN"/>
          </w:rPr>
          <w:t>5</w:t>
        </w:r>
        <w:r>
          <w:rPr>
            <w:rStyle w:val="Hyperlink"/>
            <w:rFonts w:ascii="幼圆" w:eastAsia="幼圆" w:hAnsi="幼圆" w:cs="幼圆" w:hint="eastAsia"/>
            <w:sz w:val="24"/>
            <w:szCs w:val="24"/>
            <w:highlight w:val="none"/>
            <w:shd w:val="clear" w:color="auto" w:fill="auto"/>
          </w:rPr>
          <w:t xml:space="preserve">  </w:t>
        </w:r>
        <w:r>
          <w:rPr>
            <w:rStyle w:val="Hyperlink"/>
            <w:rFonts w:ascii="幼圆" w:eastAsia="幼圆" w:hAnsi="幼圆" w:cs="幼圆" w:hint="eastAsia"/>
            <w:sz w:val="24"/>
            <w:szCs w:val="24"/>
            <w:highlight w:val="none"/>
            <w:shd w:val="clear" w:color="auto" w:fill="auto"/>
          </w:rPr>
          <w:t>结论</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1</w:t>
        </w:r>
      </w:hyperlink>
      <w:r>
        <w:rPr>
          <w:rFonts w:ascii="幼圆" w:eastAsia="幼圆" w:hAnsi="幼圆" w:cs="幼圆" w:hint="eastAsia"/>
          <w:sz w:val="24"/>
          <w:szCs w:val="24"/>
          <w:highlight w:val="none"/>
          <w:shd w:val="clear" w:color="auto" w:fill="auto"/>
          <w:lang w:val="en-US" w:eastAsia="zh-CN"/>
        </w:rPr>
        <w:t>3</w:t>
      </w:r>
    </w:p>
    <w:p>
      <w:pPr>
        <w:pStyle w:val="TOC1"/>
        <w:tabs>
          <w:tab w:val="right" w:leader="dot" w:pos="8324"/>
        </w:tabs>
        <w:spacing w:line="360" w:lineRule="auto"/>
        <w:rPr>
          <w:rFonts w:ascii="幼圆" w:eastAsia="幼圆" w:hAnsi="幼圆" w:cs="幼圆" w:hint="eastAsia"/>
          <w:sz w:val="24"/>
          <w:szCs w:val="24"/>
          <w:highlight w:val="none"/>
          <w:shd w:val="clear" w:color="auto" w:fill="auto"/>
          <w:lang w:val="en-US" w:eastAsia="zh-CN"/>
        </w:rPr>
      </w:pPr>
      <w:hyperlink w:anchor="_Toc389750167" w:history="1">
        <w:r>
          <w:rPr>
            <w:rStyle w:val="Hyperlink"/>
            <w:rFonts w:ascii="幼圆" w:eastAsia="幼圆" w:hAnsi="幼圆" w:cs="幼圆" w:hint="eastAsia"/>
            <w:sz w:val="24"/>
            <w:szCs w:val="24"/>
            <w:highlight w:val="none"/>
            <w:shd w:val="clear" w:color="auto" w:fill="auto"/>
          </w:rPr>
          <w:t>参考文献</w:t>
        </w:r>
        <w:r>
          <w:rPr>
            <w:rFonts w:ascii="幼圆" w:eastAsia="幼圆" w:hAnsi="幼圆" w:cs="幼圆" w:hint="eastAsia"/>
            <w:sz w:val="24"/>
            <w:szCs w:val="24"/>
            <w:highlight w:val="none"/>
            <w:shd w:val="clear" w:color="auto" w:fill="auto"/>
          </w:rPr>
          <w:tab/>
        </w:r>
        <w:r>
          <w:rPr>
            <w:rFonts w:ascii="幼圆" w:eastAsia="幼圆" w:hAnsi="幼圆" w:cs="幼圆" w:hint="eastAsia"/>
            <w:sz w:val="24"/>
            <w:szCs w:val="24"/>
            <w:highlight w:val="none"/>
            <w:shd w:val="clear" w:color="auto" w:fill="auto"/>
            <w:lang w:val="en-US" w:eastAsia="zh-CN"/>
          </w:rPr>
          <w:t>1</w:t>
        </w:r>
      </w:hyperlink>
      <w:r>
        <w:rPr>
          <w:rFonts w:ascii="幼圆" w:eastAsia="幼圆" w:hAnsi="幼圆" w:cs="幼圆" w:hint="eastAsia"/>
          <w:sz w:val="24"/>
          <w:szCs w:val="24"/>
          <w:highlight w:val="none"/>
          <w:shd w:val="clear" w:color="auto" w:fill="auto"/>
          <w:lang w:val="en-US" w:eastAsia="zh-CN"/>
        </w:rPr>
        <w:t>4</w:t>
      </w:r>
    </w:p>
    <w:p>
      <w:pPr>
        <w:pStyle w:val="785785"/>
        <w:spacing w:before="157" w:after="157" w:line="360" w:lineRule="auto"/>
        <w:jc w:val="both"/>
        <w:rPr>
          <w:rFonts w:ascii="幼圆" w:eastAsia="幼圆" w:hAnsi="幼圆" w:cs="幼圆" w:hint="eastAsia"/>
          <w:sz w:val="24"/>
          <w:szCs w:val="24"/>
          <w:lang w:val="en-US" w:eastAsia="zh-CN"/>
        </w:rPr>
      </w:pPr>
      <w:r>
        <w:rPr>
          <w:rFonts w:ascii="幼圆" w:eastAsia="幼圆" w:hAnsi="幼圆" w:cs="幼圆" w:hint="eastAsia"/>
          <w:sz w:val="24"/>
          <w:szCs w:val="24"/>
          <w:highlight w:val="none"/>
          <w:shd w:val="clear" w:color="auto" w:fill="auto"/>
        </w:rPr>
        <w:fldChar w:fldCharType="end"/>
      </w:r>
      <w:bookmarkStart w:id="5" w:name="_Toc389750146"/>
      <w:bookmarkStart w:id="6" w:name="_Toc133894552"/>
      <w:r>
        <w:rPr>
          <w:rFonts w:ascii="幼圆" w:eastAsia="幼圆" w:hAnsi="幼圆" w:cs="幼圆" w:hint="eastAsia"/>
          <w:sz w:val="24"/>
          <w:szCs w:val="24"/>
        </w:rPr>
        <w:t>1  前言</w:t>
      </w:r>
      <w:bookmarkEnd w:id="3"/>
      <w:bookmarkEnd w:id="4"/>
      <w:bookmarkEnd w:id="5"/>
      <w:bookmarkEnd w:id="6"/>
    </w:p>
    <w:p>
      <w:pPr>
        <w:pStyle w:val="3"/>
        <w:spacing w:line="360" w:lineRule="auto"/>
        <w:rPr>
          <w:rFonts w:ascii="幼圆" w:eastAsia="幼圆" w:hAnsi="幼圆" w:cs="幼圆" w:hint="eastAsia"/>
          <w:sz w:val="24"/>
          <w:szCs w:val="24"/>
        </w:rPr>
        <w:sectPr>
          <w:headerReference w:type="default" r:id="rId6"/>
          <w:footerReference w:type="default" r:id="rId7"/>
          <w:pgSz w:w="11907" w:h="16840"/>
          <w:pgMar w:top="2155" w:right="1361" w:bottom="2722" w:left="1361" w:header="1588" w:footer="2155" w:gutter="851"/>
          <w:pgBorders>
            <w:top w:val="none" w:sz="0" w:space="0" w:color="auto"/>
            <w:left w:val="none" w:sz="0" w:space="0" w:color="auto"/>
            <w:bottom w:val="none" w:sz="0" w:space="0" w:color="auto"/>
            <w:right w:val="none" w:sz="0" w:space="0" w:color="auto"/>
          </w:pgBorders>
          <w:pgNumType w:fmt="decimal" w:chapSep="enDash"/>
          <w:cols w:num="1" w:space="425"/>
          <w:docGrid w:type="linesAndChars" w:linePitch="314" w:charSpace="1907"/>
        </w:sectPr>
      </w:pPr>
      <w:bookmarkStart w:id="7" w:name="_Toc389750147"/>
      <w:r>
        <w:rPr>
          <w:rFonts w:ascii="幼圆" w:eastAsia="幼圆" w:hAnsi="幼圆" w:cs="幼圆" w:hint="eastAsia"/>
          <w:sz w:val="24"/>
          <w:szCs w:val="24"/>
        </w:rPr>
        <w:t>1.1  本研究的目的与意义</w:t>
      </w:r>
      <w:bookmarkEnd w:id="7"/>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color w:val="auto"/>
          <w:sz w:val="24"/>
          <w:szCs w:val="24"/>
          <w:lang w:val="en-US" w:eastAsia="zh-CN"/>
        </w:rPr>
        <w:t>本文的研究目的是希望通过对于近年来中澳两国双边农产品贸易</w:t>
      </w:r>
      <w:r>
        <w:rPr>
          <w:rFonts w:ascii="幼圆" w:eastAsia="幼圆" w:hAnsi="幼圆" w:cs="幼圆" w:hint="eastAsia"/>
          <w:b w:val="0"/>
          <w:bCs w:val="0"/>
          <w:color w:val="auto"/>
          <w:sz w:val="24"/>
          <w:szCs w:val="24"/>
          <w:lang w:val="en-US" w:eastAsia="zh-CN"/>
        </w:rPr>
        <w:t>的现状，以及国际竞争力的分析，得出影响中澳农产品贸易的因素，并对扩大中澳农产品贸易规模提出做相关建议。</w:t>
      </w:r>
      <w:r>
        <w:rPr>
          <w:rFonts w:ascii="幼圆" w:eastAsia="幼圆" w:hAnsi="幼圆" w:cs="幼圆" w:hint="eastAsia"/>
          <w:b w:val="0"/>
          <w:bCs w:val="0"/>
          <w:color w:val="auto"/>
          <w:sz w:val="24"/>
          <w:szCs w:val="24"/>
          <w:lang w:val="en-US" w:eastAsia="zh-CN"/>
        </w:rPr>
        <w:t>伴随着中澳自由贸易区FTA的建立。且于2015年签署了自由贸易协定，</w:t>
      </w:r>
      <w:r>
        <w:rPr>
          <w:rFonts w:ascii="幼圆" w:eastAsia="幼圆" w:hAnsi="幼圆" w:cs="幼圆" w:hint="eastAsia"/>
          <w:b w:val="0"/>
          <w:bCs w:val="0"/>
          <w:color w:val="auto"/>
          <w:sz w:val="24"/>
          <w:szCs w:val="24"/>
          <w:lang w:val="en-US" w:eastAsia="zh-CN"/>
        </w:rPr>
        <w:t>在这样的背景之下，能大大的促进两国之间的经贸合作以及能更好的推动两国经济的发展。澳大利亚将会有更多具有比较优势的产品，进入中国市场。但是，在中澳农业的发展严重不平衡的情况下，澳大利亚的农业生产机械化更高，而中国从事农业人口基本上能占到全国人口的三分之一，当自贸区完全建成，机械化程度高且竞争力更强的农产品将会给中国农产品带来难以抵挡的冲击，两国的贸易深度将会持续扩张，本文为了在保证互利共赢的基础上保护国内的农业不受冲击进行了分析和探讨。</w:t>
      </w: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color w:val="auto"/>
          <w:sz w:val="24"/>
          <w:szCs w:val="24"/>
          <w:lang w:val="en-US" w:eastAsia="zh-CN"/>
        </w:rPr>
        <w:t>中国经济的快速增长也影响着中澳双边农产品贸易，本文所研究的课题具有很明了的现实意义。中澳两国虽然同样是亚太地区农业大国，但是中国与澳洲农业发展水平差异还是比较大的，中国农业的主要生产方式为小农经营，相较于澳大利亚的高程度机械化竞争力比较弱。因此澳大利亚向中国出以及技术条件限制的情况下，对澳大利亚农产品的增长潜力有一定的限制。因此研究中澳农产品贸易不仅仅可以推动中澳经贸的发展，也可以间接的缓解国内农产品生产压力问题。</w:t>
      </w: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color w:val="auto"/>
          <w:sz w:val="24"/>
          <w:szCs w:val="24"/>
          <w:lang w:val="en-US" w:eastAsia="zh-CN"/>
        </w:rPr>
        <w:t>中国耕地较少人口众多，解决中国 13亿人口的温饱问题是关乎社会稳定的大问题。目前，由于我国资源和技术条件的制约，国内的生产力水平不足以满足全国人民对农业需求的满足，我们可以从澳大利亚进口来满足国内人民的农业产品的需求，因为澳大利亚是最大的农业产品净出口国。从满足国内群众对农产品需求和维护社会稳定的方向出发，研究中澳农产品贸易问题对保护我国13亿人的粮食安全问题具有重要的现实意义。</w:t>
      </w:r>
    </w:p>
    <w:p>
      <w:pPr>
        <w:spacing w:line="360" w:lineRule="auto"/>
        <w:ind w:firstLine="480" w:firstLineChars="200"/>
        <w:rPr>
          <w:rFonts w:ascii="幼圆" w:eastAsia="幼圆" w:hAnsi="幼圆" w:cs="幼圆" w:hint="eastAsia"/>
          <w:b w:val="0"/>
          <w:bCs w:val="0"/>
          <w:color w:val="auto"/>
          <w:sz w:val="24"/>
        </w:rPr>
        <w:sectPr>
          <w:headerReference w:type="default" r:id="rId8"/>
          <w:footerReference w:type="default" r:id="rId9"/>
          <w:type w:val="nextPage"/>
          <w:pgSz w:w="11907" w:h="16840"/>
          <w:pgMar w:top="2155" w:right="1361" w:bottom="2722" w:left="1361" w:header="1588" w:footer="2155" w:gutter="851"/>
          <w:pgBorders>
            <w:top w:val="none" w:sz="0" w:space="0" w:color="auto"/>
            <w:left w:val="none" w:sz="0" w:space="0" w:color="auto"/>
            <w:bottom w:val="none" w:sz="0" w:space="0" w:color="auto"/>
            <w:right w:val="none" w:sz="0" w:space="0" w:color="auto"/>
          </w:pgBorders>
          <w:pgNumType w:fmt="decimal" w:start="2" w:chapSep="enDash"/>
          <w:cols w:num="1" w:space="425"/>
          <w:titlePg w:val="0"/>
          <w:docGrid w:type="linesAndChars" w:linePitch="314" w:charSpace="1907"/>
        </w:sectPr>
      </w:pP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color w:val="auto"/>
          <w:sz w:val="24"/>
          <w:szCs w:val="24"/>
          <w:lang w:val="en-US" w:eastAsia="zh-CN"/>
        </w:rPr>
        <w:t>自中澳自贸区的建立以来，中澳间的农产品贸易也进入了一个全新的时期，在FTA的背景下，中澳农产品贸易会逐步上升到一个新的高度。但值得关注的是，虽然中澳两国同为亚太地区农业大国,但双方农业发展水平确差异巨大，中国农业生产方式是小农经济为主的所以比较落后，而澳大利亚是机械化程度很高的农业生产方式先进，其农产品会有很强的竞争力。</w:t>
      </w: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color w:val="auto"/>
          <w:sz w:val="24"/>
          <w:szCs w:val="24"/>
          <w:lang w:val="en-US" w:eastAsia="zh-CN"/>
        </w:rPr>
        <w:t>自贸区建立以来，澳大利亚对中国农产品出口优势越来越明显，潜力巨大。但中国在这样的关系中是处于劣势的，因为我国资源禀赋和技术条件的限制，所以对澳大利亚出口也是有一定的局限性的，因此在中澳FTA建立的背景之下，研究中澳农产品贸易具有很重要的现实意义。</w:t>
      </w:r>
    </w:p>
    <w:p>
      <w:pPr>
        <w:pStyle w:val="3"/>
        <w:spacing w:line="360" w:lineRule="auto"/>
        <w:rPr>
          <w:rFonts w:ascii="幼圆" w:eastAsia="幼圆" w:hAnsi="幼圆" w:cs="幼圆" w:hint="eastAsia"/>
          <w:b w:val="0"/>
          <w:bCs w:val="0"/>
          <w:sz w:val="24"/>
          <w:szCs w:val="24"/>
          <w:lang w:val="en-US" w:eastAsia="zh-CN"/>
        </w:rPr>
      </w:pPr>
      <w:bookmarkStart w:id="8" w:name="_Toc389750148"/>
      <w:r>
        <w:rPr>
          <w:rFonts w:ascii="幼圆" w:eastAsia="幼圆" w:hAnsi="幼圆" w:cs="幼圆" w:hint="eastAsia"/>
          <w:b w:val="0"/>
          <w:bCs w:val="0"/>
          <w:sz w:val="24"/>
          <w:szCs w:val="24"/>
        </w:rPr>
        <w:t>1.2  国内外研究文献综述</w:t>
      </w:r>
      <w:bookmarkEnd w:id="8"/>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1.2.1  国外研究文献综述</w:t>
      </w:r>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Verdoom</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 xml:space="preserve"> (1960)在考察比、荷、卢联盟内的贸易形式时最早发现产业内贸易这现象，他认为产业内贸易是“一国既出口又同时进口某种同类的产品”的贸易，即所谓的产业内贸易理论。</w:t>
      </w:r>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Michacl(1985)提出竞争优势理论,z在他看来，一个国家竞争力的提高，直接取决于其劳动生产率的提高。他提出一国的创新机制和创新能力是竞争优势的必备条件，并从微观角度解释了国际贸易问题。</w:t>
      </w:r>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Gorton</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2001</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从利益比较的角度出发，利用国内资源成本比率对波兰和匈牙利等国家的农产品贸易地位进行了测算</w:t>
      </w:r>
      <w:r>
        <w:rPr>
          <w:rFonts w:ascii="幼圆" w:eastAsia="幼圆" w:hAnsi="幼圆" w:cs="幼圆" w:hint="eastAsia"/>
          <w:b w:val="0"/>
          <w:bCs w:val="0"/>
          <w:sz w:val="24"/>
          <w:szCs w:val="24"/>
          <w:lang w:val="en-US" w:eastAsia="zh-CN"/>
        </w:rPr>
        <w:t>。</w:t>
      </w:r>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PeterGallagher</w:t>
      </w:r>
      <w:r>
        <w:rPr>
          <w:rFonts w:ascii="幼圆" w:eastAsia="幼圆" w:hAnsi="幼圆" w:cs="幼圆" w:hint="eastAsia"/>
          <w:b w:val="0"/>
          <w:bCs w:val="0"/>
          <w:sz w:val="24"/>
          <w:szCs w:val="24"/>
          <w:lang w:val="en-US" w:eastAsia="zh-CN"/>
        </w:rPr>
        <w:t xml:space="preserve"> (2004)站在澳大利亚学者的角度指出了中国国内的农业的发展现状以及政策要求</w:t>
      </w:r>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Gorton</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 xml:space="preserve"> </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2006):从更为直观的价格竞争力角度出发，通过计算1973-2002 年期间欧盟11 个成员国和美国农产品的相对价格分析了欧盟和美国之间的相对竞争力</w:t>
      </w:r>
      <w:r>
        <w:rPr>
          <w:rFonts w:ascii="幼圆" w:eastAsia="幼圆" w:hAnsi="幼圆" w:cs="幼圆" w:hint="eastAsia"/>
          <w:b w:val="0"/>
          <w:bCs w:val="0"/>
          <w:sz w:val="24"/>
          <w:szCs w:val="24"/>
          <w:lang w:val="en-US" w:eastAsia="zh-CN"/>
        </w:rPr>
        <w:t>.</w:t>
      </w:r>
    </w:p>
    <w:p>
      <w:pPr>
        <w:spacing w:line="360" w:lineRule="auto"/>
        <w:ind w:firstLine="480" w:firstLineChars="200"/>
        <w:rPr>
          <w:rFonts w:ascii="幼圆" w:eastAsia="幼圆" w:hAnsi="幼圆" w:cs="幼圆" w:hint="eastAsia"/>
          <w:b w:val="0"/>
          <w:bCs w:val="0"/>
          <w:sz w:val="24"/>
        </w:rPr>
        <w:sectPr>
          <w:headerReference w:type="default" r:id="rId10"/>
          <w:footerReference w:type="default" r:id="rId11"/>
          <w:type w:val="nextPage"/>
          <w:pgSz w:w="11907" w:h="16840"/>
          <w:pgMar w:top="2155" w:right="1361" w:bottom="2722" w:left="1361" w:header="1588" w:footer="2155" w:gutter="851"/>
          <w:pgBorders>
            <w:top w:val="none" w:sz="0" w:space="0" w:color="auto"/>
            <w:left w:val="none" w:sz="0" w:space="0" w:color="auto"/>
            <w:bottom w:val="none" w:sz="0" w:space="0" w:color="auto"/>
            <w:right w:val="none" w:sz="0" w:space="0" w:color="auto"/>
          </w:pgBorders>
          <w:pgNumType w:fmt="decimal" w:start="3" w:chapSep="enDash"/>
          <w:cols w:num="1" w:space="425"/>
          <w:titlePg w:val="0"/>
          <w:docGrid w:type="linesAndChars" w:linePitch="314" w:charSpace="1907"/>
        </w:sectPr>
      </w:pPr>
      <w:r>
        <w:rPr>
          <w:rFonts w:ascii="幼圆" w:eastAsia="幼圆" w:hAnsi="幼圆" w:cs="幼圆" w:hint="eastAsia"/>
          <w:b w:val="0"/>
          <w:bCs w:val="0"/>
          <w:sz w:val="24"/>
          <w:szCs w:val="24"/>
          <w:lang w:val="en-US" w:eastAsia="zh-CN"/>
        </w:rPr>
        <w:t>Zheng</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Saghaian and Reed</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2012)</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从国际</w:t>
      </w:r>
      <w:r>
        <w:rPr>
          <w:rFonts w:ascii="幼圆" w:eastAsia="幼圆" w:hAnsi="幼圆" w:cs="幼圆" w:hint="eastAsia"/>
          <w:b w:val="0"/>
          <w:bCs w:val="0"/>
          <w:sz w:val="24"/>
          <w:szCs w:val="24"/>
          <w:lang w:val="en-US" w:eastAsia="zh-CN"/>
        </w:rPr>
        <w:t>市场</w:t>
      </w:r>
      <w:r>
        <w:rPr>
          <w:rFonts w:ascii="幼圆" w:eastAsia="幼圆" w:hAnsi="幼圆" w:cs="幼圆" w:hint="eastAsia"/>
          <w:b w:val="0"/>
          <w:bCs w:val="0"/>
          <w:sz w:val="24"/>
          <w:szCs w:val="24"/>
          <w:lang w:val="en-US" w:eastAsia="zh-CN"/>
        </w:rPr>
        <w:t>上的</w:t>
      </w:r>
      <w:r>
        <w:rPr>
          <w:rFonts w:ascii="幼圆" w:eastAsia="幼圆" w:hAnsi="幼圆" w:cs="幼圆" w:hint="eastAsia"/>
          <w:b w:val="0"/>
          <w:bCs w:val="0"/>
          <w:sz w:val="24"/>
          <w:szCs w:val="24"/>
          <w:lang w:val="en-US" w:eastAsia="zh-CN"/>
        </w:rPr>
        <w:t>贸易表现出发</w:t>
      </w:r>
      <w:r>
        <w:rPr>
          <w:rFonts w:ascii="幼圆" w:eastAsia="幼圆" w:hAnsi="幼圆" w:cs="幼圆" w:hint="eastAsia"/>
          <w:b w:val="0"/>
          <w:bCs w:val="0"/>
          <w:sz w:val="24"/>
          <w:szCs w:val="24"/>
          <w:lang w:val="en-US" w:eastAsia="zh-CN"/>
        </w:rPr>
        <w:t>，</w:t>
      </w:r>
      <w:r>
        <w:rPr>
          <w:rFonts w:ascii="幼圆" w:eastAsia="幼圆" w:hAnsi="幼圆" w:cs="幼圆" w:hint="eastAsia"/>
          <w:b w:val="0"/>
          <w:bCs w:val="0"/>
          <w:sz w:val="24"/>
          <w:szCs w:val="24"/>
          <w:lang w:val="en-US" w:eastAsia="zh-CN"/>
        </w:rPr>
        <w:t>着</w:t>
      </w:r>
      <w:r>
        <w:rPr>
          <w:rFonts w:ascii="幼圆" w:eastAsia="幼圆" w:hAnsi="幼圆" w:cs="幼圆" w:hint="eastAsia"/>
          <w:b w:val="0"/>
          <w:bCs w:val="0"/>
          <w:sz w:val="24"/>
          <w:szCs w:val="24"/>
          <w:lang w:val="en-US" w:eastAsia="zh-CN"/>
        </w:rPr>
        <w:t>眼于</w:t>
      </w:r>
      <w:r>
        <w:rPr>
          <w:rFonts w:ascii="幼圆" w:eastAsia="幼圆" w:hAnsi="幼圆" w:cs="幼圆" w:hint="eastAsia"/>
          <w:b w:val="0"/>
          <w:bCs w:val="0"/>
          <w:sz w:val="24"/>
          <w:szCs w:val="24"/>
          <w:lang w:val="en-US" w:eastAsia="zh-CN"/>
        </w:rPr>
        <w:t>贸易数据</w:t>
      </w:r>
      <w:r>
        <w:rPr>
          <w:rFonts w:ascii="幼圆" w:eastAsia="幼圆" w:hAnsi="幼圆" w:cs="幼圆" w:hint="eastAsia"/>
          <w:b w:val="0"/>
          <w:bCs w:val="0"/>
          <w:sz w:val="24"/>
          <w:szCs w:val="24"/>
          <w:lang w:val="en-US" w:eastAsia="zh-CN"/>
        </w:rPr>
        <w:t>的客观性，通过国际市场份额指数、贸易竞争力指数和比较优势指数对中国的农产品的贸易地位进行了测算</w:t>
      </w:r>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 xml:space="preserve"> ，得出了近年来中国的农产品贸易地位和国际竞争力水平较低的结论</w:t>
      </w:r>
      <w:r>
        <w:rPr>
          <w:rFonts w:ascii="幼圆" w:eastAsia="幼圆" w:hAnsi="幼圆" w:cs="幼圆" w:hint="eastAsia"/>
          <w:b w:val="0"/>
          <w:bCs w:val="0"/>
          <w:sz w:val="24"/>
          <w:szCs w:val="24"/>
          <w:lang w:val="en-US" w:eastAsia="zh-CN"/>
        </w:rPr>
        <w:t>。</w:t>
      </w:r>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2.2  国内研究文献综述</w:t>
      </w:r>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刘李峰，刘合光（2006）通过TSA、G-L、CR、RTA、等指标对中国和澳大利亚的农产品贸易现状及特征进行了分析，结果发现，中澳两国，农产品产业内贸易程度较低，而产品贸易的集中度高。中澳双边农产品贸易的主要特征为明显互补。</w:t>
      </w:r>
    </w:p>
    <w:p>
      <w:pPr>
        <w:spacing w:line="360" w:lineRule="auto"/>
        <w:ind w:firstLine="480" w:firstLineChars="200"/>
        <w:rPr>
          <w:rFonts w:ascii="幼圆" w:eastAsia="幼圆" w:hAnsi="幼圆" w:cs="幼圆" w:hint="eastAsia"/>
          <w:b w:val="0"/>
          <w:bCs w:val="0"/>
          <w:sz w:val="24"/>
        </w:rPr>
      </w:pPr>
      <w:r>
        <w:rPr>
          <w:rFonts w:ascii="幼圆" w:eastAsia="幼圆" w:hAnsi="幼圆" w:cs="幼圆" w:hint="eastAsia"/>
          <w:b w:val="0"/>
          <w:bCs w:val="0"/>
          <w:sz w:val="24"/>
          <w:szCs w:val="24"/>
          <w:lang w:val="en-US" w:eastAsia="zh-CN"/>
        </w:rPr>
        <w:t>董魇（2008）提出，在我国加入WTO之后，我国的农产品在国际市场上的竞争力不断下降，面临着严峻的挑战。面临着包括出口国贸易壁垒扩大等问题，说明了我国农产品在国际贸易的比重不断下降的情况，进口额和出口额都存在不同程度的增长，但是进快出慢，存在极大的贸易逆差。</w:t>
      </w: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color w:val="auto"/>
          <w:sz w:val="24"/>
          <w:szCs w:val="24"/>
          <w:lang w:val="en-US" w:eastAsia="zh-CN"/>
        </w:rPr>
        <w:t>海峰（2008）提出了农业可持续发展的必要性，这是我国农产品贸易发展前进的毕竟之路，不仅可以满足国民经济可持续发展的内在要求，还可以满足提高农产品国际竞争力的要求。</w:t>
      </w: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color w:val="auto"/>
          <w:sz w:val="24"/>
          <w:szCs w:val="24"/>
          <w:lang w:val="en-US" w:eastAsia="zh-CN"/>
        </w:rPr>
        <w:t>卜海（2008）指出，在WTO多哈回合谈判结束后，因为存在较大分歧导致未能达成最终协议，会导致则会导致农产品贸易领域中保护主义抬头，从而使得发展中国家的农业贸易条件进一步恶化。</w:t>
      </w: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sz w:val="24"/>
          <w:szCs w:val="24"/>
          <w:lang w:val="en-US" w:eastAsia="zh-CN"/>
        </w:rPr>
        <w:t>吴海峰（2017）在关于《澳大利亚农业发展的特色、经验和启示》研究中，从澳大利亚农业发展的现状入手，分析澳大利亚农业发展的特色，分析了澳大利亚促进农业发展的政策和措施，并最后对阐述了我国得到的启示。</w:t>
      </w: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color w:val="auto"/>
          <w:sz w:val="24"/>
          <w:szCs w:val="24"/>
          <w:lang w:val="en-US" w:eastAsia="zh-CN"/>
        </w:rPr>
        <w:t>朱晶等（2018）提到，我国农产品贸易的贸易格局随着我国农产品进出口规模的飞速增长，形成了大开大进的贸易格局。</w:t>
      </w: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color w:val="auto"/>
          <w:sz w:val="24"/>
          <w:szCs w:val="24"/>
          <w:lang w:val="en-US" w:eastAsia="zh-CN"/>
        </w:rPr>
        <w:t>倪红兴（2019）指出，中国农产品进出口的贸易开放格局正逐渐扩大，但是现如今国际农产品贸易市场受到气候环境、国家间摩擦、资本投资等非普遍因素的影响加深，不确定性较大且波动性较强，投资风险相对较高。</w:t>
      </w:r>
    </w:p>
    <w:p>
      <w:pPr>
        <w:spacing w:line="360" w:lineRule="auto"/>
        <w:ind w:firstLine="480" w:firstLineChars="200"/>
        <w:rPr>
          <w:rFonts w:ascii="幼圆" w:eastAsia="幼圆" w:hAnsi="幼圆" w:cs="幼圆" w:hint="eastAsia"/>
          <w:b w:val="0"/>
          <w:bCs w:val="0"/>
          <w:color w:val="auto"/>
          <w:sz w:val="24"/>
        </w:rPr>
      </w:pPr>
      <w:r>
        <w:rPr>
          <w:rFonts w:ascii="幼圆" w:eastAsia="幼圆" w:hAnsi="幼圆" w:cs="幼圆" w:hint="eastAsia"/>
          <w:b w:val="0"/>
          <w:bCs w:val="0"/>
          <w:sz w:val="24"/>
          <w:szCs w:val="24"/>
          <w:lang w:val="en-US" w:eastAsia="zh-CN"/>
        </w:rPr>
        <w:t>于金宽（2020）结合中澳农业技术产业的发展现状，</w:t>
      </w:r>
      <w:r>
        <w:rPr>
          <w:rFonts w:ascii="幼圆" w:eastAsia="幼圆" w:hAnsi="幼圆" w:cs="幼圆" w:hint="eastAsia"/>
          <w:b w:val="0"/>
          <w:bCs w:val="0"/>
          <w:color w:val="auto"/>
          <w:sz w:val="24"/>
        </w:rPr>
        <w:br/>
      </w:r>
      <w:r>
        <w:rPr>
          <w:rFonts w:ascii="幼圆" w:eastAsia="幼圆" w:hAnsi="幼圆" w:cs="幼圆" w:hint="eastAsia"/>
          <w:b w:val="0"/>
          <w:bCs w:val="0"/>
          <w:color w:val="auto"/>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https://d.book118.com/117111046023006033</w:t>
        </w:r>
      </w:hyperlink>
    </w:p>
    <w:p>
      <w:pPr>
        <w:spacing w:line="360" w:lineRule="auto"/>
        <w:ind w:firstLine="480" w:firstLineChars="200"/>
        <w:rPr>
          <w:rFonts w:ascii="幼圆" w:eastAsia="幼圆" w:hAnsi="幼圆" w:cs="幼圆" w:hint="eastAsia"/>
          <w:b w:val="0"/>
          <w:bCs w:val="0"/>
          <w:color w:val="auto"/>
          <w:sz w:val="24"/>
        </w:rPr>
      </w:pPr>
    </w:p>
    <w:sectPr>
      <w:headerReference w:type="default" r:id="rId13"/>
      <w:footerReference w:type="default" r:id="rId14"/>
      <w:type w:val="nextPage"/>
      <w:pgSz w:w="11907" w:h="16840"/>
      <w:pgMar w:top="2155" w:right="1361" w:bottom="2722" w:left="1361" w:header="1588" w:footer="2155" w:gutter="851"/>
      <w:pgBorders>
        <w:top w:val="none" w:sz="0" w:space="0" w:color="auto"/>
        <w:left w:val="none" w:sz="0" w:space="0" w:color="auto"/>
        <w:bottom w:val="none" w:sz="0" w:space="0" w:color="auto"/>
        <w:right w:val="none" w:sz="0" w:space="0" w:color="auto"/>
      </w:pgBorders>
      <w:pgNumType w:fmt="decimal" w:start="4" w:chapSep="enDash"/>
      <w:cols w:num="1" w:space="425"/>
      <w:titlePg w:val="0"/>
      <w:docGrid w:type="linesAndChars" w:linePitch="314" w:charSpace="1907"/>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swiss"/>
    <w:pitch w:val="variable"/>
    <w:sig w:usb0="80000287" w:usb1="2ACF3C50" w:usb2="00000016" w:usb3="00000000" w:csb0="0004001F"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1</w:t>
                    </w:r>
                    <w:r>
                      <w:fldChar w:fldCharType="end"/>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87677616"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3533671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801757407" name="文本框 9"/>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9"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0" w:color="auto"/>
      </w:pBdr>
      <w:rPr>
        <w:szCs w:val="21"/>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0" w:color="auto"/>
      </w:pBdr>
      <w:rPr>
        <w:szCs w:val="21"/>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0" w:color="auto"/>
      </w:pBdr>
      <w:rPr>
        <w:szCs w:val="21"/>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thinThickSmallGap" w:sz="12" w:space="0" w:color="auto"/>
      </w:pBdr>
      <w:rPr>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9F3F7F9B"/>
    <w:multiLevelType w:val="singleLevel"/>
    <w:tmpl w:val="9F3F7F9B"/>
    <w:lvl w:ilvl="0">
      <w:start w:val="1"/>
      <w:numFmt w:val="decimal"/>
      <w:lvlText w:val="%1."/>
      <w:lvlJc w:val="left"/>
      <w:pPr>
        <w:tabs>
          <w:tab w:val="left" w:pos="312"/>
        </w:tabs>
      </w:pPr>
    </w:lvl>
  </w:abstractNum>
  <w:abstractNum w:abstractNumId="1">
    <w:nsid w:val="AC101A78"/>
    <w:multiLevelType w:val="singleLevel"/>
    <w:tmpl w:val="AC101A78"/>
    <w:lvl w:ilvl="0">
      <w:start w:val="5"/>
      <w:numFmt w:val="decimal"/>
      <w:lvlText w:val="%1."/>
      <w:lvlJc w:val="left"/>
      <w:pPr>
        <w:tabs>
          <w:tab w:val="left" w:pos="312"/>
        </w:tabs>
      </w:pPr>
    </w:lvl>
  </w:abstractNum>
  <w:abstractNum w:abstractNumId="2">
    <w:nsid w:val="46CE084E"/>
    <w:multiLevelType w:val="singleLevel"/>
    <w:tmpl w:val="46CE084E"/>
    <w:lvl w:ilvl="0">
      <w:start w:val="3"/>
      <w:numFmt w:val="chineseCounting"/>
      <w:suff w:val="nothing"/>
      <w:lvlText w:val="第%1章，"/>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attachedTemplate r:id="rId1"/>
  <w:stylePaneFormatFilter w:val="1F08" w:allStyles="0" w:alternateStyleNames="0" w:clearFormatting="1" w:customStyles="0" w:directFormattingOnNumbering="1" w:directFormattingOnParagraphs="1" w:directFormattingOnRuns="1" w:directFormattingOnTables="1" w:headingStyles="0" w:latentStyles="0" w:numberingStyles="0" w:stylesInUse="1" w:tableStyles="0" w:top3HeadingStyles="0" w:visibleStyles="0"/>
  <w:defaultTabStop w:val="420"/>
  <w:drawingGridHorizontalSpacing w:val="219"/>
  <w:drawingGridVerticalSpacing w:val="157"/>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1B6C56"/>
    <w:rsid w:val="00005A3E"/>
    <w:rsid w:val="00014A8E"/>
    <w:rsid w:val="000258D2"/>
    <w:rsid w:val="000408F2"/>
    <w:rsid w:val="00050154"/>
    <w:rsid w:val="00053472"/>
    <w:rsid w:val="0005350E"/>
    <w:rsid w:val="000536AC"/>
    <w:rsid w:val="000663BB"/>
    <w:rsid w:val="00067355"/>
    <w:rsid w:val="00081B4F"/>
    <w:rsid w:val="000869C3"/>
    <w:rsid w:val="00094C25"/>
    <w:rsid w:val="000A1DDA"/>
    <w:rsid w:val="000C17C7"/>
    <w:rsid w:val="000C5790"/>
    <w:rsid w:val="000E55F0"/>
    <w:rsid w:val="000F4D43"/>
    <w:rsid w:val="001250D5"/>
    <w:rsid w:val="00125248"/>
    <w:rsid w:val="0012731E"/>
    <w:rsid w:val="00127374"/>
    <w:rsid w:val="00127984"/>
    <w:rsid w:val="00133A08"/>
    <w:rsid w:val="00137303"/>
    <w:rsid w:val="00142171"/>
    <w:rsid w:val="001473B2"/>
    <w:rsid w:val="00167C57"/>
    <w:rsid w:val="00176D75"/>
    <w:rsid w:val="001801AB"/>
    <w:rsid w:val="00187A4A"/>
    <w:rsid w:val="001A09B6"/>
    <w:rsid w:val="001A4A3D"/>
    <w:rsid w:val="001A5ED6"/>
    <w:rsid w:val="001B1E85"/>
    <w:rsid w:val="001B56ED"/>
    <w:rsid w:val="001D398D"/>
    <w:rsid w:val="001D419D"/>
    <w:rsid w:val="001D483D"/>
    <w:rsid w:val="001D609B"/>
    <w:rsid w:val="001D7D6A"/>
    <w:rsid w:val="001E036B"/>
    <w:rsid w:val="001F31D7"/>
    <w:rsid w:val="001F562A"/>
    <w:rsid w:val="002133B6"/>
    <w:rsid w:val="00225025"/>
    <w:rsid w:val="00232CD3"/>
    <w:rsid w:val="00237F0C"/>
    <w:rsid w:val="00240E71"/>
    <w:rsid w:val="00242E16"/>
    <w:rsid w:val="0024770F"/>
    <w:rsid w:val="00250A63"/>
    <w:rsid w:val="0026382E"/>
    <w:rsid w:val="002753DD"/>
    <w:rsid w:val="00275C10"/>
    <w:rsid w:val="0029519B"/>
    <w:rsid w:val="002B1AE5"/>
    <w:rsid w:val="002B3009"/>
    <w:rsid w:val="002C5314"/>
    <w:rsid w:val="002C6B58"/>
    <w:rsid w:val="002D0837"/>
    <w:rsid w:val="002D1BD2"/>
    <w:rsid w:val="002D22B8"/>
    <w:rsid w:val="002D79CA"/>
    <w:rsid w:val="002E05ED"/>
    <w:rsid w:val="00303106"/>
    <w:rsid w:val="00310638"/>
    <w:rsid w:val="00331AA8"/>
    <w:rsid w:val="00332792"/>
    <w:rsid w:val="0033471D"/>
    <w:rsid w:val="0034674B"/>
    <w:rsid w:val="00347E27"/>
    <w:rsid w:val="00355BF2"/>
    <w:rsid w:val="00355C85"/>
    <w:rsid w:val="003645F8"/>
    <w:rsid w:val="00367BC6"/>
    <w:rsid w:val="0037491D"/>
    <w:rsid w:val="003754FF"/>
    <w:rsid w:val="00376D45"/>
    <w:rsid w:val="00385D42"/>
    <w:rsid w:val="003865F2"/>
    <w:rsid w:val="00397DA8"/>
    <w:rsid w:val="003A164F"/>
    <w:rsid w:val="003A77F3"/>
    <w:rsid w:val="003B261C"/>
    <w:rsid w:val="003D23C7"/>
    <w:rsid w:val="003D343C"/>
    <w:rsid w:val="003D61FB"/>
    <w:rsid w:val="003F0B1C"/>
    <w:rsid w:val="00415948"/>
    <w:rsid w:val="004317A3"/>
    <w:rsid w:val="00436DC4"/>
    <w:rsid w:val="00450BB3"/>
    <w:rsid w:val="00454471"/>
    <w:rsid w:val="00457B9E"/>
    <w:rsid w:val="00461E98"/>
    <w:rsid w:val="00464B96"/>
    <w:rsid w:val="0047096E"/>
    <w:rsid w:val="00492FC2"/>
    <w:rsid w:val="004B28F9"/>
    <w:rsid w:val="004C53B5"/>
    <w:rsid w:val="004D28BC"/>
    <w:rsid w:val="004E1A20"/>
    <w:rsid w:val="004F0E67"/>
    <w:rsid w:val="004F73DA"/>
    <w:rsid w:val="00501EC3"/>
    <w:rsid w:val="005053B8"/>
    <w:rsid w:val="00532CBC"/>
    <w:rsid w:val="00537944"/>
    <w:rsid w:val="0054095C"/>
    <w:rsid w:val="00546015"/>
    <w:rsid w:val="005515F7"/>
    <w:rsid w:val="0055329F"/>
    <w:rsid w:val="00557702"/>
    <w:rsid w:val="00557A0F"/>
    <w:rsid w:val="00564F54"/>
    <w:rsid w:val="00566805"/>
    <w:rsid w:val="00575FF0"/>
    <w:rsid w:val="00576C1F"/>
    <w:rsid w:val="005968F3"/>
    <w:rsid w:val="00596968"/>
    <w:rsid w:val="005A69E1"/>
    <w:rsid w:val="005B6236"/>
    <w:rsid w:val="005D0991"/>
    <w:rsid w:val="005D150E"/>
    <w:rsid w:val="005E024D"/>
    <w:rsid w:val="005E2C13"/>
    <w:rsid w:val="00605BB8"/>
    <w:rsid w:val="00611FF5"/>
    <w:rsid w:val="00612AA8"/>
    <w:rsid w:val="00622E2C"/>
    <w:rsid w:val="00624A5F"/>
    <w:rsid w:val="00631F69"/>
    <w:rsid w:val="006434FD"/>
    <w:rsid w:val="00645FFD"/>
    <w:rsid w:val="006505EB"/>
    <w:rsid w:val="00652A19"/>
    <w:rsid w:val="00664FF2"/>
    <w:rsid w:val="00674026"/>
    <w:rsid w:val="006761F2"/>
    <w:rsid w:val="00682DBC"/>
    <w:rsid w:val="00693CF6"/>
    <w:rsid w:val="00695A91"/>
    <w:rsid w:val="006A0988"/>
    <w:rsid w:val="006A1D6B"/>
    <w:rsid w:val="006B37EF"/>
    <w:rsid w:val="006D0436"/>
    <w:rsid w:val="006D35FE"/>
    <w:rsid w:val="006D58D0"/>
    <w:rsid w:val="006D7224"/>
    <w:rsid w:val="006E6FA2"/>
    <w:rsid w:val="006F06AC"/>
    <w:rsid w:val="006F17D9"/>
    <w:rsid w:val="00702F84"/>
    <w:rsid w:val="00705D68"/>
    <w:rsid w:val="007354D7"/>
    <w:rsid w:val="00745226"/>
    <w:rsid w:val="007472FB"/>
    <w:rsid w:val="007508CE"/>
    <w:rsid w:val="00751190"/>
    <w:rsid w:val="00762231"/>
    <w:rsid w:val="00763D41"/>
    <w:rsid w:val="007720BC"/>
    <w:rsid w:val="00791767"/>
    <w:rsid w:val="007A66AF"/>
    <w:rsid w:val="007B2989"/>
    <w:rsid w:val="007B7829"/>
    <w:rsid w:val="007C3722"/>
    <w:rsid w:val="007C5307"/>
    <w:rsid w:val="007D40B4"/>
    <w:rsid w:val="007D5E4A"/>
    <w:rsid w:val="007E4E1F"/>
    <w:rsid w:val="007F3364"/>
    <w:rsid w:val="007F5C0B"/>
    <w:rsid w:val="007F6027"/>
    <w:rsid w:val="0080080D"/>
    <w:rsid w:val="008013C4"/>
    <w:rsid w:val="00824C53"/>
    <w:rsid w:val="00826DFD"/>
    <w:rsid w:val="00833A8A"/>
    <w:rsid w:val="00842301"/>
    <w:rsid w:val="00851CE7"/>
    <w:rsid w:val="008708C6"/>
    <w:rsid w:val="0087791A"/>
    <w:rsid w:val="00882791"/>
    <w:rsid w:val="00882E4E"/>
    <w:rsid w:val="00891EF8"/>
    <w:rsid w:val="008B1107"/>
    <w:rsid w:val="008B6DEC"/>
    <w:rsid w:val="008B6F50"/>
    <w:rsid w:val="008C30AE"/>
    <w:rsid w:val="008C4FE5"/>
    <w:rsid w:val="008D64CD"/>
    <w:rsid w:val="008E1332"/>
    <w:rsid w:val="008E4CFB"/>
    <w:rsid w:val="00917DEE"/>
    <w:rsid w:val="009431AC"/>
    <w:rsid w:val="0094552A"/>
    <w:rsid w:val="009525C0"/>
    <w:rsid w:val="00973B80"/>
    <w:rsid w:val="00975CBF"/>
    <w:rsid w:val="00980FB6"/>
    <w:rsid w:val="0099227C"/>
    <w:rsid w:val="009929DC"/>
    <w:rsid w:val="00993376"/>
    <w:rsid w:val="009B57B5"/>
    <w:rsid w:val="009C5606"/>
    <w:rsid w:val="009C73E2"/>
    <w:rsid w:val="009D3B42"/>
    <w:rsid w:val="009E0FBA"/>
    <w:rsid w:val="009E6DD1"/>
    <w:rsid w:val="009F66BA"/>
    <w:rsid w:val="009F67AD"/>
    <w:rsid w:val="00A15283"/>
    <w:rsid w:val="00A23C9E"/>
    <w:rsid w:val="00A241BC"/>
    <w:rsid w:val="00A45069"/>
    <w:rsid w:val="00A61A62"/>
    <w:rsid w:val="00A77097"/>
    <w:rsid w:val="00A77462"/>
    <w:rsid w:val="00A81369"/>
    <w:rsid w:val="00A8708D"/>
    <w:rsid w:val="00AA0581"/>
    <w:rsid w:val="00AC15A7"/>
    <w:rsid w:val="00AC3FE3"/>
    <w:rsid w:val="00AC56A5"/>
    <w:rsid w:val="00AD0E2D"/>
    <w:rsid w:val="00AF5D6C"/>
    <w:rsid w:val="00B0513F"/>
    <w:rsid w:val="00B14EFB"/>
    <w:rsid w:val="00B30A62"/>
    <w:rsid w:val="00B35677"/>
    <w:rsid w:val="00B44BC4"/>
    <w:rsid w:val="00B4603B"/>
    <w:rsid w:val="00B503CA"/>
    <w:rsid w:val="00B739D2"/>
    <w:rsid w:val="00B77142"/>
    <w:rsid w:val="00B81313"/>
    <w:rsid w:val="00B93BC8"/>
    <w:rsid w:val="00B9503C"/>
    <w:rsid w:val="00B971C2"/>
    <w:rsid w:val="00BA6B1F"/>
    <w:rsid w:val="00BB4791"/>
    <w:rsid w:val="00BE0581"/>
    <w:rsid w:val="00BE1307"/>
    <w:rsid w:val="00BE6629"/>
    <w:rsid w:val="00BF2465"/>
    <w:rsid w:val="00BF69CA"/>
    <w:rsid w:val="00C000CC"/>
    <w:rsid w:val="00C11ECA"/>
    <w:rsid w:val="00C23F85"/>
    <w:rsid w:val="00C24043"/>
    <w:rsid w:val="00C32E36"/>
    <w:rsid w:val="00C33927"/>
    <w:rsid w:val="00C413EA"/>
    <w:rsid w:val="00C43690"/>
    <w:rsid w:val="00C57265"/>
    <w:rsid w:val="00C722FD"/>
    <w:rsid w:val="00C82C00"/>
    <w:rsid w:val="00C852EA"/>
    <w:rsid w:val="00C9263B"/>
    <w:rsid w:val="00C93EB0"/>
    <w:rsid w:val="00C95CF6"/>
    <w:rsid w:val="00CA78CA"/>
    <w:rsid w:val="00CB2D3C"/>
    <w:rsid w:val="00CB2D89"/>
    <w:rsid w:val="00CC2738"/>
    <w:rsid w:val="00CC3895"/>
    <w:rsid w:val="00CD1880"/>
    <w:rsid w:val="00CD22FD"/>
    <w:rsid w:val="00CD4558"/>
    <w:rsid w:val="00CE16A6"/>
    <w:rsid w:val="00D00B5F"/>
    <w:rsid w:val="00D05F67"/>
    <w:rsid w:val="00D32931"/>
    <w:rsid w:val="00D35BAC"/>
    <w:rsid w:val="00D37AA0"/>
    <w:rsid w:val="00D41CC1"/>
    <w:rsid w:val="00D42C89"/>
    <w:rsid w:val="00D43678"/>
    <w:rsid w:val="00D52327"/>
    <w:rsid w:val="00D54360"/>
    <w:rsid w:val="00D55CCD"/>
    <w:rsid w:val="00D60526"/>
    <w:rsid w:val="00D74E16"/>
    <w:rsid w:val="00D765C3"/>
    <w:rsid w:val="00D806A3"/>
    <w:rsid w:val="00D964A5"/>
    <w:rsid w:val="00D96623"/>
    <w:rsid w:val="00D974AF"/>
    <w:rsid w:val="00DA2AA3"/>
    <w:rsid w:val="00DB7E13"/>
    <w:rsid w:val="00DC55BD"/>
    <w:rsid w:val="00DD040B"/>
    <w:rsid w:val="00DD411D"/>
    <w:rsid w:val="00DD521A"/>
    <w:rsid w:val="00DF2A9A"/>
    <w:rsid w:val="00DF317C"/>
    <w:rsid w:val="00DF3369"/>
    <w:rsid w:val="00E034CE"/>
    <w:rsid w:val="00E06F47"/>
    <w:rsid w:val="00E12AE2"/>
    <w:rsid w:val="00E14848"/>
    <w:rsid w:val="00E17262"/>
    <w:rsid w:val="00E25077"/>
    <w:rsid w:val="00E26710"/>
    <w:rsid w:val="00E267EE"/>
    <w:rsid w:val="00E34409"/>
    <w:rsid w:val="00E4318F"/>
    <w:rsid w:val="00E539B4"/>
    <w:rsid w:val="00E708FB"/>
    <w:rsid w:val="00E72EC5"/>
    <w:rsid w:val="00E84F15"/>
    <w:rsid w:val="00E92F10"/>
    <w:rsid w:val="00E9402F"/>
    <w:rsid w:val="00EA02E9"/>
    <w:rsid w:val="00EB4842"/>
    <w:rsid w:val="00EC29D1"/>
    <w:rsid w:val="00EE4A1F"/>
    <w:rsid w:val="00EF6D29"/>
    <w:rsid w:val="00F05F7B"/>
    <w:rsid w:val="00F20BE6"/>
    <w:rsid w:val="00F43F5E"/>
    <w:rsid w:val="00F45662"/>
    <w:rsid w:val="00F62094"/>
    <w:rsid w:val="00F71DCF"/>
    <w:rsid w:val="00F805DF"/>
    <w:rsid w:val="00F828FB"/>
    <w:rsid w:val="00F917E9"/>
    <w:rsid w:val="00F918E3"/>
    <w:rsid w:val="00F92D5A"/>
    <w:rsid w:val="00FB1309"/>
    <w:rsid w:val="00FC6F10"/>
    <w:rsid w:val="00FF12C2"/>
    <w:rsid w:val="00FF6A8B"/>
    <w:rsid w:val="01033246"/>
    <w:rsid w:val="012C6995"/>
    <w:rsid w:val="01FC0F69"/>
    <w:rsid w:val="034A0FDE"/>
    <w:rsid w:val="03900E84"/>
    <w:rsid w:val="03BE6A02"/>
    <w:rsid w:val="0418225B"/>
    <w:rsid w:val="0439297B"/>
    <w:rsid w:val="04F82338"/>
    <w:rsid w:val="05092F10"/>
    <w:rsid w:val="0527616F"/>
    <w:rsid w:val="052C3CA9"/>
    <w:rsid w:val="0538796A"/>
    <w:rsid w:val="054C7963"/>
    <w:rsid w:val="057350DF"/>
    <w:rsid w:val="05F45837"/>
    <w:rsid w:val="06B34D81"/>
    <w:rsid w:val="06EC2599"/>
    <w:rsid w:val="070A65D7"/>
    <w:rsid w:val="070B2548"/>
    <w:rsid w:val="07B6600F"/>
    <w:rsid w:val="081D2905"/>
    <w:rsid w:val="096E3215"/>
    <w:rsid w:val="0A30508E"/>
    <w:rsid w:val="0B282C50"/>
    <w:rsid w:val="0B311D09"/>
    <w:rsid w:val="0C2A14BD"/>
    <w:rsid w:val="0E32171A"/>
    <w:rsid w:val="0E6F3CD8"/>
    <w:rsid w:val="0E751150"/>
    <w:rsid w:val="0EE56D8D"/>
    <w:rsid w:val="0EF53BB5"/>
    <w:rsid w:val="10526409"/>
    <w:rsid w:val="10990EF7"/>
    <w:rsid w:val="115B57C4"/>
    <w:rsid w:val="11D80D0E"/>
    <w:rsid w:val="12D328E5"/>
    <w:rsid w:val="13150E55"/>
    <w:rsid w:val="131A3A1F"/>
    <w:rsid w:val="131F7565"/>
    <w:rsid w:val="15131651"/>
    <w:rsid w:val="15A31A68"/>
    <w:rsid w:val="15B37148"/>
    <w:rsid w:val="15FD7092"/>
    <w:rsid w:val="15FF3FD7"/>
    <w:rsid w:val="161104D8"/>
    <w:rsid w:val="166B1C2A"/>
    <w:rsid w:val="16713A79"/>
    <w:rsid w:val="16F44E0D"/>
    <w:rsid w:val="17350860"/>
    <w:rsid w:val="177309EC"/>
    <w:rsid w:val="181A4A9E"/>
    <w:rsid w:val="19F63A1D"/>
    <w:rsid w:val="19F73875"/>
    <w:rsid w:val="1A20182B"/>
    <w:rsid w:val="1A817B53"/>
    <w:rsid w:val="1BCF378D"/>
    <w:rsid w:val="1C162260"/>
    <w:rsid w:val="1D0B6903"/>
    <w:rsid w:val="1D1D4D31"/>
    <w:rsid w:val="1D6C638D"/>
    <w:rsid w:val="1DCC573E"/>
    <w:rsid w:val="1DEF6060"/>
    <w:rsid w:val="1E353593"/>
    <w:rsid w:val="1E3A0656"/>
    <w:rsid w:val="202925A1"/>
    <w:rsid w:val="208E09A8"/>
    <w:rsid w:val="209F2C74"/>
    <w:rsid w:val="20A037C2"/>
    <w:rsid w:val="20BF2C49"/>
    <w:rsid w:val="20D73162"/>
    <w:rsid w:val="20FA04D5"/>
    <w:rsid w:val="2101504C"/>
    <w:rsid w:val="210314F5"/>
    <w:rsid w:val="21E168E2"/>
    <w:rsid w:val="22785112"/>
    <w:rsid w:val="23A16450"/>
    <w:rsid w:val="24082F16"/>
    <w:rsid w:val="242E348B"/>
    <w:rsid w:val="24316A8D"/>
    <w:rsid w:val="24BF77B2"/>
    <w:rsid w:val="24C060AE"/>
    <w:rsid w:val="25560CDF"/>
    <w:rsid w:val="2564253A"/>
    <w:rsid w:val="25736082"/>
    <w:rsid w:val="25E61B65"/>
    <w:rsid w:val="26360792"/>
    <w:rsid w:val="26675321"/>
    <w:rsid w:val="267D02B4"/>
    <w:rsid w:val="27461F4C"/>
    <w:rsid w:val="27957B4D"/>
    <w:rsid w:val="283F6DD8"/>
    <w:rsid w:val="28B52687"/>
    <w:rsid w:val="28C45727"/>
    <w:rsid w:val="2B700DCE"/>
    <w:rsid w:val="2C2851D0"/>
    <w:rsid w:val="2C641630"/>
    <w:rsid w:val="2CC234A8"/>
    <w:rsid w:val="2CE31DDD"/>
    <w:rsid w:val="2CF63AB4"/>
    <w:rsid w:val="2D4B771D"/>
    <w:rsid w:val="2D85178E"/>
    <w:rsid w:val="2E675C08"/>
    <w:rsid w:val="2E720328"/>
    <w:rsid w:val="2EEE6B50"/>
    <w:rsid w:val="2EFC240F"/>
    <w:rsid w:val="30443E81"/>
    <w:rsid w:val="31887AD8"/>
    <w:rsid w:val="31CA2584"/>
    <w:rsid w:val="323C7190"/>
    <w:rsid w:val="328462CB"/>
    <w:rsid w:val="328841A1"/>
    <w:rsid w:val="32DC0B53"/>
    <w:rsid w:val="331B7390"/>
    <w:rsid w:val="33463EFC"/>
    <w:rsid w:val="33473E3B"/>
    <w:rsid w:val="33524A00"/>
    <w:rsid w:val="33617326"/>
    <w:rsid w:val="33C62D0C"/>
    <w:rsid w:val="354256F4"/>
    <w:rsid w:val="361B37BB"/>
    <w:rsid w:val="377C5697"/>
    <w:rsid w:val="384B45C9"/>
    <w:rsid w:val="38B30EE8"/>
    <w:rsid w:val="38DB37F7"/>
    <w:rsid w:val="390203DD"/>
    <w:rsid w:val="3A386EF3"/>
    <w:rsid w:val="3AC81289"/>
    <w:rsid w:val="3B1D6096"/>
    <w:rsid w:val="3BE17AE5"/>
    <w:rsid w:val="3C2E690A"/>
    <w:rsid w:val="3CF04E2C"/>
    <w:rsid w:val="3CF77A99"/>
    <w:rsid w:val="3D114273"/>
    <w:rsid w:val="3D764ADD"/>
    <w:rsid w:val="3DA07C9B"/>
    <w:rsid w:val="3E907290"/>
    <w:rsid w:val="3EED79FF"/>
    <w:rsid w:val="3F001BF3"/>
    <w:rsid w:val="3F421A20"/>
    <w:rsid w:val="3FA56E80"/>
    <w:rsid w:val="40797280"/>
    <w:rsid w:val="41487AD6"/>
    <w:rsid w:val="417214F7"/>
    <w:rsid w:val="4262238F"/>
    <w:rsid w:val="428E2307"/>
    <w:rsid w:val="430113AE"/>
    <w:rsid w:val="43083B13"/>
    <w:rsid w:val="441D3422"/>
    <w:rsid w:val="4480075C"/>
    <w:rsid w:val="448E51A2"/>
    <w:rsid w:val="44B234B4"/>
    <w:rsid w:val="45843603"/>
    <w:rsid w:val="4684436C"/>
    <w:rsid w:val="468F1451"/>
    <w:rsid w:val="46AB1E79"/>
    <w:rsid w:val="473B1044"/>
    <w:rsid w:val="475F4DEA"/>
    <w:rsid w:val="477347FA"/>
    <w:rsid w:val="480A69D5"/>
    <w:rsid w:val="481473B5"/>
    <w:rsid w:val="4853199A"/>
    <w:rsid w:val="48731E10"/>
    <w:rsid w:val="48D657AA"/>
    <w:rsid w:val="49032061"/>
    <w:rsid w:val="4D165F3C"/>
    <w:rsid w:val="4D225AB5"/>
    <w:rsid w:val="4E91540C"/>
    <w:rsid w:val="4F582B5A"/>
    <w:rsid w:val="4FD60DEE"/>
    <w:rsid w:val="50211263"/>
    <w:rsid w:val="506D49FE"/>
    <w:rsid w:val="508B76DC"/>
    <w:rsid w:val="50FF4DD4"/>
    <w:rsid w:val="511723C9"/>
    <w:rsid w:val="513007EE"/>
    <w:rsid w:val="5131238F"/>
    <w:rsid w:val="51C76FAE"/>
    <w:rsid w:val="51DE4D0B"/>
    <w:rsid w:val="523957BE"/>
    <w:rsid w:val="52B76178"/>
    <w:rsid w:val="531C465A"/>
    <w:rsid w:val="53C275E2"/>
    <w:rsid w:val="53D75B68"/>
    <w:rsid w:val="53E71D30"/>
    <w:rsid w:val="546A54E7"/>
    <w:rsid w:val="546F33E9"/>
    <w:rsid w:val="54F30F8F"/>
    <w:rsid w:val="55274230"/>
    <w:rsid w:val="55F019F5"/>
    <w:rsid w:val="55F23908"/>
    <w:rsid w:val="56296670"/>
    <w:rsid w:val="563E4616"/>
    <w:rsid w:val="57530FAF"/>
    <w:rsid w:val="57FF5F9D"/>
    <w:rsid w:val="584A799D"/>
    <w:rsid w:val="592656BE"/>
    <w:rsid w:val="59E06655"/>
    <w:rsid w:val="59EF1DBB"/>
    <w:rsid w:val="5A3D79D0"/>
    <w:rsid w:val="5A9C2DAA"/>
    <w:rsid w:val="5B2E5C45"/>
    <w:rsid w:val="5B7042C5"/>
    <w:rsid w:val="5BD63727"/>
    <w:rsid w:val="5BF12C69"/>
    <w:rsid w:val="5C9621F6"/>
    <w:rsid w:val="5CA2479B"/>
    <w:rsid w:val="5CB93BD4"/>
    <w:rsid w:val="5D644E3E"/>
    <w:rsid w:val="5D937BA0"/>
    <w:rsid w:val="5D9C1FD4"/>
    <w:rsid w:val="5DB50A15"/>
    <w:rsid w:val="5E110C0C"/>
    <w:rsid w:val="5E357CD3"/>
    <w:rsid w:val="5E8748CE"/>
    <w:rsid w:val="5F503483"/>
    <w:rsid w:val="5FEF29E7"/>
    <w:rsid w:val="60917213"/>
    <w:rsid w:val="618A79DF"/>
    <w:rsid w:val="61FB0454"/>
    <w:rsid w:val="621B6C56"/>
    <w:rsid w:val="62974752"/>
    <w:rsid w:val="62D360B5"/>
    <w:rsid w:val="62E97BFF"/>
    <w:rsid w:val="62FB31CA"/>
    <w:rsid w:val="63102799"/>
    <w:rsid w:val="636339C7"/>
    <w:rsid w:val="63D25417"/>
    <w:rsid w:val="63D843C5"/>
    <w:rsid w:val="63E832DA"/>
    <w:rsid w:val="64085FB3"/>
    <w:rsid w:val="645239DA"/>
    <w:rsid w:val="649A594F"/>
    <w:rsid w:val="65BC0035"/>
    <w:rsid w:val="66601848"/>
    <w:rsid w:val="678C3B2E"/>
    <w:rsid w:val="67CC7398"/>
    <w:rsid w:val="681D0FDF"/>
    <w:rsid w:val="688F0B23"/>
    <w:rsid w:val="68945BC9"/>
    <w:rsid w:val="689836FD"/>
    <w:rsid w:val="68B825B4"/>
    <w:rsid w:val="691F135D"/>
    <w:rsid w:val="692F374D"/>
    <w:rsid w:val="695A2CAD"/>
    <w:rsid w:val="6A567E87"/>
    <w:rsid w:val="6B3C601D"/>
    <w:rsid w:val="6BC568DE"/>
    <w:rsid w:val="6D053334"/>
    <w:rsid w:val="6E6436C9"/>
    <w:rsid w:val="6E8649BE"/>
    <w:rsid w:val="6EEF005C"/>
    <w:rsid w:val="6F2B4208"/>
    <w:rsid w:val="6FBA7195"/>
    <w:rsid w:val="6FD246E8"/>
    <w:rsid w:val="6FE07C3C"/>
    <w:rsid w:val="6FE33EFC"/>
    <w:rsid w:val="710036E2"/>
    <w:rsid w:val="710F5831"/>
    <w:rsid w:val="71696C36"/>
    <w:rsid w:val="7286754C"/>
    <w:rsid w:val="72A81C73"/>
    <w:rsid w:val="73087F6D"/>
    <w:rsid w:val="73116A98"/>
    <w:rsid w:val="733C5759"/>
    <w:rsid w:val="74007D93"/>
    <w:rsid w:val="749543A3"/>
    <w:rsid w:val="75212A33"/>
    <w:rsid w:val="765B5E45"/>
    <w:rsid w:val="76B47A51"/>
    <w:rsid w:val="777F48D3"/>
    <w:rsid w:val="77BA1B60"/>
    <w:rsid w:val="77E16CC1"/>
    <w:rsid w:val="77F76D26"/>
    <w:rsid w:val="79093C76"/>
    <w:rsid w:val="795054A9"/>
    <w:rsid w:val="7A65624F"/>
    <w:rsid w:val="7B3F7096"/>
    <w:rsid w:val="7BB54E63"/>
    <w:rsid w:val="7C2C04A2"/>
    <w:rsid w:val="7CE81264"/>
    <w:rsid w:val="7DA34933"/>
    <w:rsid w:val="7DF81C8A"/>
    <w:rsid w:val="7E0258B6"/>
    <w:rsid w:val="7E307265"/>
    <w:rsid w:val="7F1D49B8"/>
    <w:rsid w:val="7F360253"/>
  </w:rsids>
  <w:docVars>
    <w:docVar w:name="commondata" w:val="eyJoZGlkIjoiNWFhMWI5MDQwNDBiYWI1ZmY5ZTQxYWNiYzY0MTdmZDA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0"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uiPriority="0" w:unhideWhenUsed="0" w:qFormat="1"/>
    <w:lsdException w:name="header" w:semiHidden="0" w:uiPriority="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qFormat="1"/>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qFormat="1"/>
    <w:lsdException w:name="Body Text Indent" w:semiHidden="0" w:uiPriority="0" w:unhideWhenUsed="0" w:qFormat="1"/>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qFormat="1"/>
    <w:lsdException w:name="Body Text First Indent" w:semiHidden="0" w:uiPriority="0" w:unhideWhenUsed="0" w:qFormat="1"/>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qFormat="1"/>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qFormat="1"/>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unhideWhenUsed="0" w:qFormat="1"/>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uiPriority="0" w:unhideWhenUsed="0" w:qFormat="1"/>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imes New Roman" w:eastAsia="宋体" w:hAnsi="Times New Roman" w:cs="Times New Roman"/>
      <w:kern w:val="2"/>
      <w:sz w:val="21"/>
      <w:szCs w:val="24"/>
      <w:lang w:val="en-US" w:eastAsia="zh-CN" w:bidi="ar-SA"/>
    </w:rPr>
  </w:style>
  <w:style w:type="paragraph" w:styleId="Heading1">
    <w:name w:val="heading 1"/>
    <w:basedOn w:val="Normal"/>
    <w:next w:val="Normal"/>
    <w:link w:val="1Char"/>
    <w:qFormat/>
    <w:pPr>
      <w:keepNext/>
      <w:spacing w:before="157" w:beforeLines="50" w:after="157" w:afterLines="50"/>
      <w:jc w:val="center"/>
      <w:outlineLvl w:val="0"/>
    </w:pPr>
    <w:rPr>
      <w:rFonts w:eastAsia="黑体"/>
      <w:bCs/>
      <w:sz w:val="36"/>
      <w:szCs w:val="36"/>
    </w:rPr>
  </w:style>
  <w:style w:type="paragraph" w:styleId="Heading2">
    <w:name w:val="heading 2"/>
    <w:basedOn w:val="Normal"/>
    <w:next w:val="Normal"/>
    <w:link w:val="2Char"/>
    <w:qFormat/>
    <w:pPr>
      <w:keepNext/>
      <w:spacing w:before="50" w:beforeLines="50" w:after="50" w:afterLines="50"/>
      <w:jc w:val="center"/>
      <w:outlineLvl w:val="1"/>
    </w:pPr>
    <w:rPr>
      <w:rFonts w:ascii="黑体" w:eastAsia="黑体"/>
      <w:bCs/>
      <w:sz w:val="36"/>
      <w:szCs w:val="36"/>
    </w:rPr>
  </w:style>
  <w:style w:type="paragraph" w:styleId="Heading3">
    <w:name w:val="heading 3"/>
    <w:basedOn w:val="Normal"/>
    <w:next w:val="Normal"/>
    <w:qFormat/>
    <w:pPr>
      <w:keepNext/>
      <w:ind w:firstLine="100" w:firstLineChars="100"/>
      <w:jc w:val="distribute"/>
      <w:outlineLvl w:val="2"/>
    </w:pPr>
    <w:rPr>
      <w:rFonts w:eastAsia="黑体"/>
      <w:bCs/>
      <w:sz w:val="30"/>
      <w:szCs w:val="30"/>
    </w:rPr>
  </w:style>
  <w:style w:type="paragraph" w:styleId="Heading4">
    <w:name w:val="heading 4"/>
    <w:basedOn w:val="Normal"/>
    <w:next w:val="Normal"/>
    <w:qFormat/>
    <w:pPr>
      <w:keepNext/>
      <w:spacing w:line="300" w:lineRule="auto"/>
      <w:jc w:val="center"/>
      <w:outlineLvl w:val="3"/>
    </w:pPr>
    <w:rPr>
      <w:sz w:val="28"/>
    </w:rPr>
  </w:style>
  <w:style w:type="paragraph" w:styleId="Heading5">
    <w:name w:val="heading 5"/>
    <w:basedOn w:val="Normal"/>
    <w:next w:val="Normal"/>
    <w:link w:val="5Char"/>
    <w:autoRedefine/>
    <w:qFormat/>
    <w:pPr>
      <w:ind w:firstLine="200" w:firstLineChars="200"/>
      <w:outlineLvl w:val="4"/>
    </w:pPr>
    <w:rPr>
      <w:rFonts w:ascii="黑体" w:eastAsia="黑体"/>
      <w:sz w:val="24"/>
    </w:rPr>
  </w:style>
  <w:style w:type="character" w:default="1" w:styleId="DefaultParagraphFont">
    <w:name w:val="Default Paragraph Font"/>
    <w:uiPriority w:val="1"/>
    <w:semiHidden/>
    <w:unhideWhenUsed/>
    <w:qFormat/>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DocumentMap">
    <w:name w:val="Document Map"/>
    <w:basedOn w:val="Normal"/>
    <w:qFormat/>
    <w:pPr>
      <w:shd w:val="clear" w:color="auto" w:fill="000080"/>
    </w:pPr>
  </w:style>
  <w:style w:type="paragraph" w:styleId="CommentText">
    <w:name w:val="annotation text"/>
    <w:basedOn w:val="Normal"/>
    <w:autoRedefine/>
    <w:semiHidden/>
    <w:qFormat/>
    <w:pPr>
      <w:jc w:val="left"/>
    </w:pPr>
  </w:style>
  <w:style w:type="paragraph" w:styleId="BodyText">
    <w:name w:val="Body Text"/>
    <w:basedOn w:val="Normal"/>
    <w:autoRedefine/>
    <w:qFormat/>
    <w:pPr>
      <w:ind w:right="1230" w:rightChars="561"/>
    </w:pPr>
  </w:style>
  <w:style w:type="paragraph" w:styleId="BodyTextIndent">
    <w:name w:val="Body Text Indent"/>
    <w:basedOn w:val="Normal"/>
    <w:qFormat/>
    <w:pPr>
      <w:ind w:firstLine="439" w:firstLineChars="200"/>
    </w:pPr>
  </w:style>
  <w:style w:type="paragraph" w:styleId="TOC3">
    <w:name w:val="toc 3"/>
    <w:basedOn w:val="Normal"/>
    <w:next w:val="Normal"/>
    <w:qFormat/>
    <w:pPr>
      <w:ind w:left="840" w:leftChars="400"/>
    </w:pPr>
  </w:style>
  <w:style w:type="paragraph" w:styleId="Date">
    <w:name w:val="Date"/>
    <w:basedOn w:val="Normal"/>
    <w:next w:val="Normal"/>
    <w:autoRedefine/>
    <w:qFormat/>
    <w:pPr>
      <w:ind w:left="100" w:leftChars="2500"/>
    </w:pPr>
    <w:rPr>
      <w:sz w:val="24"/>
    </w:rPr>
  </w:style>
  <w:style w:type="paragraph" w:styleId="BalloonText">
    <w:name w:val="Balloon Text"/>
    <w:basedOn w:val="Normal"/>
    <w:autoRedefine/>
    <w:semiHidden/>
    <w:qFormat/>
    <w:rPr>
      <w:sz w:val="18"/>
      <w:szCs w:val="18"/>
    </w:rPr>
  </w:style>
  <w:style w:type="paragraph" w:styleId="Footer">
    <w:name w:val="footer"/>
    <w:basedOn w:val="Normal"/>
    <w:autoRedefine/>
    <w:qFormat/>
    <w:pPr>
      <w:tabs>
        <w:tab w:val="center" w:pos="4153"/>
        <w:tab w:val="right" w:pos="8306"/>
      </w:tabs>
      <w:snapToGrid w:val="0"/>
      <w:jc w:val="left"/>
    </w:pPr>
    <w:rPr>
      <w:sz w:val="18"/>
      <w:szCs w:val="18"/>
    </w:rPr>
  </w:style>
  <w:style w:type="paragraph" w:styleId="Header">
    <w:name w:val="header"/>
    <w:basedOn w:val="Normal"/>
    <w:autoRedefine/>
    <w:qFormat/>
    <w:pPr>
      <w:tabs>
        <w:tab w:val="center" w:pos="4153"/>
        <w:tab w:val="right" w:pos="8306"/>
      </w:tabs>
      <w:snapToGrid w:val="0"/>
      <w:jc w:val="center"/>
    </w:pPr>
    <w:rPr>
      <w:sz w:val="18"/>
      <w:szCs w:val="18"/>
    </w:rPr>
  </w:style>
  <w:style w:type="paragraph" w:styleId="TOC1">
    <w:name w:val="toc 1"/>
    <w:basedOn w:val="Normal"/>
    <w:next w:val="Normal"/>
    <w:autoRedefine/>
    <w:uiPriority w:val="39"/>
    <w:qFormat/>
  </w:style>
  <w:style w:type="paragraph" w:styleId="TOC2">
    <w:name w:val="toc 2"/>
    <w:basedOn w:val="Normal"/>
    <w:next w:val="Normal"/>
    <w:autoRedefine/>
    <w:uiPriority w:val="39"/>
    <w:qFormat/>
    <w:pPr>
      <w:ind w:left="420" w:leftChars="200"/>
    </w:pPr>
  </w:style>
  <w:style w:type="paragraph" w:styleId="HTMLPreformatted">
    <w:name w:val="HTML Preformatted"/>
    <w:basedOn w:val="Normal"/>
    <w:autoRedefine/>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widowControl/>
      <w:spacing w:before="100" w:beforeAutospacing="1" w:after="100" w:afterAutospacing="1"/>
      <w:jc w:val="left"/>
    </w:pPr>
    <w:rPr>
      <w:rFonts w:ascii="宋体" w:hAnsi="宋体"/>
      <w:color w:val="000000"/>
      <w:kern w:val="0"/>
      <w:sz w:val="24"/>
    </w:rPr>
  </w:style>
  <w:style w:type="paragraph" w:styleId="Title">
    <w:name w:val="Title"/>
    <w:basedOn w:val="Normal"/>
    <w:autoRedefine/>
    <w:qFormat/>
    <w:pPr>
      <w:ind w:firstLine="720" w:firstLineChars="200"/>
      <w:jc w:val="center"/>
    </w:pPr>
    <w:rPr>
      <w:sz w:val="36"/>
    </w:rPr>
  </w:style>
  <w:style w:type="paragraph" w:styleId="CommentSubject">
    <w:name w:val="annotation subject"/>
    <w:basedOn w:val="CommentText"/>
    <w:next w:val="CommentText"/>
    <w:autoRedefine/>
    <w:semiHidden/>
    <w:qFormat/>
    <w:rPr>
      <w:b/>
      <w:bCs/>
    </w:rPr>
  </w:style>
  <w:style w:type="paragraph" w:styleId="BodyTextFirstIndent">
    <w:name w:val="Body Text First Indent"/>
    <w:basedOn w:val="BodyText"/>
    <w:qFormat/>
    <w:pPr>
      <w:spacing w:after="120"/>
      <w:ind w:right="0" w:firstLine="420" w:rightChars="0" w:firstLineChars="100"/>
    </w:pPr>
  </w:style>
  <w:style w:type="table" w:styleId="TableGrid">
    <w:name w:val="Table Grid"/>
    <w:basedOn w:val="TableNormal"/>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autoRedefine/>
    <w:qFormat/>
  </w:style>
  <w:style w:type="character" w:styleId="Hyperlink">
    <w:name w:val="Hyperlink"/>
    <w:autoRedefine/>
    <w:uiPriority w:val="99"/>
    <w:qFormat/>
    <w:rPr>
      <w:color w:val="0000FF"/>
      <w:u w:val="single"/>
    </w:rPr>
  </w:style>
  <w:style w:type="character" w:styleId="CommentReference">
    <w:name w:val="annotation reference"/>
    <w:qFormat/>
    <w:rPr>
      <w:sz w:val="21"/>
      <w:szCs w:val="21"/>
    </w:rPr>
  </w:style>
  <w:style w:type="paragraph" w:customStyle="1" w:styleId="bodytext0">
    <w:name w:val="body_text"/>
    <w:basedOn w:val="Normal"/>
    <w:link w:val="bodytextChar"/>
    <w:autoRedefine/>
    <w:qFormat/>
    <w:pPr>
      <w:widowControl/>
      <w:spacing w:before="100" w:beforeAutospacing="1" w:after="100" w:afterAutospacing="1"/>
      <w:ind w:firstLine="450"/>
      <w:jc w:val="left"/>
    </w:pPr>
    <w:rPr>
      <w:rFonts w:ascii="Georgia" w:hAnsi="Georgia" w:cs="宋体"/>
      <w:color w:val="333333"/>
      <w:kern w:val="0"/>
      <w:szCs w:val="21"/>
    </w:rPr>
  </w:style>
  <w:style w:type="character" w:customStyle="1" w:styleId="smallucase1">
    <w:name w:val="small_ucase1"/>
    <w:autoRedefine/>
    <w:qFormat/>
    <w:rPr>
      <w:rFonts w:ascii="Georgia" w:hAnsi="Georgia" w:hint="default"/>
      <w:caps/>
      <w:color w:val="333333"/>
      <w:sz w:val="21"/>
      <w:szCs w:val="21"/>
    </w:rPr>
  </w:style>
  <w:style w:type="character" w:customStyle="1" w:styleId="chapbodyitalic2">
    <w:name w:val="chap_body_italic2"/>
    <w:autoRedefine/>
    <w:qFormat/>
    <w:rPr>
      <w:rFonts w:ascii="Georgia" w:hAnsi="Georgia" w:hint="default"/>
      <w:i/>
      <w:iCs/>
      <w:color w:val="333333"/>
      <w:sz w:val="21"/>
      <w:szCs w:val="21"/>
    </w:rPr>
  </w:style>
  <w:style w:type="paragraph" w:customStyle="1" w:styleId="10p">
    <w:name w:val="10p"/>
    <w:basedOn w:val="Normal"/>
    <w:qFormat/>
    <w:pPr>
      <w:widowControl/>
      <w:spacing w:before="100" w:beforeAutospacing="1" w:after="100" w:afterAutospacing="1" w:line="320" w:lineRule="atLeast"/>
      <w:jc w:val="left"/>
    </w:pPr>
    <w:rPr>
      <w:rFonts w:ascii="宋体" w:hAnsi="宋体"/>
      <w:kern w:val="0"/>
      <w:szCs w:val="21"/>
    </w:rPr>
  </w:style>
  <w:style w:type="character" w:customStyle="1" w:styleId="2Char">
    <w:name w:val="标题 2 Char"/>
    <w:link w:val="Heading2"/>
    <w:qFormat/>
    <w:rPr>
      <w:rFonts w:ascii="黑体" w:eastAsia="黑体"/>
      <w:bCs/>
      <w:kern w:val="2"/>
      <w:sz w:val="36"/>
      <w:szCs w:val="36"/>
    </w:rPr>
  </w:style>
  <w:style w:type="paragraph" w:customStyle="1" w:styleId="785785">
    <w:name w:val="样式 (西文) 黑体 (中文) 黑体 (符号) 宋体 小二 居中 段前: 7.85 磅 段后: 7.85 磅"/>
    <w:basedOn w:val="Normal"/>
    <w:next w:val="BodyText"/>
    <w:qFormat/>
    <w:pPr>
      <w:spacing w:before="50" w:beforeLines="50" w:after="50" w:afterLines="50"/>
      <w:jc w:val="center"/>
    </w:pPr>
    <w:rPr>
      <w:rFonts w:eastAsia="黑体" w:cs="宋体"/>
      <w:sz w:val="36"/>
      <w:szCs w:val="36"/>
    </w:rPr>
  </w:style>
  <w:style w:type="paragraph" w:customStyle="1" w:styleId="3">
    <w:name w:val="标题3"/>
    <w:basedOn w:val="Normal"/>
    <w:next w:val="Normal"/>
    <w:qFormat/>
    <w:pPr>
      <w:ind w:firstLine="309" w:firstLineChars="100"/>
      <w:outlineLvl w:val="1"/>
    </w:pPr>
    <w:rPr>
      <w:rFonts w:ascii="黑体" w:eastAsia="黑体" w:hAnsi="宋体"/>
      <w:sz w:val="30"/>
      <w:szCs w:val="30"/>
    </w:rPr>
  </w:style>
  <w:style w:type="paragraph" w:customStyle="1" w:styleId="4">
    <w:name w:val="标题4"/>
    <w:basedOn w:val="Normal"/>
    <w:next w:val="Normal"/>
    <w:link w:val="4Char"/>
    <w:autoRedefine/>
    <w:qFormat/>
    <w:pPr>
      <w:ind w:firstLine="579" w:firstLineChars="200"/>
    </w:pPr>
    <w:rPr>
      <w:rFonts w:ascii="黑体" w:eastAsia="黑体" w:hAnsi="宋体" w:cs="宋体"/>
      <w:sz w:val="28"/>
      <w:szCs w:val="28"/>
    </w:rPr>
  </w:style>
  <w:style w:type="character" w:customStyle="1" w:styleId="1Char">
    <w:name w:val="标题 1 Char"/>
    <w:link w:val="Heading1"/>
    <w:autoRedefine/>
    <w:qFormat/>
    <w:rPr>
      <w:rFonts w:eastAsia="黑体"/>
      <w:bCs/>
      <w:kern w:val="2"/>
      <w:sz w:val="36"/>
      <w:szCs w:val="36"/>
    </w:rPr>
  </w:style>
  <w:style w:type="paragraph" w:customStyle="1" w:styleId="7857850">
    <w:name w:val="样式 样式 (西文) 黑体 (中文) 黑体 (符号) 宋体 小二 居中 段前: 7.85 磅 段后: 7.85 磅 + 首行缩进..."/>
    <w:basedOn w:val="785785"/>
    <w:qFormat/>
    <w:rPr>
      <w:szCs w:val="20"/>
    </w:rPr>
  </w:style>
  <w:style w:type="paragraph" w:customStyle="1" w:styleId="2">
    <w:name w:val="样式 正文文字 + 首行缩进:  2 字符"/>
    <w:basedOn w:val="BodyText"/>
    <w:qFormat/>
    <w:pPr>
      <w:ind w:right="0" w:firstLine="200" w:rightChars="0" w:firstLineChars="200"/>
    </w:pPr>
    <w:rPr>
      <w:rFonts w:cs="宋体"/>
      <w:szCs w:val="20"/>
    </w:rPr>
  </w:style>
  <w:style w:type="paragraph" w:customStyle="1" w:styleId="22">
    <w:name w:val="样式 样式 正文文字 + 首行缩进:  2 字符 + 首行缩进:  2 字符"/>
    <w:basedOn w:val="2"/>
    <w:autoRedefine/>
    <w:qFormat/>
    <w:pPr>
      <w:ind w:firstLine="439"/>
    </w:pPr>
  </w:style>
  <w:style w:type="paragraph" w:customStyle="1" w:styleId="99">
    <w:name w:val="正文99"/>
    <w:basedOn w:val="Normal"/>
    <w:next w:val="BodyTextFirstIndent"/>
    <w:autoRedefine/>
    <w:qFormat/>
    <w:pPr>
      <w:ind w:firstLine="439" w:firstLineChars="200"/>
    </w:pPr>
  </w:style>
  <w:style w:type="character" w:customStyle="1" w:styleId="4Char">
    <w:name w:val="标题4 Char"/>
    <w:link w:val="4"/>
    <w:autoRedefine/>
    <w:qFormat/>
    <w:rPr>
      <w:rFonts w:ascii="黑体" w:eastAsia="黑体" w:hAnsi="宋体" w:cs="宋体"/>
      <w:kern w:val="2"/>
      <w:sz w:val="28"/>
      <w:szCs w:val="28"/>
      <w:lang w:val="en-US" w:eastAsia="zh-CN" w:bidi="ar-SA"/>
    </w:rPr>
  </w:style>
  <w:style w:type="character" w:customStyle="1" w:styleId="5Char">
    <w:name w:val="标题 5 Char"/>
    <w:link w:val="Heading5"/>
    <w:autoRedefine/>
    <w:qFormat/>
    <w:rPr>
      <w:rFonts w:ascii="黑体" w:eastAsia="黑体"/>
      <w:kern w:val="2"/>
      <w:sz w:val="24"/>
      <w:szCs w:val="24"/>
    </w:rPr>
  </w:style>
  <w:style w:type="paragraph" w:customStyle="1" w:styleId="20">
    <w:name w:val="样式 标题 2 + 两端对齐"/>
    <w:basedOn w:val="Heading2"/>
    <w:qFormat/>
    <w:pPr>
      <w:jc w:val="both"/>
      <w:outlineLvl w:val="0"/>
    </w:pPr>
    <w:rPr>
      <w:rFonts w:cs="宋体"/>
      <w:bCs w:val="0"/>
      <w:szCs w:val="20"/>
    </w:rPr>
  </w:style>
  <w:style w:type="paragraph" w:customStyle="1" w:styleId="52">
    <w:name w:val="样式 标题 5 + 首行缩进:  2 字符"/>
    <w:basedOn w:val="Heading5"/>
    <w:autoRedefine/>
    <w:qFormat/>
    <w:pPr>
      <w:outlineLvl w:val="3"/>
    </w:pPr>
    <w:rPr>
      <w:rFonts w:cs="宋体"/>
      <w:szCs w:val="20"/>
    </w:rPr>
  </w:style>
  <w:style w:type="character" w:customStyle="1" w:styleId="bodytextChar">
    <w:name w:val="body_text Char"/>
    <w:link w:val="bodytext0"/>
    <w:qFormat/>
    <w:rPr>
      <w:rFonts w:ascii="Georgia" w:hAnsi="Georgia" w:cs="宋体"/>
      <w:color w:val="333333"/>
      <w:kern w:val="0"/>
      <w:szCs w:val="21"/>
    </w:rPr>
  </w:style>
  <w:style w:type="character" w:customStyle="1" w:styleId="emsimilar">
    <w:name w:val="em_similar"/>
    <w:basedOn w:val="em"/>
    <w:qFormat/>
    <w:rPr>
      <w:color w:val="FF0000"/>
    </w:rPr>
  </w:style>
  <w:style w:type="character" w:customStyle="1" w:styleId="em">
    <w:name w:val="em"/>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yperlink" Target="https://d.book118.com/117111046023006033" TargetMode="Externa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customXml" Target="../customXml/item2.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Administrator\Documents\WeChat%20Files\wxid_wh0wm7otm3ee12\FileStorage\File\2021-03\&#35770;&#25991;&#27169;&#26495;2021&#23626;.dotx"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2F0121C-9859-4501-93F6-BCF18F3B4A35}">
  <ds:schemaRefs/>
</ds:datastoreItem>
</file>

<file path=docProps/app.xml><?xml version="1.0" encoding="utf-8"?>
<Properties xmlns="http://schemas.openxmlformats.org/officeDocument/2006/extended-properties" xmlns:vt="http://schemas.openxmlformats.org/officeDocument/2006/docPropsVTypes">
  <Template>论文模板2021届.dotx</Template>
  <TotalTime>23</TotalTime>
  <Pages>5</Pages>
  <Words>4282</Words>
  <Characters>5828</Characters>
  <Application>Microsoft Office Word</Application>
  <DocSecurity>0</DocSecurity>
  <Lines>153</Lines>
  <Paragraphs>43</Paragraphs>
  <ScaleCrop>false</ScaleCrop>
  <Company/>
  <LinksUpToDate>false</LinksUpToDate>
  <CharactersWithSpaces>6906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分类号                          学号：</dc:title>
  <dc:creator>Андрей、</dc:creator>
  <cp:lastModifiedBy>ABEEL</cp:lastModifiedBy>
  <cp:revision>1</cp:revision>
  <dcterms:created xsi:type="dcterms:W3CDTF">2021-03-30T12:18:00Z</dcterms:created>
  <dcterms:modified xsi:type="dcterms:W3CDTF">2024-01-20T11:03:31Z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28FED71196914633A855A6A715B133A7_13</vt:lpwstr>
  </property>
  <property fmtid="{D5CDD505-2E9C-101B-9397-08002B2CF9AE}" pid="3" name="KSOProductBuildVer">
    <vt:lpwstr>2052-12.1.0.16120</vt:lpwstr>
  </property>
</Properties>
</file>