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电竞项目规划设计纲要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724" w:history="1">
        <w:r>
          <w:rPr>
            <w:rFonts w:ascii="仿宋" w:eastAsia="仿宋" w:hAnsi="仿宋" w:cs="仿宋" w:hint="eastAsia"/>
            <w:lang w:eastAsia="zh-CN"/>
          </w:rPr>
          <w:t>前言</w:t>
        </w:r>
        <w:r>
          <w:tab/>
        </w:r>
        <w:r>
          <w:fldChar w:fldCharType="begin"/>
        </w:r>
        <w:r>
          <w:instrText xml:space="preserve"> PAGEREF _Toc25724 \h </w:instrText>
        </w:r>
        <w:r>
          <w:fldChar w:fldCharType="separate"/>
        </w:r>
        <w:r>
          <w:t>3</w:t>
        </w:r>
        <w:r>
          <w:fldChar w:fldCharType="end"/>
        </w:r>
      </w:hyperlink>
    </w:p>
    <w:p>
      <w:pPr>
        <w:pStyle w:val="TOC1"/>
        <w:tabs>
          <w:tab w:val="right" w:leader="dot" w:pos="8306"/>
        </w:tabs>
      </w:pPr>
      <w:hyperlink w:anchor="_Toc17963" w:history="1">
        <w:r>
          <w:rPr>
            <w:rFonts w:ascii="仿宋" w:eastAsia="仿宋" w:hAnsi="仿宋" w:cs="仿宋" w:hint="eastAsia"/>
            <w:lang w:eastAsia="zh-CN"/>
          </w:rPr>
          <w:t>一、电竞项目文档管理</w:t>
        </w:r>
        <w:r>
          <w:tab/>
        </w:r>
        <w:r>
          <w:fldChar w:fldCharType="begin"/>
        </w:r>
        <w:r>
          <w:instrText xml:space="preserve"> PAGEREF _Toc17963 \h </w:instrText>
        </w:r>
        <w:r>
          <w:fldChar w:fldCharType="separate"/>
        </w:r>
        <w:r>
          <w:t>3</w:t>
        </w:r>
        <w:r>
          <w:fldChar w:fldCharType="end"/>
        </w:r>
      </w:hyperlink>
    </w:p>
    <w:p>
      <w:pPr>
        <w:pStyle w:val="TOC2"/>
        <w:tabs>
          <w:tab w:val="right" w:leader="dot" w:pos="8306"/>
        </w:tabs>
      </w:pPr>
      <w:hyperlink w:anchor="_Toc6905" w:history="1">
        <w:r>
          <w:rPr>
            <w:rFonts w:ascii="仿宋" w:eastAsia="仿宋" w:hAnsi="仿宋" w:cs="仿宋" w:hint="eastAsia"/>
            <w:lang w:eastAsia="zh-CN"/>
          </w:rPr>
          <w:t>(一)、文档编制与审查</w:t>
        </w:r>
        <w:r>
          <w:tab/>
        </w:r>
        <w:r>
          <w:fldChar w:fldCharType="begin"/>
        </w:r>
        <w:r>
          <w:instrText xml:space="preserve"> PAGEREF _Toc6905 \h </w:instrText>
        </w:r>
        <w:r>
          <w:fldChar w:fldCharType="separate"/>
        </w:r>
        <w:r>
          <w:t>3</w:t>
        </w:r>
        <w:r>
          <w:fldChar w:fldCharType="end"/>
        </w:r>
      </w:hyperlink>
    </w:p>
    <w:p>
      <w:pPr>
        <w:pStyle w:val="TOC2"/>
        <w:tabs>
          <w:tab w:val="right" w:leader="dot" w:pos="8306"/>
        </w:tabs>
      </w:pPr>
      <w:hyperlink w:anchor="_Toc13290" w:history="1">
        <w:r>
          <w:rPr>
            <w:rFonts w:ascii="仿宋" w:eastAsia="仿宋" w:hAnsi="仿宋" w:cs="仿宋" w:hint="eastAsia"/>
            <w:lang w:eastAsia="zh-CN"/>
          </w:rPr>
          <w:t>(二)、文档发布与分发</w:t>
        </w:r>
        <w:r>
          <w:tab/>
        </w:r>
        <w:r>
          <w:fldChar w:fldCharType="begin"/>
        </w:r>
        <w:r>
          <w:instrText xml:space="preserve"> PAGEREF _Toc13290 \h </w:instrText>
        </w:r>
        <w:r>
          <w:fldChar w:fldCharType="separate"/>
        </w:r>
        <w:r>
          <w:t>4</w:t>
        </w:r>
        <w:r>
          <w:fldChar w:fldCharType="end"/>
        </w:r>
      </w:hyperlink>
    </w:p>
    <w:p>
      <w:pPr>
        <w:pStyle w:val="TOC2"/>
        <w:tabs>
          <w:tab w:val="right" w:leader="dot" w:pos="8306"/>
        </w:tabs>
      </w:pPr>
      <w:hyperlink w:anchor="_Toc21561" w:history="1">
        <w:r>
          <w:rPr>
            <w:rFonts w:ascii="仿宋" w:eastAsia="仿宋" w:hAnsi="仿宋" w:cs="仿宋" w:hint="eastAsia"/>
            <w:lang w:eastAsia="zh-CN"/>
          </w:rPr>
          <w:t>(三)、文档存档与归档</w:t>
        </w:r>
        <w:r>
          <w:tab/>
        </w:r>
        <w:r>
          <w:fldChar w:fldCharType="begin"/>
        </w:r>
        <w:r>
          <w:instrText xml:space="preserve"> PAGEREF _Toc21561 \h </w:instrText>
        </w:r>
        <w:r>
          <w:fldChar w:fldCharType="separate"/>
        </w:r>
        <w:r>
          <w:t>5</w:t>
        </w:r>
        <w:r>
          <w:fldChar w:fldCharType="end"/>
        </w:r>
      </w:hyperlink>
    </w:p>
    <w:p>
      <w:pPr>
        <w:pStyle w:val="TOC1"/>
        <w:tabs>
          <w:tab w:val="right" w:leader="dot" w:pos="8306"/>
        </w:tabs>
      </w:pPr>
      <w:hyperlink w:anchor="_Toc24153" w:history="1">
        <w:r>
          <w:rPr>
            <w:rFonts w:ascii="仿宋" w:eastAsia="仿宋" w:hAnsi="仿宋" w:cs="仿宋" w:hint="eastAsia"/>
            <w:lang w:eastAsia="zh-CN"/>
          </w:rPr>
          <w:t>二、电竞项目建设单位说明</w:t>
        </w:r>
        <w:r>
          <w:tab/>
        </w:r>
        <w:r>
          <w:fldChar w:fldCharType="begin"/>
        </w:r>
        <w:r>
          <w:instrText xml:space="preserve"> PAGEREF _Toc24153 \h </w:instrText>
        </w:r>
        <w:r>
          <w:fldChar w:fldCharType="separate"/>
        </w:r>
        <w:r>
          <w:t>6</w:t>
        </w:r>
        <w:r>
          <w:fldChar w:fldCharType="end"/>
        </w:r>
      </w:hyperlink>
    </w:p>
    <w:p>
      <w:pPr>
        <w:pStyle w:val="TOC2"/>
        <w:tabs>
          <w:tab w:val="right" w:leader="dot" w:pos="8306"/>
        </w:tabs>
      </w:pPr>
      <w:hyperlink w:anchor="_Toc14717" w:history="1">
        <w:r>
          <w:rPr>
            <w:rFonts w:ascii="仿宋" w:eastAsia="仿宋" w:hAnsi="仿宋" w:cs="仿宋" w:hint="eastAsia"/>
            <w:lang w:eastAsia="zh-CN"/>
          </w:rPr>
          <w:t>(一)、电竞项目承办单位基本情况</w:t>
        </w:r>
        <w:r>
          <w:tab/>
        </w:r>
        <w:r>
          <w:fldChar w:fldCharType="begin"/>
        </w:r>
        <w:r>
          <w:instrText xml:space="preserve"> PAGEREF _Toc14717 \h </w:instrText>
        </w:r>
        <w:r>
          <w:fldChar w:fldCharType="separate"/>
        </w:r>
        <w:r>
          <w:t>6</w:t>
        </w:r>
        <w:r>
          <w:fldChar w:fldCharType="end"/>
        </w:r>
      </w:hyperlink>
    </w:p>
    <w:p>
      <w:pPr>
        <w:pStyle w:val="TOC2"/>
        <w:tabs>
          <w:tab w:val="right" w:leader="dot" w:pos="8306"/>
        </w:tabs>
      </w:pPr>
      <w:hyperlink w:anchor="_Toc19319" w:history="1">
        <w:r>
          <w:rPr>
            <w:rFonts w:ascii="仿宋" w:eastAsia="仿宋" w:hAnsi="仿宋" w:cs="仿宋" w:hint="eastAsia"/>
            <w:lang w:eastAsia="zh-CN"/>
          </w:rPr>
          <w:t>(二)、公司经济效益分析</w:t>
        </w:r>
        <w:r>
          <w:tab/>
        </w:r>
        <w:r>
          <w:fldChar w:fldCharType="begin"/>
        </w:r>
        <w:r>
          <w:instrText xml:space="preserve"> PAGEREF _Toc19319 \h </w:instrText>
        </w:r>
        <w:r>
          <w:fldChar w:fldCharType="separate"/>
        </w:r>
        <w:r>
          <w:t>7</w:t>
        </w:r>
        <w:r>
          <w:fldChar w:fldCharType="end"/>
        </w:r>
      </w:hyperlink>
    </w:p>
    <w:p>
      <w:pPr>
        <w:pStyle w:val="TOC1"/>
        <w:tabs>
          <w:tab w:val="right" w:leader="dot" w:pos="8306"/>
        </w:tabs>
      </w:pPr>
      <w:hyperlink w:anchor="_Toc15239" w:history="1">
        <w:r>
          <w:rPr>
            <w:rFonts w:ascii="仿宋" w:eastAsia="仿宋" w:hAnsi="仿宋" w:cs="仿宋" w:hint="eastAsia"/>
            <w:lang w:eastAsia="zh-CN"/>
          </w:rPr>
          <w:t>三、市场分析、调研</w:t>
        </w:r>
        <w:r>
          <w:tab/>
        </w:r>
        <w:r>
          <w:fldChar w:fldCharType="begin"/>
        </w:r>
        <w:r>
          <w:instrText xml:space="preserve"> PAGEREF _Toc15239 \h </w:instrText>
        </w:r>
        <w:r>
          <w:fldChar w:fldCharType="separate"/>
        </w:r>
        <w:r>
          <w:t>8</w:t>
        </w:r>
        <w:r>
          <w:fldChar w:fldCharType="end"/>
        </w:r>
      </w:hyperlink>
    </w:p>
    <w:p>
      <w:pPr>
        <w:pStyle w:val="TOC2"/>
        <w:tabs>
          <w:tab w:val="right" w:leader="dot" w:pos="8306"/>
        </w:tabs>
      </w:pPr>
      <w:hyperlink w:anchor="_Toc2256" w:history="1">
        <w:r>
          <w:rPr>
            <w:rFonts w:ascii="仿宋" w:eastAsia="仿宋" w:hAnsi="仿宋" w:cs="仿宋" w:hint="eastAsia"/>
            <w:lang w:eastAsia="zh-CN"/>
          </w:rPr>
          <w:t>(一)、电竞行业分析</w:t>
        </w:r>
        <w:r>
          <w:tab/>
        </w:r>
        <w:r>
          <w:fldChar w:fldCharType="begin"/>
        </w:r>
        <w:r>
          <w:instrText xml:space="preserve"> PAGEREF _Toc2256 \h </w:instrText>
        </w:r>
        <w:r>
          <w:fldChar w:fldCharType="separate"/>
        </w:r>
        <w:r>
          <w:t>8</w:t>
        </w:r>
        <w:r>
          <w:fldChar w:fldCharType="end"/>
        </w:r>
      </w:hyperlink>
    </w:p>
    <w:p>
      <w:pPr>
        <w:pStyle w:val="TOC2"/>
        <w:tabs>
          <w:tab w:val="right" w:leader="dot" w:pos="8306"/>
        </w:tabs>
      </w:pPr>
      <w:hyperlink w:anchor="_Toc23098" w:history="1">
        <w:r>
          <w:rPr>
            <w:rFonts w:ascii="仿宋" w:eastAsia="仿宋" w:hAnsi="仿宋" w:cs="仿宋" w:hint="eastAsia"/>
            <w:lang w:eastAsia="zh-CN"/>
          </w:rPr>
          <w:t>(二)、电竞市场分析预测</w:t>
        </w:r>
        <w:r>
          <w:tab/>
        </w:r>
        <w:r>
          <w:fldChar w:fldCharType="begin"/>
        </w:r>
        <w:r>
          <w:instrText xml:space="preserve"> PAGEREF _Toc23098 \h </w:instrText>
        </w:r>
        <w:r>
          <w:fldChar w:fldCharType="separate"/>
        </w:r>
        <w:r>
          <w:t>9</w:t>
        </w:r>
        <w:r>
          <w:fldChar w:fldCharType="end"/>
        </w:r>
      </w:hyperlink>
    </w:p>
    <w:p>
      <w:pPr>
        <w:pStyle w:val="TOC1"/>
        <w:tabs>
          <w:tab w:val="right" w:leader="dot" w:pos="8306"/>
        </w:tabs>
      </w:pPr>
      <w:hyperlink w:anchor="_Toc17690" w:history="1">
        <w:r>
          <w:rPr>
            <w:rFonts w:ascii="仿宋" w:eastAsia="仿宋" w:hAnsi="仿宋" w:cs="仿宋" w:hint="eastAsia"/>
            <w:lang w:eastAsia="zh-CN"/>
          </w:rPr>
          <w:t>四、电竞项目建设背景及必要性分析</w:t>
        </w:r>
        <w:r>
          <w:tab/>
        </w:r>
        <w:r>
          <w:fldChar w:fldCharType="begin"/>
        </w:r>
        <w:r>
          <w:instrText xml:space="preserve"> PAGEREF _Toc17690 \h </w:instrText>
        </w:r>
        <w:r>
          <w:fldChar w:fldCharType="separate"/>
        </w:r>
        <w:r>
          <w:t>9</w:t>
        </w:r>
        <w:r>
          <w:fldChar w:fldCharType="end"/>
        </w:r>
      </w:hyperlink>
    </w:p>
    <w:p>
      <w:pPr>
        <w:pStyle w:val="TOC2"/>
        <w:tabs>
          <w:tab w:val="right" w:leader="dot" w:pos="8306"/>
        </w:tabs>
      </w:pPr>
      <w:hyperlink w:anchor="_Toc1617" w:history="1">
        <w:r>
          <w:rPr>
            <w:rFonts w:ascii="仿宋" w:eastAsia="仿宋" w:hAnsi="仿宋" w:cs="仿宋" w:hint="eastAsia"/>
            <w:lang w:eastAsia="zh-CN"/>
          </w:rPr>
          <w:t>(一)、电竞项目背景分析</w:t>
        </w:r>
        <w:r>
          <w:tab/>
        </w:r>
        <w:r>
          <w:fldChar w:fldCharType="begin"/>
        </w:r>
        <w:r>
          <w:instrText xml:space="preserve"> PAGEREF _Toc1617 \h </w:instrText>
        </w:r>
        <w:r>
          <w:fldChar w:fldCharType="separate"/>
        </w:r>
        <w:r>
          <w:t>9</w:t>
        </w:r>
        <w:r>
          <w:fldChar w:fldCharType="end"/>
        </w:r>
      </w:hyperlink>
    </w:p>
    <w:p>
      <w:pPr>
        <w:pStyle w:val="TOC2"/>
        <w:tabs>
          <w:tab w:val="right" w:leader="dot" w:pos="8306"/>
        </w:tabs>
      </w:pPr>
      <w:hyperlink w:anchor="_Toc8089" w:history="1">
        <w:r>
          <w:rPr>
            <w:rFonts w:ascii="仿宋" w:eastAsia="仿宋" w:hAnsi="仿宋" w:cs="仿宋" w:hint="eastAsia"/>
            <w:lang w:eastAsia="zh-CN"/>
          </w:rPr>
          <w:t>(二)、电竞项目建设必要性分析</w:t>
        </w:r>
        <w:r>
          <w:tab/>
        </w:r>
        <w:r>
          <w:fldChar w:fldCharType="begin"/>
        </w:r>
        <w:r>
          <w:instrText xml:space="preserve"> PAGEREF _Toc8089 \h </w:instrText>
        </w:r>
        <w:r>
          <w:fldChar w:fldCharType="separate"/>
        </w:r>
        <w:r>
          <w:t>11</w:t>
        </w:r>
        <w:r>
          <w:fldChar w:fldCharType="end"/>
        </w:r>
      </w:hyperlink>
    </w:p>
    <w:p>
      <w:pPr>
        <w:pStyle w:val="TOC1"/>
        <w:tabs>
          <w:tab w:val="right" w:leader="dot" w:pos="8306"/>
        </w:tabs>
      </w:pPr>
      <w:hyperlink w:anchor="_Toc21927" w:history="1">
        <w:r>
          <w:rPr>
            <w:rFonts w:ascii="仿宋" w:eastAsia="仿宋" w:hAnsi="仿宋" w:cs="仿宋" w:hint="eastAsia"/>
            <w:lang w:eastAsia="zh-CN"/>
          </w:rPr>
          <w:t>五、产品规划分析</w:t>
        </w:r>
        <w:r>
          <w:tab/>
        </w:r>
        <w:r>
          <w:fldChar w:fldCharType="begin"/>
        </w:r>
        <w:r>
          <w:instrText xml:space="preserve"> PAGEREF _Toc21927 \h </w:instrText>
        </w:r>
        <w:r>
          <w:fldChar w:fldCharType="separate"/>
        </w:r>
        <w:r>
          <w:t>12</w:t>
        </w:r>
        <w:r>
          <w:fldChar w:fldCharType="end"/>
        </w:r>
      </w:hyperlink>
    </w:p>
    <w:p>
      <w:pPr>
        <w:pStyle w:val="TOC2"/>
        <w:tabs>
          <w:tab w:val="right" w:leader="dot" w:pos="8306"/>
        </w:tabs>
      </w:pPr>
      <w:hyperlink w:anchor="_Toc9149" w:history="1">
        <w:r>
          <w:rPr>
            <w:rFonts w:ascii="仿宋" w:eastAsia="仿宋" w:hAnsi="仿宋" w:cs="仿宋" w:hint="eastAsia"/>
            <w:lang w:eastAsia="zh-CN"/>
          </w:rPr>
          <w:t>(一)、产品规划</w:t>
        </w:r>
        <w:r>
          <w:tab/>
        </w:r>
        <w:r>
          <w:fldChar w:fldCharType="begin"/>
        </w:r>
        <w:r>
          <w:instrText xml:space="preserve"> PAGEREF _Toc9149 \h </w:instrText>
        </w:r>
        <w:r>
          <w:fldChar w:fldCharType="separate"/>
        </w:r>
        <w:r>
          <w:t>12</w:t>
        </w:r>
        <w:r>
          <w:fldChar w:fldCharType="end"/>
        </w:r>
      </w:hyperlink>
    </w:p>
    <w:p>
      <w:pPr>
        <w:pStyle w:val="TOC2"/>
        <w:tabs>
          <w:tab w:val="right" w:leader="dot" w:pos="8306"/>
        </w:tabs>
      </w:pPr>
      <w:hyperlink w:anchor="_Toc18150" w:history="1">
        <w:r>
          <w:rPr>
            <w:rFonts w:ascii="仿宋" w:eastAsia="仿宋" w:hAnsi="仿宋" w:cs="仿宋" w:hint="eastAsia"/>
            <w:lang w:eastAsia="zh-CN"/>
          </w:rPr>
          <w:t>(二)、建设规模</w:t>
        </w:r>
        <w:r>
          <w:tab/>
        </w:r>
        <w:r>
          <w:fldChar w:fldCharType="begin"/>
        </w:r>
        <w:r>
          <w:instrText xml:space="preserve"> PAGEREF _Toc18150 \h </w:instrText>
        </w:r>
        <w:r>
          <w:fldChar w:fldCharType="separate"/>
        </w:r>
        <w:r>
          <w:t>13</w:t>
        </w:r>
        <w:r>
          <w:fldChar w:fldCharType="end"/>
        </w:r>
      </w:hyperlink>
    </w:p>
    <w:p>
      <w:pPr>
        <w:pStyle w:val="TOC1"/>
        <w:tabs>
          <w:tab w:val="right" w:leader="dot" w:pos="8306"/>
        </w:tabs>
      </w:pPr>
      <w:hyperlink w:anchor="_Toc23195" w:history="1">
        <w:r>
          <w:rPr>
            <w:rFonts w:ascii="仿宋" w:eastAsia="仿宋" w:hAnsi="仿宋" w:cs="仿宋" w:hint="eastAsia"/>
            <w:lang w:eastAsia="zh-CN"/>
          </w:rPr>
          <w:t>六、电竞项目绩效评估</w:t>
        </w:r>
        <w:r>
          <w:tab/>
        </w:r>
        <w:r>
          <w:fldChar w:fldCharType="begin"/>
        </w:r>
        <w:r>
          <w:instrText xml:space="preserve"> PAGEREF _Toc23195 \h </w:instrText>
        </w:r>
        <w:r>
          <w:fldChar w:fldCharType="separate"/>
        </w:r>
        <w:r>
          <w:t>14</w:t>
        </w:r>
        <w:r>
          <w:fldChar w:fldCharType="end"/>
        </w:r>
      </w:hyperlink>
    </w:p>
    <w:p>
      <w:pPr>
        <w:pStyle w:val="TOC2"/>
        <w:tabs>
          <w:tab w:val="right" w:leader="dot" w:pos="8306"/>
        </w:tabs>
      </w:pPr>
      <w:hyperlink w:anchor="_Toc30622" w:history="1">
        <w:r>
          <w:rPr>
            <w:rFonts w:ascii="仿宋" w:eastAsia="仿宋" w:hAnsi="仿宋" w:cs="仿宋" w:hint="eastAsia"/>
            <w:lang w:eastAsia="zh-CN"/>
          </w:rPr>
          <w:t>(一)、绩效评估指标</w:t>
        </w:r>
        <w:r>
          <w:tab/>
        </w:r>
        <w:r>
          <w:fldChar w:fldCharType="begin"/>
        </w:r>
        <w:r>
          <w:instrText xml:space="preserve"> PAGEREF _Toc30622 \h </w:instrText>
        </w:r>
        <w:r>
          <w:fldChar w:fldCharType="separate"/>
        </w:r>
        <w:r>
          <w:t>14</w:t>
        </w:r>
        <w:r>
          <w:fldChar w:fldCharType="end"/>
        </w:r>
      </w:hyperlink>
    </w:p>
    <w:p>
      <w:pPr>
        <w:pStyle w:val="TOC2"/>
        <w:tabs>
          <w:tab w:val="right" w:leader="dot" w:pos="8306"/>
        </w:tabs>
      </w:pPr>
      <w:hyperlink w:anchor="_Toc26918" w:history="1">
        <w:r>
          <w:rPr>
            <w:rFonts w:ascii="仿宋" w:eastAsia="仿宋" w:hAnsi="仿宋" w:cs="仿宋" w:hint="eastAsia"/>
            <w:lang w:eastAsia="zh-CN"/>
          </w:rPr>
          <w:t>(二)、绩效评估方法</w:t>
        </w:r>
        <w:r>
          <w:tab/>
        </w:r>
        <w:r>
          <w:fldChar w:fldCharType="begin"/>
        </w:r>
        <w:r>
          <w:instrText xml:space="preserve"> PAGEREF _Toc26918 \h </w:instrText>
        </w:r>
        <w:r>
          <w:fldChar w:fldCharType="separate"/>
        </w:r>
        <w:r>
          <w:t>15</w:t>
        </w:r>
        <w:r>
          <w:fldChar w:fldCharType="end"/>
        </w:r>
      </w:hyperlink>
    </w:p>
    <w:p>
      <w:pPr>
        <w:pStyle w:val="TOC2"/>
        <w:tabs>
          <w:tab w:val="right" w:leader="dot" w:pos="8306"/>
        </w:tabs>
      </w:pPr>
      <w:hyperlink w:anchor="_Toc2056" w:history="1">
        <w:r>
          <w:rPr>
            <w:rFonts w:ascii="仿宋" w:eastAsia="仿宋" w:hAnsi="仿宋" w:cs="仿宋" w:hint="eastAsia"/>
            <w:lang w:eastAsia="zh-CN"/>
          </w:rPr>
          <w:t>(三)、绩效评估周期</w:t>
        </w:r>
        <w:r>
          <w:tab/>
        </w:r>
        <w:r>
          <w:fldChar w:fldCharType="begin"/>
        </w:r>
        <w:r>
          <w:instrText xml:space="preserve"> PAGEREF _Toc2056 \h </w:instrText>
        </w:r>
        <w:r>
          <w:fldChar w:fldCharType="separate"/>
        </w:r>
        <w:r>
          <w:t>16</w:t>
        </w:r>
        <w:r>
          <w:fldChar w:fldCharType="end"/>
        </w:r>
      </w:hyperlink>
    </w:p>
    <w:p>
      <w:pPr>
        <w:pStyle w:val="TOC1"/>
        <w:tabs>
          <w:tab w:val="right" w:leader="dot" w:pos="8306"/>
        </w:tabs>
      </w:pPr>
      <w:hyperlink w:anchor="_Toc10593" w:history="1">
        <w:r>
          <w:rPr>
            <w:rFonts w:ascii="仿宋" w:eastAsia="仿宋" w:hAnsi="仿宋" w:cs="仿宋" w:hint="eastAsia"/>
            <w:lang w:eastAsia="zh-CN"/>
          </w:rPr>
          <w:t>七、电竞项目风险管理</w:t>
        </w:r>
        <w:r>
          <w:tab/>
        </w:r>
        <w:r>
          <w:fldChar w:fldCharType="begin"/>
        </w:r>
        <w:r>
          <w:instrText xml:space="preserve"> PAGEREF _Toc10593 \h </w:instrText>
        </w:r>
        <w:r>
          <w:fldChar w:fldCharType="separate"/>
        </w:r>
        <w:r>
          <w:t>17</w:t>
        </w:r>
        <w:r>
          <w:fldChar w:fldCharType="end"/>
        </w:r>
      </w:hyperlink>
    </w:p>
    <w:p>
      <w:pPr>
        <w:pStyle w:val="TOC2"/>
        <w:tabs>
          <w:tab w:val="right" w:leader="dot" w:pos="8306"/>
        </w:tabs>
      </w:pPr>
      <w:hyperlink w:anchor="_Toc524" w:history="1">
        <w:r>
          <w:rPr>
            <w:rFonts w:ascii="仿宋" w:eastAsia="仿宋" w:hAnsi="仿宋" w:cs="仿宋" w:hint="eastAsia"/>
            <w:lang w:eastAsia="zh-CN"/>
          </w:rPr>
          <w:t>(一)、风险识别与评估</w:t>
        </w:r>
        <w:r>
          <w:tab/>
        </w:r>
        <w:r>
          <w:fldChar w:fldCharType="begin"/>
        </w:r>
        <w:r>
          <w:instrText xml:space="preserve"> PAGEREF _Toc524 \h </w:instrText>
        </w:r>
        <w:r>
          <w:fldChar w:fldCharType="separate"/>
        </w:r>
        <w:r>
          <w:t>17</w:t>
        </w:r>
        <w:r>
          <w:fldChar w:fldCharType="end"/>
        </w:r>
      </w:hyperlink>
    </w:p>
    <w:p>
      <w:pPr>
        <w:pStyle w:val="TOC2"/>
        <w:tabs>
          <w:tab w:val="right" w:leader="dot" w:pos="8306"/>
        </w:tabs>
      </w:pPr>
      <w:hyperlink w:anchor="_Toc24023" w:history="1">
        <w:r>
          <w:rPr>
            <w:rFonts w:ascii="仿宋" w:eastAsia="仿宋" w:hAnsi="仿宋" w:cs="仿宋" w:hint="eastAsia"/>
            <w:lang w:eastAsia="zh-CN"/>
          </w:rPr>
          <w:t>(二)、风险应对策略</w:t>
        </w:r>
        <w:r>
          <w:tab/>
        </w:r>
        <w:r>
          <w:fldChar w:fldCharType="begin"/>
        </w:r>
        <w:r>
          <w:instrText xml:space="preserve"> PAGEREF _Toc24023 \h </w:instrText>
        </w:r>
        <w:r>
          <w:fldChar w:fldCharType="separate"/>
        </w:r>
        <w:r>
          <w:t>18</w:t>
        </w:r>
        <w:r>
          <w:fldChar w:fldCharType="end"/>
        </w:r>
      </w:hyperlink>
    </w:p>
    <w:p>
      <w:pPr>
        <w:pStyle w:val="TOC2"/>
        <w:tabs>
          <w:tab w:val="right" w:leader="dot" w:pos="8306"/>
        </w:tabs>
      </w:pPr>
      <w:hyperlink w:anchor="_Toc1343" w:history="1">
        <w:r>
          <w:rPr>
            <w:rFonts w:ascii="仿宋" w:eastAsia="仿宋" w:hAnsi="仿宋" w:cs="仿宋" w:hint="eastAsia"/>
            <w:lang w:eastAsia="zh-CN"/>
          </w:rPr>
          <w:t>(三)、风险监控与控制</w:t>
        </w:r>
        <w:r>
          <w:tab/>
        </w:r>
        <w:r>
          <w:fldChar w:fldCharType="begin"/>
        </w:r>
        <w:r>
          <w:instrText xml:space="preserve"> PAGEREF _Toc1343 \h </w:instrText>
        </w:r>
        <w:r>
          <w:fldChar w:fldCharType="separate"/>
        </w:r>
        <w:r>
          <w:t>20</w:t>
        </w:r>
        <w:r>
          <w:fldChar w:fldCharType="end"/>
        </w:r>
      </w:hyperlink>
    </w:p>
    <w:p>
      <w:pPr>
        <w:pStyle w:val="TOC1"/>
        <w:tabs>
          <w:tab w:val="right" w:leader="dot" w:pos="8306"/>
        </w:tabs>
      </w:pPr>
      <w:hyperlink w:anchor="_Toc23069" w:history="1">
        <w:r>
          <w:rPr>
            <w:rFonts w:ascii="仿宋" w:eastAsia="仿宋" w:hAnsi="仿宋" w:cs="仿宋" w:hint="eastAsia"/>
            <w:lang w:eastAsia="zh-CN"/>
          </w:rPr>
          <w:t>八、电竞项目技术管理</w:t>
        </w:r>
        <w:r>
          <w:tab/>
        </w:r>
        <w:r>
          <w:fldChar w:fldCharType="begin"/>
        </w:r>
        <w:r>
          <w:instrText xml:space="preserve"> PAGEREF _Toc23069 \h </w:instrText>
        </w:r>
        <w:r>
          <w:fldChar w:fldCharType="separate"/>
        </w:r>
        <w:r>
          <w:t>21</w:t>
        </w:r>
        <w:r>
          <w:fldChar w:fldCharType="end"/>
        </w:r>
      </w:hyperlink>
    </w:p>
    <w:p>
      <w:pPr>
        <w:pStyle w:val="TOC2"/>
        <w:tabs>
          <w:tab w:val="right" w:leader="dot" w:pos="8306"/>
        </w:tabs>
      </w:pPr>
      <w:hyperlink w:anchor="_Toc18413" w:history="1">
        <w:r>
          <w:rPr>
            <w:rFonts w:ascii="仿宋" w:eastAsia="仿宋" w:hAnsi="仿宋" w:cs="仿宋" w:hint="eastAsia"/>
            <w:lang w:eastAsia="zh-CN"/>
          </w:rPr>
          <w:t>(一)、技术方案选用方向</w:t>
        </w:r>
        <w:r>
          <w:tab/>
        </w:r>
        <w:r>
          <w:fldChar w:fldCharType="begin"/>
        </w:r>
        <w:r>
          <w:instrText xml:space="preserve"> PAGEREF _Toc18413 \h </w:instrText>
        </w:r>
        <w:r>
          <w:fldChar w:fldCharType="separate"/>
        </w:r>
        <w:r>
          <w:t>21</w:t>
        </w:r>
        <w:r>
          <w:fldChar w:fldCharType="end"/>
        </w:r>
      </w:hyperlink>
    </w:p>
    <w:p>
      <w:pPr>
        <w:pStyle w:val="TOC2"/>
        <w:tabs>
          <w:tab w:val="right" w:leader="dot" w:pos="8306"/>
        </w:tabs>
      </w:pPr>
      <w:hyperlink w:anchor="_Toc4146" w:history="1">
        <w:r>
          <w:rPr>
            <w:rFonts w:ascii="仿宋" w:eastAsia="仿宋" w:hAnsi="仿宋" w:cs="仿宋" w:hint="eastAsia"/>
            <w:lang w:eastAsia="zh-CN"/>
          </w:rPr>
          <w:t>(二)、工艺技术方案选用原则</w:t>
        </w:r>
        <w:r>
          <w:tab/>
        </w:r>
        <w:r>
          <w:fldChar w:fldCharType="begin"/>
        </w:r>
        <w:r>
          <w:instrText xml:space="preserve"> PAGEREF _Toc4146 \h </w:instrText>
        </w:r>
        <w:r>
          <w:fldChar w:fldCharType="separate"/>
        </w:r>
        <w:r>
          <w:t>23</w:t>
        </w:r>
        <w:r>
          <w:fldChar w:fldCharType="end"/>
        </w:r>
      </w:hyperlink>
    </w:p>
    <w:p>
      <w:pPr>
        <w:pStyle w:val="TOC2"/>
        <w:tabs>
          <w:tab w:val="right" w:leader="dot" w:pos="8306"/>
        </w:tabs>
      </w:pPr>
      <w:hyperlink w:anchor="_Toc15732" w:history="1">
        <w:r>
          <w:rPr>
            <w:rFonts w:ascii="仿宋" w:eastAsia="仿宋" w:hAnsi="仿宋" w:cs="仿宋" w:hint="eastAsia"/>
            <w:lang w:eastAsia="zh-CN"/>
          </w:rPr>
          <w:t>(三)、工艺技术方案要求</w:t>
        </w:r>
        <w:r>
          <w:tab/>
        </w:r>
        <w:r>
          <w:fldChar w:fldCharType="begin"/>
        </w:r>
        <w:r>
          <w:instrText xml:space="preserve"> PAGEREF _Toc15732 \h </w:instrText>
        </w:r>
        <w:r>
          <w:fldChar w:fldCharType="separate"/>
        </w:r>
        <w:r>
          <w:t>25</w:t>
        </w:r>
        <w:r>
          <w:fldChar w:fldCharType="end"/>
        </w:r>
      </w:hyperlink>
    </w:p>
    <w:p>
      <w:pPr>
        <w:pStyle w:val="TOC1"/>
        <w:tabs>
          <w:tab w:val="right" w:leader="dot" w:pos="8306"/>
        </w:tabs>
      </w:pPr>
      <w:hyperlink w:anchor="_Toc12781" w:history="1">
        <w:r>
          <w:rPr>
            <w:rFonts w:ascii="仿宋" w:eastAsia="仿宋" w:hAnsi="仿宋" w:cs="仿宋" w:hint="eastAsia"/>
            <w:lang w:eastAsia="zh-CN"/>
          </w:rPr>
          <w:t>九、生产安全保护</w:t>
        </w:r>
        <w:r>
          <w:tab/>
        </w:r>
        <w:r>
          <w:fldChar w:fldCharType="begin"/>
        </w:r>
        <w:r>
          <w:instrText xml:space="preserve"> PAGEREF _Toc12781 \h </w:instrText>
        </w:r>
        <w:r>
          <w:fldChar w:fldCharType="separate"/>
        </w:r>
        <w:r>
          <w:t>27</w:t>
        </w:r>
        <w:r>
          <w:fldChar w:fldCharType="end"/>
        </w:r>
      </w:hyperlink>
    </w:p>
    <w:p>
      <w:pPr>
        <w:pStyle w:val="TOC2"/>
        <w:tabs>
          <w:tab w:val="right" w:leader="dot" w:pos="8306"/>
        </w:tabs>
      </w:pPr>
      <w:hyperlink w:anchor="_Toc29816" w:history="1">
        <w:r>
          <w:rPr>
            <w:rFonts w:ascii="仿宋" w:eastAsia="仿宋" w:hAnsi="仿宋" w:cs="仿宋" w:hint="eastAsia"/>
            <w:lang w:eastAsia="zh-CN"/>
          </w:rPr>
          <w:t>(一)、消防安全</w:t>
        </w:r>
        <w:r>
          <w:tab/>
        </w:r>
        <w:r>
          <w:fldChar w:fldCharType="begin"/>
        </w:r>
        <w:r>
          <w:instrText xml:space="preserve"> PAGEREF _Toc29816 \h </w:instrText>
        </w:r>
        <w:r>
          <w:fldChar w:fldCharType="separate"/>
        </w:r>
        <w:r>
          <w:t>27</w:t>
        </w:r>
        <w:r>
          <w:fldChar w:fldCharType="end"/>
        </w:r>
      </w:hyperlink>
    </w:p>
    <w:p>
      <w:pPr>
        <w:pStyle w:val="TOC2"/>
        <w:tabs>
          <w:tab w:val="right" w:leader="dot" w:pos="8306"/>
        </w:tabs>
      </w:pPr>
      <w:hyperlink w:anchor="_Toc20193" w:history="1">
        <w:r>
          <w:rPr>
            <w:rFonts w:ascii="仿宋" w:eastAsia="仿宋" w:hAnsi="仿宋" w:cs="仿宋" w:hint="eastAsia"/>
            <w:lang w:eastAsia="zh-CN"/>
          </w:rPr>
          <w:t>(二)、防火防爆总图布置措施</w:t>
        </w:r>
        <w:r>
          <w:tab/>
        </w:r>
        <w:r>
          <w:fldChar w:fldCharType="begin"/>
        </w:r>
        <w:r>
          <w:instrText xml:space="preserve"> PAGEREF _Toc20193 \h </w:instrText>
        </w:r>
        <w:r>
          <w:fldChar w:fldCharType="separate"/>
        </w:r>
        <w:r>
          <w:t>28</w:t>
        </w:r>
        <w:r>
          <w:fldChar w:fldCharType="end"/>
        </w:r>
      </w:hyperlink>
    </w:p>
    <w:p>
      <w:pPr>
        <w:pStyle w:val="TOC2"/>
        <w:tabs>
          <w:tab w:val="right" w:leader="dot" w:pos="8306"/>
        </w:tabs>
      </w:pPr>
      <w:hyperlink w:anchor="_Toc5050" w:history="1">
        <w:r>
          <w:rPr>
            <w:rFonts w:ascii="仿宋" w:eastAsia="仿宋" w:hAnsi="仿宋" w:cs="仿宋" w:hint="eastAsia"/>
            <w:lang w:eastAsia="zh-CN"/>
          </w:rPr>
          <w:t>(三)、自然灾害防范措施</w:t>
        </w:r>
        <w:r>
          <w:tab/>
        </w:r>
        <w:r>
          <w:fldChar w:fldCharType="begin"/>
        </w:r>
        <w:r>
          <w:instrText xml:space="preserve"> PAGEREF _Toc5050 \h </w:instrText>
        </w:r>
        <w:r>
          <w:fldChar w:fldCharType="separate"/>
        </w:r>
        <w:r>
          <w:t>29</w:t>
        </w:r>
        <w:r>
          <w:fldChar w:fldCharType="end"/>
        </w:r>
      </w:hyperlink>
    </w:p>
    <w:p>
      <w:pPr>
        <w:pStyle w:val="TOC2"/>
        <w:tabs>
          <w:tab w:val="right" w:leader="dot" w:pos="8306"/>
        </w:tabs>
      </w:pPr>
      <w:hyperlink w:anchor="_Toc23134" w:history="1">
        <w:r>
          <w:rPr>
            <w:rFonts w:ascii="仿宋" w:eastAsia="仿宋" w:hAnsi="仿宋" w:cs="仿宋" w:hint="eastAsia"/>
            <w:lang w:eastAsia="zh-CN"/>
          </w:rPr>
          <w:t>(四)、安全色及安全标志使用要求</w:t>
        </w:r>
        <w:r>
          <w:tab/>
        </w:r>
        <w:r>
          <w:fldChar w:fldCharType="begin"/>
        </w:r>
        <w:r>
          <w:instrText xml:space="preserve"> PAGEREF _Toc23134 \h </w:instrText>
        </w:r>
        <w:r>
          <w:fldChar w:fldCharType="separate"/>
        </w:r>
        <w:r>
          <w:t>30</w:t>
        </w:r>
        <w:r>
          <w:fldChar w:fldCharType="end"/>
        </w:r>
      </w:hyperlink>
    </w:p>
    <w:p>
      <w:pPr>
        <w:pStyle w:val="TOC2"/>
        <w:tabs>
          <w:tab w:val="right" w:leader="dot" w:pos="8306"/>
        </w:tabs>
      </w:pPr>
      <w:hyperlink w:anchor="_Toc21142" w:history="1">
        <w:r>
          <w:rPr>
            <w:rFonts w:ascii="仿宋" w:eastAsia="仿宋" w:hAnsi="仿宋" w:cs="仿宋" w:hint="eastAsia"/>
            <w:lang w:eastAsia="zh-CN"/>
          </w:rPr>
          <w:t>(五)、防尘防毒措施</w:t>
        </w:r>
        <w:r>
          <w:tab/>
        </w:r>
        <w:r>
          <w:fldChar w:fldCharType="begin"/>
        </w:r>
        <w:r>
          <w:instrText xml:space="preserve"> PAGEREF _Toc21142 \h </w:instrText>
        </w:r>
        <w:r>
          <w:fldChar w:fldCharType="separate"/>
        </w:r>
        <w:r>
          <w:t>31</w:t>
        </w:r>
        <w:r>
          <w:fldChar w:fldCharType="end"/>
        </w:r>
      </w:hyperlink>
    </w:p>
    <w:p>
      <w:pPr>
        <w:pStyle w:val="TOC2"/>
        <w:tabs>
          <w:tab w:val="right" w:leader="dot" w:pos="8306"/>
        </w:tabs>
      </w:pPr>
      <w:hyperlink w:anchor="_Toc8821" w:history="1">
        <w:r>
          <w:rPr>
            <w:rFonts w:ascii="仿宋" w:eastAsia="仿宋" w:hAnsi="仿宋" w:cs="仿宋" w:hint="eastAsia"/>
            <w:lang w:eastAsia="zh-CN"/>
          </w:rPr>
          <w:t>(六)、防静电、触电防护及防雷措施</w:t>
        </w:r>
        <w:r>
          <w:tab/>
        </w:r>
        <w:r>
          <w:fldChar w:fldCharType="begin"/>
        </w:r>
        <w:r>
          <w:instrText xml:space="preserve"> PAGEREF _Toc8821 \h </w:instrText>
        </w:r>
        <w:r>
          <w:fldChar w:fldCharType="separate"/>
        </w:r>
        <w:r>
          <w:t>32</w:t>
        </w:r>
        <w:r>
          <w:fldChar w:fldCharType="end"/>
        </w:r>
      </w:hyperlink>
    </w:p>
    <w:p>
      <w:pPr>
        <w:pStyle w:val="TOC2"/>
        <w:tabs>
          <w:tab w:val="right" w:leader="dot" w:pos="8306"/>
        </w:tabs>
      </w:pPr>
      <w:hyperlink w:anchor="_Toc29295" w:history="1">
        <w:r>
          <w:rPr>
            <w:rFonts w:ascii="仿宋" w:eastAsia="仿宋" w:hAnsi="仿宋" w:cs="仿宋" w:hint="eastAsia"/>
            <w:lang w:eastAsia="zh-CN"/>
          </w:rPr>
          <w:t>(七)、机械设备安全保障措施</w:t>
        </w:r>
        <w:r>
          <w:tab/>
        </w:r>
        <w:r>
          <w:fldChar w:fldCharType="begin"/>
        </w:r>
        <w:r>
          <w:instrText xml:space="preserve"> PAGEREF _Toc29295 \h </w:instrText>
        </w:r>
        <w:r>
          <w:fldChar w:fldCharType="separate"/>
        </w:r>
        <w:r>
          <w:t>33</w:t>
        </w:r>
        <w:r>
          <w:fldChar w:fldCharType="end"/>
        </w:r>
      </w:hyperlink>
    </w:p>
    <w:p>
      <w:pPr>
        <w:pStyle w:val="TOC1"/>
        <w:tabs>
          <w:tab w:val="right" w:leader="dot" w:pos="8306"/>
        </w:tabs>
      </w:pPr>
      <w:hyperlink w:anchor="_Toc18479" w:history="1">
        <w:r>
          <w:rPr>
            <w:rFonts w:ascii="仿宋" w:eastAsia="仿宋" w:hAnsi="仿宋" w:cs="仿宋" w:hint="eastAsia"/>
            <w:lang w:eastAsia="zh-CN"/>
          </w:rPr>
          <w:t>十、电竞项目财务管理</w:t>
        </w:r>
        <w:r>
          <w:tab/>
        </w:r>
        <w:r>
          <w:fldChar w:fldCharType="begin"/>
        </w:r>
        <w:r>
          <w:instrText xml:space="preserve"> PAGEREF _Toc18479 \h </w:instrText>
        </w:r>
        <w:r>
          <w:fldChar w:fldCharType="separate"/>
        </w:r>
        <w:r>
          <w:t>35</w:t>
        </w:r>
        <w:r>
          <w:fldChar w:fldCharType="end"/>
        </w:r>
      </w:hyperlink>
    </w:p>
    <w:p>
      <w:pPr>
        <w:pStyle w:val="TOC2"/>
        <w:tabs>
          <w:tab w:val="right" w:leader="dot" w:pos="8306"/>
        </w:tabs>
      </w:pPr>
      <w:hyperlink w:anchor="_Toc10393" w:history="1">
        <w:r>
          <w:rPr>
            <w:rFonts w:ascii="仿宋" w:eastAsia="仿宋" w:hAnsi="仿宋" w:cs="仿宋" w:hint="eastAsia"/>
            <w:lang w:eastAsia="zh-CN"/>
          </w:rPr>
          <w:t>(一)、资金需求大</w:t>
        </w:r>
        <w:r>
          <w:tab/>
        </w:r>
        <w:r>
          <w:fldChar w:fldCharType="begin"/>
        </w:r>
        <w:r>
          <w:instrText xml:space="preserve"> PAGEREF _Toc10393 \h </w:instrText>
        </w:r>
        <w:r>
          <w:fldChar w:fldCharType="separate"/>
        </w:r>
        <w:r>
          <w:t>35</w:t>
        </w:r>
        <w:r>
          <w:fldChar w:fldCharType="end"/>
        </w:r>
      </w:hyperlink>
    </w:p>
    <w:p>
      <w:pPr>
        <w:pStyle w:val="TOC2"/>
        <w:tabs>
          <w:tab w:val="right" w:leader="dot" w:pos="8306"/>
        </w:tabs>
      </w:pPr>
      <w:hyperlink w:anchor="_Toc2637" w:history="1">
        <w:r>
          <w:rPr>
            <w:rFonts w:ascii="仿宋" w:eastAsia="仿宋" w:hAnsi="仿宋" w:cs="仿宋" w:hint="eastAsia"/>
            <w:lang w:eastAsia="zh-CN"/>
          </w:rPr>
          <w:t>(二)、研发周期长</w:t>
        </w:r>
        <w:r>
          <w:tab/>
        </w:r>
        <w:r>
          <w:fldChar w:fldCharType="begin"/>
        </w:r>
        <w:r>
          <w:instrText xml:space="preserve"> PAGEREF _Toc2637 \h </w:instrText>
        </w:r>
        <w:r>
          <w:fldChar w:fldCharType="separate"/>
        </w:r>
        <w:r>
          <w:t>36</w:t>
        </w:r>
        <w:r>
          <w:fldChar w:fldCharType="end"/>
        </w:r>
      </w:hyperlink>
    </w:p>
    <w:p>
      <w:pPr>
        <w:pStyle w:val="TOC2"/>
        <w:tabs>
          <w:tab w:val="right" w:leader="dot" w:pos="8306"/>
        </w:tabs>
      </w:pPr>
      <w:hyperlink w:anchor="_Toc9348" w:history="1">
        <w:r>
          <w:rPr>
            <w:rFonts w:ascii="仿宋" w:eastAsia="仿宋" w:hAnsi="仿宋" w:cs="仿宋" w:hint="eastAsia"/>
            <w:lang w:eastAsia="zh-CN"/>
          </w:rPr>
          <w:t>(三)、市场风险大</w:t>
        </w:r>
        <w:r>
          <w:tab/>
        </w:r>
        <w:r>
          <w:fldChar w:fldCharType="begin"/>
        </w:r>
        <w:r>
          <w:instrText xml:space="preserve"> PAGEREF _Toc9348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599" w:history="1">
        <w:r>
          <w:rPr>
            <w:rFonts w:ascii="仿宋" w:eastAsia="仿宋" w:hAnsi="仿宋" w:cs="仿宋" w:hint="eastAsia"/>
            <w:lang w:eastAsia="zh-CN"/>
          </w:rPr>
          <w:t>(四)、利润率高</w:t>
        </w:r>
        <w:r>
          <w:tab/>
        </w:r>
        <w:r>
          <w:fldChar w:fldCharType="begin"/>
        </w:r>
        <w:r>
          <w:instrText xml:space="preserve"> PAGEREF _Toc32599 \h </w:instrText>
        </w:r>
        <w:r>
          <w:fldChar w:fldCharType="separate"/>
        </w:r>
        <w:r>
          <w:t>40</w:t>
        </w:r>
        <w:r>
          <w:fldChar w:fldCharType="end"/>
        </w:r>
      </w:hyperlink>
    </w:p>
    <w:p>
      <w:pPr>
        <w:pStyle w:val="TOC1"/>
        <w:tabs>
          <w:tab w:val="right" w:leader="dot" w:pos="8306"/>
        </w:tabs>
      </w:pPr>
      <w:hyperlink w:anchor="_Toc31787" w:history="1">
        <w:r>
          <w:rPr>
            <w:rFonts w:ascii="仿宋" w:eastAsia="仿宋" w:hAnsi="仿宋" w:cs="仿宋" w:hint="eastAsia"/>
            <w:lang w:eastAsia="zh-CN"/>
          </w:rPr>
          <w:t>十一、电竞项目计划安排</w:t>
        </w:r>
        <w:r>
          <w:tab/>
        </w:r>
        <w:r>
          <w:fldChar w:fldCharType="begin"/>
        </w:r>
        <w:r>
          <w:instrText xml:space="preserve"> PAGEREF _Toc31787 \h </w:instrText>
        </w:r>
        <w:r>
          <w:fldChar w:fldCharType="separate"/>
        </w:r>
        <w:r>
          <w:t>42</w:t>
        </w:r>
        <w:r>
          <w:fldChar w:fldCharType="end"/>
        </w:r>
      </w:hyperlink>
    </w:p>
    <w:p>
      <w:pPr>
        <w:pStyle w:val="TOC2"/>
        <w:tabs>
          <w:tab w:val="right" w:leader="dot" w:pos="8306"/>
        </w:tabs>
      </w:pPr>
      <w:hyperlink w:anchor="_Toc186" w:history="1">
        <w:r>
          <w:rPr>
            <w:rFonts w:ascii="仿宋" w:eastAsia="仿宋" w:hAnsi="仿宋" w:cs="仿宋" w:hint="eastAsia"/>
            <w:lang w:eastAsia="zh-CN"/>
          </w:rPr>
          <w:t>(一)、建设周期</w:t>
        </w:r>
        <w:r>
          <w:tab/>
        </w:r>
        <w:r>
          <w:fldChar w:fldCharType="begin"/>
        </w:r>
        <w:r>
          <w:instrText xml:space="preserve"> PAGEREF _Toc186 \h </w:instrText>
        </w:r>
        <w:r>
          <w:fldChar w:fldCharType="separate"/>
        </w:r>
        <w:r>
          <w:t>42</w:t>
        </w:r>
        <w:r>
          <w:fldChar w:fldCharType="end"/>
        </w:r>
      </w:hyperlink>
    </w:p>
    <w:p>
      <w:pPr>
        <w:pStyle w:val="TOC2"/>
        <w:tabs>
          <w:tab w:val="right" w:leader="dot" w:pos="8306"/>
        </w:tabs>
      </w:pPr>
      <w:hyperlink w:anchor="_Toc22809" w:history="1">
        <w:r>
          <w:rPr>
            <w:rFonts w:ascii="仿宋" w:eastAsia="仿宋" w:hAnsi="仿宋" w:cs="仿宋" w:hint="eastAsia"/>
            <w:lang w:eastAsia="zh-CN"/>
          </w:rPr>
          <w:t>(二)、建设进度</w:t>
        </w:r>
        <w:r>
          <w:tab/>
        </w:r>
        <w:r>
          <w:fldChar w:fldCharType="begin"/>
        </w:r>
        <w:r>
          <w:instrText xml:space="preserve"> PAGEREF _Toc22809 \h </w:instrText>
        </w:r>
        <w:r>
          <w:fldChar w:fldCharType="separate"/>
        </w:r>
        <w:r>
          <w:t>42</w:t>
        </w:r>
        <w:r>
          <w:fldChar w:fldCharType="end"/>
        </w:r>
      </w:hyperlink>
    </w:p>
    <w:p>
      <w:pPr>
        <w:pStyle w:val="TOC2"/>
        <w:tabs>
          <w:tab w:val="right" w:leader="dot" w:pos="8306"/>
        </w:tabs>
      </w:pPr>
      <w:hyperlink w:anchor="_Toc22600" w:history="1">
        <w:r>
          <w:rPr>
            <w:rFonts w:ascii="仿宋" w:eastAsia="仿宋" w:hAnsi="仿宋" w:cs="仿宋" w:hint="eastAsia"/>
            <w:lang w:eastAsia="zh-CN"/>
          </w:rPr>
          <w:t>(三)、进度安排注意事项</w:t>
        </w:r>
        <w:r>
          <w:tab/>
        </w:r>
        <w:r>
          <w:fldChar w:fldCharType="begin"/>
        </w:r>
        <w:r>
          <w:instrText xml:space="preserve"> PAGEREF _Toc22600 \h </w:instrText>
        </w:r>
        <w:r>
          <w:fldChar w:fldCharType="separate"/>
        </w:r>
        <w:r>
          <w:t>43</w:t>
        </w:r>
        <w:r>
          <w:fldChar w:fldCharType="end"/>
        </w:r>
      </w:hyperlink>
    </w:p>
    <w:p>
      <w:pPr>
        <w:pStyle w:val="TOC2"/>
        <w:tabs>
          <w:tab w:val="right" w:leader="dot" w:pos="8306"/>
        </w:tabs>
      </w:pPr>
      <w:hyperlink w:anchor="_Toc21124" w:history="1">
        <w:r>
          <w:rPr>
            <w:rFonts w:ascii="仿宋" w:eastAsia="仿宋" w:hAnsi="仿宋" w:cs="仿宋" w:hint="eastAsia"/>
            <w:lang w:eastAsia="zh-CN"/>
          </w:rPr>
          <w:t>(四)、人力资源配置</w:t>
        </w:r>
        <w:r>
          <w:tab/>
        </w:r>
        <w:r>
          <w:fldChar w:fldCharType="begin"/>
        </w:r>
        <w:r>
          <w:instrText xml:space="preserve"> PAGEREF _Toc21124 \h </w:instrText>
        </w:r>
        <w:r>
          <w:fldChar w:fldCharType="separate"/>
        </w:r>
        <w:r>
          <w:t>45</w:t>
        </w:r>
        <w:r>
          <w:fldChar w:fldCharType="end"/>
        </w:r>
      </w:hyperlink>
    </w:p>
    <w:p>
      <w:pPr>
        <w:pStyle w:val="TOC1"/>
        <w:tabs>
          <w:tab w:val="right" w:leader="dot" w:pos="8306"/>
        </w:tabs>
      </w:pPr>
      <w:hyperlink w:anchor="_Toc2656" w:history="1">
        <w:r>
          <w:rPr>
            <w:rFonts w:ascii="仿宋" w:eastAsia="仿宋" w:hAnsi="仿宋" w:cs="仿宋" w:hint="eastAsia"/>
            <w:lang w:eastAsia="zh-CN"/>
          </w:rPr>
          <w:t>十二、电竞项目投资规划</w:t>
        </w:r>
        <w:r>
          <w:tab/>
        </w:r>
        <w:r>
          <w:fldChar w:fldCharType="begin"/>
        </w:r>
        <w:r>
          <w:instrText xml:space="preserve"> PAGEREF _Toc2656 \h </w:instrText>
        </w:r>
        <w:r>
          <w:fldChar w:fldCharType="separate"/>
        </w:r>
        <w:r>
          <w:t>46</w:t>
        </w:r>
        <w:r>
          <w:fldChar w:fldCharType="end"/>
        </w:r>
      </w:hyperlink>
    </w:p>
    <w:p>
      <w:pPr>
        <w:pStyle w:val="TOC2"/>
        <w:tabs>
          <w:tab w:val="right" w:leader="dot" w:pos="8306"/>
        </w:tabs>
      </w:pPr>
      <w:hyperlink w:anchor="_Toc1357" w:history="1">
        <w:r>
          <w:rPr>
            <w:rFonts w:ascii="仿宋" w:eastAsia="仿宋" w:hAnsi="仿宋" w:cs="仿宋" w:hint="eastAsia"/>
            <w:lang w:eastAsia="zh-CN"/>
          </w:rPr>
          <w:t>(一)、电竞项目总投资估算</w:t>
        </w:r>
        <w:r>
          <w:tab/>
        </w:r>
        <w:r>
          <w:fldChar w:fldCharType="begin"/>
        </w:r>
        <w:r>
          <w:instrText xml:space="preserve"> PAGEREF _Toc1357 \h </w:instrText>
        </w:r>
        <w:r>
          <w:fldChar w:fldCharType="separate"/>
        </w:r>
        <w:r>
          <w:t>46</w:t>
        </w:r>
        <w:r>
          <w:fldChar w:fldCharType="end"/>
        </w:r>
      </w:hyperlink>
    </w:p>
    <w:p>
      <w:pPr>
        <w:pStyle w:val="TOC2"/>
        <w:tabs>
          <w:tab w:val="right" w:leader="dot" w:pos="8306"/>
        </w:tabs>
      </w:pPr>
      <w:hyperlink w:anchor="_Toc10870" w:history="1">
        <w:r>
          <w:rPr>
            <w:rFonts w:ascii="仿宋" w:eastAsia="仿宋" w:hAnsi="仿宋" w:cs="仿宋" w:hint="eastAsia"/>
            <w:lang w:eastAsia="zh-CN"/>
          </w:rPr>
          <w:t>(二)、资金筹措</w:t>
        </w:r>
        <w:r>
          <w:tab/>
        </w:r>
        <w:r>
          <w:fldChar w:fldCharType="begin"/>
        </w:r>
        <w:r>
          <w:instrText xml:space="preserve"> PAGEREF _Toc10870 \h </w:instrText>
        </w:r>
        <w:r>
          <w:fldChar w:fldCharType="separate"/>
        </w:r>
        <w:r>
          <w:t>47</w:t>
        </w:r>
        <w:r>
          <w:fldChar w:fldCharType="end"/>
        </w:r>
      </w:hyperlink>
    </w:p>
    <w:p>
      <w:pPr>
        <w:pStyle w:val="TOC1"/>
        <w:tabs>
          <w:tab w:val="right" w:leader="dot" w:pos="8306"/>
        </w:tabs>
      </w:pPr>
      <w:hyperlink w:anchor="_Toc16609" w:history="1">
        <w:r>
          <w:rPr>
            <w:rFonts w:ascii="仿宋" w:eastAsia="仿宋" w:hAnsi="仿宋" w:cs="仿宋" w:hint="eastAsia"/>
            <w:lang w:eastAsia="zh-CN"/>
          </w:rPr>
          <w:t>十三、营销与推广策略</w:t>
        </w:r>
        <w:r>
          <w:tab/>
        </w:r>
        <w:r>
          <w:fldChar w:fldCharType="begin"/>
        </w:r>
        <w:r>
          <w:instrText xml:space="preserve"> PAGEREF _Toc16609 \h </w:instrText>
        </w:r>
        <w:r>
          <w:fldChar w:fldCharType="separate"/>
        </w:r>
        <w:r>
          <w:t>48</w:t>
        </w:r>
        <w:r>
          <w:fldChar w:fldCharType="end"/>
        </w:r>
      </w:hyperlink>
    </w:p>
    <w:p>
      <w:pPr>
        <w:pStyle w:val="TOC2"/>
        <w:tabs>
          <w:tab w:val="right" w:leader="dot" w:pos="8306"/>
        </w:tabs>
      </w:pPr>
      <w:hyperlink w:anchor="_Toc21728" w:history="1">
        <w:r>
          <w:rPr>
            <w:rFonts w:ascii="仿宋" w:eastAsia="仿宋" w:hAnsi="仿宋" w:cs="仿宋" w:hint="eastAsia"/>
            <w:lang w:eastAsia="zh-CN"/>
          </w:rPr>
          <w:t>(一)、产品/服务定位与特点</w:t>
        </w:r>
        <w:r>
          <w:tab/>
        </w:r>
        <w:r>
          <w:fldChar w:fldCharType="begin"/>
        </w:r>
        <w:r>
          <w:instrText xml:space="preserve"> PAGEREF _Toc21728 \h </w:instrText>
        </w:r>
        <w:r>
          <w:fldChar w:fldCharType="separate"/>
        </w:r>
        <w:r>
          <w:t>48</w:t>
        </w:r>
        <w:r>
          <w:fldChar w:fldCharType="end"/>
        </w:r>
      </w:hyperlink>
    </w:p>
    <w:p>
      <w:pPr>
        <w:pStyle w:val="TOC2"/>
        <w:tabs>
          <w:tab w:val="right" w:leader="dot" w:pos="8306"/>
        </w:tabs>
      </w:pPr>
      <w:hyperlink w:anchor="_Toc6228" w:history="1">
        <w:r>
          <w:rPr>
            <w:rFonts w:ascii="仿宋" w:eastAsia="仿宋" w:hAnsi="仿宋" w:cs="仿宋" w:hint="eastAsia"/>
            <w:lang w:eastAsia="zh-CN"/>
          </w:rPr>
          <w:t>(二)、市场定位与竞争分析</w:t>
        </w:r>
        <w:r>
          <w:tab/>
        </w:r>
        <w:r>
          <w:fldChar w:fldCharType="begin"/>
        </w:r>
        <w:r>
          <w:instrText xml:space="preserve"> PAGEREF _Toc6228 \h </w:instrText>
        </w:r>
        <w:r>
          <w:fldChar w:fldCharType="separate"/>
        </w:r>
        <w:r>
          <w:t>49</w:t>
        </w:r>
        <w:r>
          <w:fldChar w:fldCharType="end"/>
        </w:r>
      </w:hyperlink>
    </w:p>
    <w:p>
      <w:pPr>
        <w:pStyle w:val="TOC2"/>
        <w:tabs>
          <w:tab w:val="right" w:leader="dot" w:pos="8306"/>
        </w:tabs>
      </w:pPr>
      <w:hyperlink w:anchor="_Toc19" w:history="1">
        <w:r>
          <w:rPr>
            <w:rFonts w:ascii="仿宋" w:eastAsia="仿宋" w:hAnsi="仿宋" w:cs="仿宋" w:hint="eastAsia"/>
            <w:lang w:eastAsia="zh-CN"/>
          </w:rPr>
          <w:t>(三)、营销渠道与策略</w:t>
        </w:r>
        <w:r>
          <w:tab/>
        </w:r>
        <w:r>
          <w:fldChar w:fldCharType="begin"/>
        </w:r>
        <w:r>
          <w:instrText xml:space="preserve"> PAGEREF _Toc19 \h </w:instrText>
        </w:r>
        <w:r>
          <w:fldChar w:fldCharType="separate"/>
        </w:r>
        <w:r>
          <w:t>50</w:t>
        </w:r>
        <w:r>
          <w:fldChar w:fldCharType="end"/>
        </w:r>
      </w:hyperlink>
    </w:p>
    <w:p>
      <w:pPr>
        <w:pStyle w:val="TOC2"/>
        <w:tabs>
          <w:tab w:val="right" w:leader="dot" w:pos="8306"/>
        </w:tabs>
      </w:pPr>
      <w:hyperlink w:anchor="_Toc24881" w:history="1">
        <w:r>
          <w:rPr>
            <w:rFonts w:ascii="仿宋" w:eastAsia="仿宋" w:hAnsi="仿宋" w:cs="仿宋" w:hint="eastAsia"/>
            <w:lang w:eastAsia="zh-CN"/>
          </w:rPr>
          <w:t>(四)、推广与宣传活动</w:t>
        </w:r>
        <w:r>
          <w:tab/>
        </w:r>
        <w:r>
          <w:fldChar w:fldCharType="begin"/>
        </w:r>
        <w:r>
          <w:instrText xml:space="preserve"> PAGEREF _Toc24881 \h </w:instrText>
        </w:r>
        <w:r>
          <w:fldChar w:fldCharType="separate"/>
        </w:r>
        <w:r>
          <w:t>51</w:t>
        </w:r>
        <w:r>
          <w:fldChar w:fldCharType="end"/>
        </w:r>
      </w:hyperlink>
    </w:p>
    <w:p>
      <w:pPr>
        <w:pStyle w:val="TOC1"/>
        <w:tabs>
          <w:tab w:val="right" w:leader="dot" w:pos="8306"/>
        </w:tabs>
      </w:pPr>
      <w:hyperlink w:anchor="_Toc10420" w:history="1">
        <w:r>
          <w:rPr>
            <w:rFonts w:ascii="仿宋" w:eastAsia="仿宋" w:hAnsi="仿宋" w:cs="仿宋" w:hint="eastAsia"/>
            <w:lang w:eastAsia="zh-CN"/>
          </w:rPr>
          <w:t>十四、电竞项目工程方案分析</w:t>
        </w:r>
        <w:r>
          <w:tab/>
        </w:r>
        <w:r>
          <w:fldChar w:fldCharType="begin"/>
        </w:r>
        <w:r>
          <w:instrText xml:space="preserve"> PAGEREF _Toc10420 \h </w:instrText>
        </w:r>
        <w:r>
          <w:fldChar w:fldCharType="separate"/>
        </w:r>
        <w:r>
          <w:t>57</w:t>
        </w:r>
        <w:r>
          <w:fldChar w:fldCharType="end"/>
        </w:r>
      </w:hyperlink>
    </w:p>
    <w:p>
      <w:pPr>
        <w:pStyle w:val="TOC2"/>
        <w:tabs>
          <w:tab w:val="right" w:leader="dot" w:pos="8306"/>
        </w:tabs>
      </w:pPr>
      <w:hyperlink w:anchor="_Toc13770" w:history="1">
        <w:r>
          <w:rPr>
            <w:rFonts w:ascii="仿宋" w:eastAsia="仿宋" w:hAnsi="仿宋" w:cs="仿宋" w:hint="eastAsia"/>
            <w:lang w:eastAsia="zh-CN"/>
          </w:rPr>
          <w:t>(一)、建筑工程设计原则</w:t>
        </w:r>
        <w:r>
          <w:tab/>
        </w:r>
        <w:r>
          <w:fldChar w:fldCharType="begin"/>
        </w:r>
        <w:r>
          <w:instrText xml:space="preserve"> PAGEREF _Toc13770 \h </w:instrText>
        </w:r>
        <w:r>
          <w:fldChar w:fldCharType="separate"/>
        </w:r>
        <w:r>
          <w:t>57</w:t>
        </w:r>
        <w:r>
          <w:fldChar w:fldCharType="end"/>
        </w:r>
      </w:hyperlink>
    </w:p>
    <w:p>
      <w:pPr>
        <w:pStyle w:val="TOC2"/>
        <w:tabs>
          <w:tab w:val="right" w:leader="dot" w:pos="8306"/>
        </w:tabs>
      </w:pPr>
      <w:hyperlink w:anchor="_Toc14109" w:history="1">
        <w:r>
          <w:rPr>
            <w:rFonts w:ascii="仿宋" w:eastAsia="仿宋" w:hAnsi="仿宋" w:cs="仿宋" w:hint="eastAsia"/>
            <w:lang w:eastAsia="zh-CN"/>
          </w:rPr>
          <w:t>(二)、土建工程建设指标</w:t>
        </w:r>
        <w:r>
          <w:tab/>
        </w:r>
        <w:r>
          <w:fldChar w:fldCharType="begin"/>
        </w:r>
        <w:r>
          <w:instrText xml:space="preserve"> PAGEREF _Toc14109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72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963"/>
      <w:r>
        <w:rPr>
          <w:rFonts w:ascii="仿宋" w:eastAsia="仿宋" w:hAnsi="仿宋" w:cs="仿宋" w:hint="eastAsia"/>
          <w:sz w:val="28"/>
          <w:lang w:eastAsia="zh-CN"/>
        </w:rPr>
        <w:t>一、电竞项目文档管理</w:t>
      </w:r>
      <w:bookmarkEnd w:id="2"/>
    </w:p>
    <w:p>
      <w:pPr>
        <w:pStyle w:val="Heading2"/>
        <w:rPr>
          <w:rFonts w:ascii="仿宋" w:eastAsia="仿宋" w:hAnsi="仿宋" w:cs="仿宋" w:hint="eastAsia"/>
          <w:lang w:eastAsia="zh-CN"/>
        </w:rPr>
      </w:pPr>
      <w:bookmarkStart w:id="3" w:name="_Toc6905"/>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电竞项目高度重视文档的质量和准确性，以支持电竞项目的各项活动和决策。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文档的编制始于电竞项目计划的初期，我们制定了详细的文档编制计划，明确了每个文档的内容、格式和编写责任人。在电竞项目启动阶段，我们首先编制了电竞项目章程，明确定义了电竞项目的目标、范围、风险等关键要素。随后，电竞项目团队根据计划陆续编制了需求文档、设计文档、测试文档等各类文档，确保电竞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电竞项目管理中的重要环节，旨在确保电竞项目文档符合质量标准和电竞项目需求。在电竞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除了内部审查，我们还进行了外部审查，邀请电竞项目相关利益方和专业领域的专家对文档进行独立审查。这有助于获取更全面、客观的反馈，确保电竞项目文档不仅符合内部标准，也满足外部需求。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电竞项目在文档编制与审查方面建立了严格的管理机制，通过规范的流程和多维度的审查，确保电竞项目文档的质量、准确性和可靠性，为电竞项目的顺利推进提供了有力支持。</w:t>
      </w:r>
    </w:p>
    <w:p>
      <w:pPr>
        <w:pStyle w:val="Heading2"/>
        <w:ind w:firstLine="560" w:firstLineChars="200"/>
        <w:rPr>
          <w:rFonts w:ascii="仿宋" w:eastAsia="仿宋" w:hAnsi="仿宋" w:cs="仿宋" w:hint="eastAsia"/>
          <w:sz w:val="28"/>
          <w:lang w:eastAsia="zh-CN"/>
        </w:rPr>
      </w:pPr>
      <w:bookmarkStart w:id="4" w:name="_Toc13290"/>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在电竞项目中，我们致力于优化文档发布与分发过程，以确保信息的高效传递和团队间协作的顺畅进行。以下是我们采取的关键优化策略：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我们通过多渠道发布文档，包括电子邮件、电竞项目管理平台、内部网站等，以满足不同团队成员的偏好和需求。多渠道发布确保了信息的全面覆盖。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我们采用了精细的权限控制，确保只有授权人员可以访问敏感信息。这种安全措施保护了电竞项目文档的机密性，防止了未经授权的信息泄露。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156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文档存档与归档是电竞项目生命周期中一个至关重要的环节，直接关系到电竞项目信息的长期保存和历史记录的完整性。在电竞项目中，我们实施了一系列有效的文档存档与归档管理策略：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4153"/>
      <w:r>
        <w:rPr>
          <w:rFonts w:ascii="仿宋" w:eastAsia="仿宋" w:hAnsi="仿宋" w:cs="仿宋" w:hint="eastAsia"/>
          <w:sz w:val="28"/>
          <w:lang w:eastAsia="zh-CN"/>
        </w:rPr>
        <w:t>二、电竞项目建设单位说明</w:t>
      </w:r>
      <w:bookmarkEnd w:id="6"/>
    </w:p>
    <w:p>
      <w:pPr>
        <w:pStyle w:val="Heading2"/>
        <w:rPr>
          <w:rFonts w:ascii="仿宋" w:eastAsia="仿宋" w:hAnsi="仿宋" w:cs="仿宋" w:hint="eastAsia"/>
          <w:lang w:eastAsia="zh-CN"/>
        </w:rPr>
      </w:pPr>
      <w:bookmarkStart w:id="7" w:name="_Toc14717"/>
      <w:r>
        <w:rPr>
          <w:rFonts w:ascii="仿宋" w:eastAsia="仿宋" w:hAnsi="仿宋" w:cs="仿宋" w:hint="eastAsia"/>
          <w:lang w:eastAsia="zh-CN"/>
        </w:rPr>
        <w:t>(一)、电竞项目承办单位基本情况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19319"/>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电竞项目承办单位的XXXX，我们着眼于实现可持续的经济效益。通过技术创新和解决方案的提供，公司预计在电竞项目执行期间将获得可观的收入增长。这一收入来源主要包括电竞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同时，我们注重成本控制和效率提升，以确保电竞项目的可持续盈利。透过精细的管理和资源优化，公司期望实现电竞项目利润最大化。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电竞项目实施进行全面的投资评估，包括电竞项目启动阶段的资金投入和后续运营成本。通过对电竞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为确保公司在电竞项目实施过程中具备足够的资金流动性，公司将进行详尽的现金流分析。这包括资金需求的合理预测、电竞项目周期内的资金峰谷分析以及灵活的财务管理策略，以应对各种潜在的经济变动。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15239"/>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256"/>
      <w:r>
        <w:rPr>
          <w:rFonts w:ascii="仿宋" w:eastAsia="仿宋" w:hAnsi="仿宋" w:cs="仿宋" w:hint="eastAsia"/>
          <w:lang w:eastAsia="zh-CN"/>
        </w:rPr>
        <w:t>(一)、电竞行业分析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电竞行业一直以来都是市场的关注焦点。行业内的发展趋势、竞争态势以及潜在机会都对电竞项目的推进产生深远的影响。通过深入研究行业的整体概貌，我们将更好地理解行业的核心特征，为电竞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竞行业，技术一直是推动创新和发展的关键因素。我们将对当前技术趋势进行详尽分析，包括但不限于人工智能、大数据应用、先进制造技术等。这有助于电竞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了解行业内的竞争格局是电竞项目成功的基础。我们将对主要竞争对手进行深入研究，包括其市场份额、产品特点、市场定位等。通过全面了解竞争对手的优势和劣势，电竞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3098"/>
      <w:r>
        <w:rPr>
          <w:rFonts w:ascii="仿宋" w:eastAsia="仿宋" w:hAnsi="仿宋" w:cs="仿宋" w:hint="eastAsia"/>
          <w:sz w:val="28"/>
          <w:lang w:eastAsia="zh-CN"/>
        </w:rPr>
        <w:t>(二)、电竞市场分析预测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通过对市场规模的深入调研，我们将预测电竞市场未来的增长趋势。这包括市场的整体规模、各细分领域的发展趋势等。电竞项目可以根据市场的扩张速度和潜在机会，制定更符合市场需求的发展策略。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了解消费者的需求是市场分析的核心。我们将通过调查研究，深入挖掘目标消费者的需求特点、购买习惯以及对产品和服务的期望。这有助于电竞项目更好地定位目标市场，提供更符合消费者期待的解决方案。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电竞项目实施过程中需要充分考虑的因素。我们将对市场风险进行全面评估，包括但不限于政策法规风险、市场竞争风险、技术变革风险等。通过对潜在风险的深入分析，电竞项目可以制定相应的风险缓解策略，降低不确定性对电竞项目的影响。</w:t>
      </w:r>
    </w:p>
    <w:p>
      <w:pPr>
        <w:pStyle w:val="Heading1"/>
        <w:ind w:firstLine="560" w:firstLineChars="200"/>
        <w:rPr>
          <w:rFonts w:ascii="仿宋" w:eastAsia="仿宋" w:hAnsi="仿宋" w:cs="仿宋" w:hint="eastAsia"/>
          <w:sz w:val="28"/>
          <w:lang w:eastAsia="zh-CN"/>
        </w:rPr>
      </w:pPr>
      <w:bookmarkStart w:id="12" w:name="_Toc17690"/>
      <w:r>
        <w:rPr>
          <w:rFonts w:ascii="仿宋" w:eastAsia="仿宋" w:hAnsi="仿宋" w:cs="仿宋" w:hint="eastAsia"/>
          <w:sz w:val="28"/>
          <w:lang w:eastAsia="zh-CN"/>
        </w:rPr>
        <w:t>四、电竞项目建设背景及必要性分析</w:t>
      </w:r>
      <w:bookmarkEnd w:id="12"/>
    </w:p>
    <w:p>
      <w:pPr>
        <w:pStyle w:val="Heading2"/>
        <w:rPr>
          <w:rFonts w:ascii="仿宋" w:eastAsia="仿宋" w:hAnsi="仿宋" w:cs="仿宋" w:hint="eastAsia"/>
          <w:lang w:eastAsia="zh-CN"/>
        </w:rPr>
      </w:pPr>
      <w:bookmarkStart w:id="13" w:name="_Toc1617"/>
      <w:r>
        <w:rPr>
          <w:rFonts w:ascii="仿宋" w:eastAsia="仿宋" w:hAnsi="仿宋" w:cs="仿宋" w:hint="eastAsia"/>
          <w:lang w:eastAsia="zh-CN"/>
        </w:rPr>
        <w:t>(一)、电竞项目背景分析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电竞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我们的背景分析将深入挖掘当前行业的发展趋势，通过对竞争态势的全面审视，找到电竞项目在这个潮流中的定位。同时，我们将关注行业内涌现的新兴机遇，以便电竞项目更好地融入行业发展的潮流中。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电竞项目提供了强大的发展动力。我们将聚焦于行业内最新的技术发展趋势，包括但不限于人工智能、大数据分析、物联网等领域。通过深度的技术研究，我们将确保电竞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电竞项目发展的源泉。我们将投入更多的精力对市场需求进行深入剖析，超越表面的需求，深入挖掘潜在的市场痛点和机遇。通过对市场需求的细致了解，电竞项目将更有针对性地设计解决方案，满足市场的多样化需求，从而更好地促进电竞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电竞项目战略至关重要。我们将对竞争态势进行更为深入的分析，包括但不限于市场份额、产品特点、客户满意度等多个维度。通过深度的竞争分析，电竞项目将能够更准确地把握市场脉搏，制定具有竞争力的电竞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电竞项目的发展具有直接的影响。我们将进行更为全面的法规和政策分析，了解行业发展中的潜在法律风险和合规挑战。通过充分了解和遵守相关法规，电竞项目将确保在法律框架内合法合规运营，为电竞项目的稳健发展提供有力支持。</w:t>
      </w:r>
    </w:p>
    <w:p>
      <w:pPr>
        <w:pStyle w:val="Heading2"/>
        <w:ind w:firstLine="560" w:firstLineChars="200"/>
        <w:rPr>
          <w:rFonts w:ascii="仿宋" w:eastAsia="仿宋" w:hAnsi="仿宋" w:cs="仿宋" w:hint="eastAsia"/>
          <w:sz w:val="28"/>
          <w:lang w:eastAsia="zh-CN"/>
        </w:rPr>
      </w:pPr>
      <w:bookmarkStart w:id="14" w:name="_Toc8089"/>
      <w:r>
        <w:rPr>
          <w:rFonts w:ascii="仿宋" w:eastAsia="仿宋" w:hAnsi="仿宋" w:cs="仿宋" w:hint="eastAsia"/>
          <w:sz w:val="28"/>
          <w:lang w:eastAsia="zh-CN"/>
        </w:rPr>
        <w:t>(二)、电竞项目建设必要性分析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建设的迫切性源于对行业发展趋势的深刻洞察。我们正处于一个行业变革的时代，科技创新、数字化转型成为企业发展的关键动力。电竞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建设不仅仅是为了跟上潮流，更是为了通过技术创新推动企业的持续发展。通过引入先进的技术和解决方案，电竞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电竞项目的建设成为必然选择，通过提高产品质量、拓展服务领域，从而在竞争中获得更多的机会。电竞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电竞项目建设的必要性体现在对客户需求更精准的满足。通过电竞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建设的背后是对企业持续创新的追求。只有通过不断创新，企业才能在竞争中立于不败之地。电竞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1927"/>
      <w:r>
        <w:rPr>
          <w:rFonts w:ascii="仿宋" w:eastAsia="仿宋" w:hAnsi="仿宋" w:cs="仿宋" w:hint="eastAsia"/>
          <w:sz w:val="28"/>
          <w:lang w:eastAsia="zh-CN"/>
        </w:rPr>
        <w:t>五、产品规划分析</w:t>
      </w:r>
      <w:bookmarkEnd w:id="15"/>
    </w:p>
    <w:p>
      <w:pPr>
        <w:pStyle w:val="Heading2"/>
        <w:rPr>
          <w:rFonts w:ascii="仿宋" w:eastAsia="仿宋" w:hAnsi="仿宋" w:cs="仿宋" w:hint="eastAsia"/>
          <w:lang w:eastAsia="zh-CN"/>
        </w:rPr>
      </w:pPr>
      <w:bookmarkStart w:id="16" w:name="_Toc9149"/>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电竞项目的主要产品是XXXX，预计年产值为XXX万元。这一产品在市场中占据着重要的地位，其广泛的应用范围使得该电竞项目的市场前景非常广阔。</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电竞项目的xxx产品作为重要的原材料之一，将在多个领域发挥关键作用。其在建筑、交通、能源等方面的广泛应用将为整个产业链提供强大的支持，形成产业协同效应。电竞项目的年产值XXX万XXX万XXX万万元不仅反映了其在市场上的巨大潜力，更预示着它对国民经济的积极贡献。这种关联度高、涉及面广的产业关系，使得该电竞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8150"/>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总征地面积为XXXX平方米，相当于约XX.XX亩，其中净用地面积为XXXX平方米，红线范围内相当于约XX.XX亩。这一用地规模充分考虑了电竞项目的建设需求，保障了电竞项目在合适的空间内得以充分发展。电竞项目规划的总建筑面积为XXXX平方米，其中主体工程建设占XXXX平方米，计容建筑面积达XXXX平方米。预计建筑工程的投资将达到XXXX万元，为电竞项目的顺利推进提供了经济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计划购置的设备共计XXXX台（套），设备购置费用为XXXX万元。这一设备购置计划充分考虑到电竞项目的生产需求和技术要求，确保了电竞项目在生产运营中具备先进的技术装备和高效的生产能力。设备的合理配置将为电竞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计划总投资为XXXX万元，预计年实现营业收入为XXXX万元。这一产能规模的设定旨在确保电竞项目能够在投资与回报之间取得平衡，实现长期可持续的发展。电竞项目的总投资充分考虑到各个方面的需求，包括用地建设、设备购置等多个环节，以确保电竞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8" w:name="_Toc23195"/>
      <w:r>
        <w:rPr>
          <w:rFonts w:ascii="仿宋" w:eastAsia="仿宋" w:hAnsi="仿宋" w:cs="仿宋" w:hint="eastAsia"/>
          <w:sz w:val="28"/>
          <w:lang w:eastAsia="zh-CN"/>
        </w:rPr>
        <w:t>六、电竞项目绩效评估</w:t>
      </w:r>
      <w:bookmarkEnd w:id="18"/>
    </w:p>
    <w:p>
      <w:pPr>
        <w:pStyle w:val="Heading2"/>
        <w:rPr>
          <w:rFonts w:ascii="仿宋" w:eastAsia="仿宋" w:hAnsi="仿宋" w:cs="仿宋" w:hint="eastAsia"/>
          <w:lang w:eastAsia="zh-CN"/>
        </w:rPr>
      </w:pPr>
      <w:bookmarkStart w:id="19" w:name="_Toc30622"/>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在电竞项目中，我们设计了一套全面的绩效评估指标，以确保电竞项目的可控和成功交付。这些指标跨足电竞项目目标、成本、进度和质量等多个维度，为我们提供了全面洞察电竞项目的健康状况。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电竞项目目标达成率是我们关注的首要指标。我们设定了明确的目标，并通过定期监测和评估，迅速发现并应对潜在的目标偏差。这为电竞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成本绩效是另一个核心关注点。通过实际成本与预算成本的对比分析，我们深入了解成本差异的原因，及时调整资源分配，保持电竞项目在经济效益方面的合理水平。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竞项目进度作为关键的绩效指标之一，得到了精心的关注。我们制定了详细的电竞项目进度计划，并设立了进度符合度指标，确保实际进度与计划进度保持一致。这使我们能够快速发现和解决潜在的进度问题，保持电竞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竞项目绩效的不可或缺的一环。我们引入了一系列的质量标准和客户满意度指标，以确保电竞项目交付的成果在质量上达到或超越预期水平。通过持续监测这些指标，我们努力提升电竞项目整体质量水平，为电竞项目的成功交付提供有力保障。通过这些科学且全面的绩效评估，我们能够更好地引导电竞项目的持续改进，确保电竞项目目标的顺利达成。</w:t>
      </w:r>
    </w:p>
    <w:p>
      <w:pPr>
        <w:pStyle w:val="Heading2"/>
        <w:ind w:firstLine="560" w:firstLineChars="200"/>
        <w:rPr>
          <w:rFonts w:ascii="仿宋" w:eastAsia="仿宋" w:hAnsi="仿宋" w:cs="仿宋" w:hint="eastAsia"/>
          <w:sz w:val="28"/>
          <w:lang w:eastAsia="zh-CN"/>
        </w:rPr>
      </w:pPr>
      <w:bookmarkStart w:id="20" w:name="_Toc26918"/>
      <w:r>
        <w:rPr>
          <w:rFonts w:ascii="仿宋" w:eastAsia="仿宋" w:hAnsi="仿宋" w:cs="仿宋" w:hint="eastAsia"/>
          <w:sz w:val="28"/>
          <w:lang w:eastAsia="zh-CN"/>
        </w:rPr>
        <w:t>(二)、绩效评估方法</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绩效评估是电竞项目中的关键环节，为确保电竞项目达到预期目标，我们采用了多层次、多维度的绩效评估方法。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竞项目的战略目标对齐，确保每个决策和行动都与电竞项目整体目标保持一致。团队会定期召开战略对齐会议，审视当前工作与电竞项目战略是否保持一致，以及是否需要调整战略方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电竞项目进度、质量、成本和风险等方面。这些指标通过数据收集和分析，为电竞项目管理团队提供了客观的评估依据。例如，我们通过电竞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绩效评估不仅仅停留在电竞项目内部，还考虑了电竞项目对外部环境的影响。我们定期进行干系人满意度调查，以了解各利益相关方对电竞项目的期望和满意度，并及时做出调整。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这种多层次、多角度的绩效评估方法，使得我们能够全面了解电竞项目的运行状态，及时做出调整，确保电竞项目在不断变化的环境中保持稳健前行。</w:t>
      </w:r>
    </w:p>
    <w:p>
      <w:pPr>
        <w:pStyle w:val="Heading2"/>
        <w:ind w:firstLine="560" w:firstLineChars="200"/>
        <w:rPr>
          <w:rFonts w:ascii="仿宋" w:eastAsia="仿宋" w:hAnsi="仿宋" w:cs="仿宋" w:hint="eastAsia"/>
          <w:sz w:val="28"/>
          <w:lang w:eastAsia="zh-CN"/>
        </w:rPr>
      </w:pPr>
      <w:bookmarkStart w:id="21" w:name="_Toc2056"/>
      <w:r>
        <w:rPr>
          <w:rFonts w:ascii="仿宋" w:eastAsia="仿宋" w:hAnsi="仿宋" w:cs="仿宋" w:hint="eastAsia"/>
          <w:sz w:val="28"/>
          <w:lang w:eastAsia="zh-CN"/>
        </w:rPr>
        <w:t>(三)、绩效评估周期</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为了确保电竞项目的有效管理和不断优化，我们采用了精心设计的绩效评估周期。这个周期旨在实现灵活、实时和全面的评估，以适应电竞项目执行中的各种挑战。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https://d.book118.com/117111112026006040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电竞项目规划设计纲要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653362"/>
    <w:rsid w:val="4F65336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711111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2024-02-01T15:47:00Z</dcterms:created>
  <dcterms:modified xsi:type="dcterms:W3CDTF">2024-02-01T15:47:53Z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C962EE88D1A44566814EEBECBC96C5BF_11</vt:lpwstr>
  </property>
  <property fmtid="{D5CDD505-2E9C-101B-9397-08002B2CF9AE}" pid="3" name="KSOProductBuildVer">
    <vt:lpwstr>2052-12.1.0.16250</vt:lpwstr>
  </property>
</Properties>
</file>