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640"/>
        <w:rPr>
          <w:sz w:val="32"/>
          <w:szCs w:val="32"/>
        </w:rPr>
      </w:pPr>
    </w:p>
    <w:p>
      <w:pPr>
        <w:ind w:firstLine="640"/>
        <w:rPr>
          <w:sz w:val="32"/>
          <w:szCs w:val="32"/>
        </w:rPr>
      </w:pPr>
    </w:p>
    <w:p>
      <w:pPr>
        <w:ind w:firstLine="640"/>
        <w:rPr>
          <w:sz w:val="32"/>
          <w:szCs w:val="32"/>
        </w:rPr>
      </w:pPr>
    </w:p>
    <w:p>
      <w:pPr>
        <w:ind w:firstLine="640"/>
        <w:jc w:val="center"/>
        <w:rPr>
          <w:sz w:val="32"/>
          <w:szCs w:val="32"/>
        </w:rPr>
      </w:pPr>
      <w:bookmarkStart w:id="0" w:name="_GoBack"/>
      <w:r>
        <w:rPr>
          <w:rFonts w:hint="eastAsia"/>
          <w:sz w:val="32"/>
          <w:szCs w:val="32"/>
        </w:rPr>
        <w:t>襄鼎公司财务风险控制现状及对策研究</w:t>
      </w:r>
    </w:p>
    <w:bookmarkEnd w:id="0"/>
    <w:p>
      <w:pPr>
        <w:ind w:firstLine="640"/>
        <w:jc w:val="center"/>
        <w:rPr>
          <w:sz w:val="32"/>
          <w:szCs w:val="32"/>
        </w:rPr>
      </w:pPr>
    </w:p>
    <w:p>
      <w:pPr>
        <w:ind w:firstLine="640"/>
        <w:jc w:val="center"/>
        <w:rPr>
          <w:sz w:val="32"/>
          <w:szCs w:val="32"/>
        </w:rPr>
      </w:pPr>
    </w:p>
    <w:p>
      <w:pPr>
        <w:ind w:firstLine="640"/>
        <w:jc w:val="center"/>
        <w:rPr>
          <w:sz w:val="32"/>
          <w:szCs w:val="32"/>
        </w:rPr>
      </w:pPr>
    </w:p>
    <w:p>
      <w:pPr>
        <w:pStyle w:val="Heading1"/>
        <w:spacing w:before="720" w:after="624"/>
      </w:pPr>
      <w:bookmarkStart w:id="1" w:name="_Toc156292612"/>
      <w:bookmarkStart w:id="2" w:name="_Toc160891962"/>
      <w:bookmarkStart w:id="3" w:name="_Toc163533792"/>
      <w:bookmarkStart w:id="4" w:name="_Toc156059698"/>
      <w:bookmarkStart w:id="5" w:name="_Toc156316882"/>
      <w:bookmarkStart w:id="6" w:name="_Toc163979241"/>
      <w:bookmarkStart w:id="7" w:name="_Toc163534798"/>
      <w:bookmarkStart w:id="8" w:name="_Toc156291990"/>
      <w:bookmarkStart w:id="9" w:name="_Toc156291138"/>
      <w:bookmarkStart w:id="10" w:name="_Toc156290948"/>
      <w:bookmarkStart w:id="11" w:name="_Toc163534838"/>
      <w:bookmarkStart w:id="12" w:name="_Toc163534517"/>
      <w:bookmarkStart w:id="13" w:name="_Toc156292241"/>
      <w:bookmarkStart w:id="14" w:name="_Toc156054417"/>
      <w:bookmarkStart w:id="15" w:name="_Toc156291003"/>
      <w:bookmarkStart w:id="16" w:name="_Toc156292341"/>
      <w:bookmarkStart w:id="17" w:name="_Toc34995160"/>
      <w:r>
        <w:rPr>
          <w:rFonts w:hint="eastAsia"/>
        </w:rPr>
        <w:t>摘　要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</w:p>
    <w:bookmarkEnd w:id="17"/>
    <w:p>
      <w:pPr>
        <w:pStyle w:val="NoSpacing"/>
        <w:snapToGrid w:val="0"/>
        <w:spacing w:line="360" w:lineRule="auto"/>
        <w:ind w:firstLine="480" w:firstLineChars="200"/>
        <w:rPr>
          <w:lang w:val="zh-CN"/>
        </w:rPr>
      </w:pPr>
      <w:r>
        <w:rPr>
          <w:rFonts w:ascii="宋体" w:hAnsi="宋体" w:hint="eastAsia"/>
          <w:sz w:val="24"/>
          <w:szCs w:val="24"/>
          <w:lang w:val="zh-CN"/>
        </w:rPr>
        <w:t>中国的飞速发展，使得建筑公司数量激增，从而使得建筑劳务这一市场日渐饱和，在这种市场环境下，建筑劳务企业有着前所未有的机遇，但却伴随着巨大的挑战和风险，</w:t>
      </w:r>
      <w:r>
        <w:rPr>
          <w:rFonts w:ascii="宋体" w:hAnsi="宋体" w:hint="eastAsia"/>
          <w:kern w:val="0"/>
          <w:sz w:val="24"/>
          <w:lang w:val="zh-CN"/>
        </w:rPr>
        <w:t>正是在这种背景下，完善风险评估机制和提高风险防控能力对建筑劳务企业尤为重要。本文以襄鼎劳务建筑有限公司为研究对象，对我国建筑劳务企业的风险管控进行了研究。</w:t>
      </w:r>
      <w:r>
        <w:rPr>
          <w:rFonts w:ascii="宋体" w:hAnsi="宋体" w:hint="eastAsia"/>
          <w:kern w:val="0"/>
          <w:sz w:val="24"/>
        </w:rPr>
        <w:t>通过对</w:t>
      </w:r>
      <w:r>
        <w:rPr>
          <w:rFonts w:ascii="宋体" w:hAnsi="宋体" w:hint="eastAsia"/>
          <w:kern w:val="0"/>
          <w:sz w:val="24"/>
          <w:lang w:val="zh-CN"/>
        </w:rPr>
        <w:t>襄鼎</w:t>
      </w:r>
      <w:r>
        <w:rPr>
          <w:rFonts w:ascii="宋体" w:hAnsi="宋体" w:hint="eastAsia"/>
          <w:kern w:val="0"/>
          <w:sz w:val="24"/>
        </w:rPr>
        <w:t>公司的财务数据进行分析，总结归纳出当前</w:t>
      </w:r>
      <w:r>
        <w:rPr>
          <w:rFonts w:ascii="宋体" w:hAnsi="宋体" w:hint="eastAsia"/>
          <w:kern w:val="0"/>
          <w:sz w:val="24"/>
          <w:lang w:val="zh-CN"/>
        </w:rPr>
        <w:t>襄鼎</w:t>
      </w:r>
      <w:r>
        <w:rPr>
          <w:rFonts w:ascii="宋体" w:hAnsi="宋体" w:hint="eastAsia"/>
          <w:kern w:val="0"/>
          <w:sz w:val="24"/>
        </w:rPr>
        <w:t>公司在财务方面存在的具体问题，然后针对问题存在的原因进行简要分析，最后针对问题提出相应的解决对策。</w:t>
      </w:r>
    </w:p>
    <w:p>
      <w:pPr>
        <w:ind w:firstLine="482"/>
        <w:rPr>
          <w:sz w:val="21"/>
        </w:rPr>
      </w:pPr>
      <w:r>
        <w:rPr>
          <w:rFonts w:hint="eastAsia"/>
          <w:b/>
          <w:szCs w:val="24"/>
        </w:rPr>
        <w:t>关 键 词</w:t>
      </w:r>
      <w:r>
        <w:rPr>
          <w:rFonts w:hint="eastAsia"/>
          <w:sz w:val="21"/>
        </w:rPr>
        <w:t>：</w:t>
      </w:r>
      <w:r>
        <w:rPr>
          <w:rFonts w:hint="eastAsia"/>
        </w:rPr>
        <w:t>财务风险；债务；问题；对策</w:t>
      </w:r>
    </w:p>
    <w:p>
      <w:pPr>
        <w:ind w:firstLine="420"/>
        <w:rPr>
          <w:sz w:val="21"/>
        </w:rPr>
      </w:pPr>
    </w:p>
    <w:p>
      <w:pPr>
        <w:ind w:firstLine="482"/>
        <w:rPr>
          <w:b/>
          <w:szCs w:val="24"/>
        </w:rPr>
      </w:pPr>
      <w:r>
        <w:rPr>
          <w:rFonts w:hint="eastAsia"/>
          <w:b/>
          <w:szCs w:val="24"/>
        </w:rPr>
        <w:t>论文类型：案例分析</w:t>
      </w:r>
    </w:p>
    <w:p>
      <w:pPr>
        <w:pStyle w:val="Heading1"/>
        <w:spacing w:after="624"/>
        <w:sectPr>
          <w:headerReference w:type="default" r:id="rId8"/>
          <w:footerReference w:type="default" r:id="rId9"/>
          <w:pgSz w:w="11906" w:h="16838"/>
          <w:pgMar w:top="1134" w:right="1134" w:bottom="851" w:left="1134" w:header="851" w:footer="113" w:gutter="567"/>
          <w:pgNumType w:start="1"/>
          <w:cols w:num="1" w:space="425"/>
          <w:docGrid w:type="lines" w:linePitch="312" w:charSpace="0"/>
        </w:sectPr>
      </w:pPr>
    </w:p>
    <w:sdt>
      <w:sdtPr>
        <w:rPr>
          <w:rFonts w:ascii="黑体" w:eastAsia="黑体" w:hAnsi="黑体" w:cs="黑体" w:hint="eastAsia"/>
          <w:sz w:val="32"/>
          <w:szCs w:val="32"/>
        </w:rPr>
        <w:id w:val="147472272"/>
        <w:docPartObj>
          <w:docPartGallery w:val="Table of Contents"/>
          <w:docPartUnique/>
        </w:docPartObj>
      </w:sdtPr>
      <w:sdtEndPr>
        <w:rPr>
          <w:rFonts w:ascii="Times New Roman" w:eastAsia="宋体" w:hAnsi="Times New Roman" w:cs="Times New Roman" w:hint="eastAsia"/>
          <w:sz w:val="24"/>
          <w:szCs w:val="32"/>
        </w:rPr>
      </w:sdtEndPr>
      <w:sdtContent>
        <w:p>
          <w:pPr>
            <w:spacing w:line="240" w:lineRule="auto"/>
            <w:ind w:firstLine="0" w:firstLineChars="0"/>
            <w:jc w:val="center"/>
            <w:rPr>
              <w:rFonts w:ascii="黑体" w:eastAsia="黑体" w:hAnsi="黑体" w:cs="黑体"/>
              <w:sz w:val="32"/>
              <w:szCs w:val="32"/>
            </w:rPr>
          </w:pPr>
          <w:r>
            <w:rPr>
              <w:rFonts w:ascii="黑体" w:eastAsia="黑体" w:hAnsi="黑体" w:cs="黑体" w:hint="eastAsia"/>
              <w:sz w:val="32"/>
              <w:szCs w:val="32"/>
            </w:rPr>
            <w:t>目录</w:t>
          </w:r>
        </w:p>
        <w:p>
          <w:pPr>
            <w:pStyle w:val="TOC1"/>
            <w:tabs>
              <w:tab w:val="right" w:leader="dot" w:pos="9071"/>
            </w:tabs>
            <w:spacing w:line="360" w:lineRule="auto"/>
            <w:ind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hyperlink w:anchor="_Toc257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eastAsiaTheme="minorEastAsia"/>
                <w:sz w:val="24"/>
                <w:szCs w:val="24"/>
                <w:lang w:val="zh-CN"/>
              </w:rPr>
              <w:t>绪论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_Toc257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1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  <w:r>
            <w:rPr>
              <w:rFonts w:hint="eastAsia"/>
            </w:rPr>
            <w:fldChar w:fldCharType="end"/>
          </w:r>
        </w:p>
        <w:p>
          <w:pPr>
            <w:pStyle w:val="TOC2"/>
            <w:tabs>
              <w:tab w:val="right" w:leader="dot" w:pos="9071"/>
            </w:tabs>
            <w:spacing w:line="360" w:lineRule="auto"/>
            <w:ind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24982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eastAsiaTheme="minorEastAsia"/>
                <w:sz w:val="24"/>
                <w:szCs w:val="24"/>
                <w:lang w:val="zh-CN"/>
              </w:rPr>
              <w:t>研究背景和研究意义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_Toc24982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1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clear" w:pos="1260"/>
              <w:tab w:val="clear" w:pos="8630"/>
              <w:tab w:val="right" w:leader="dot" w:pos="9071"/>
            </w:tabs>
            <w:spacing w:afterAutospacing="0"/>
            <w:ind w:left="600"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29344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 xml:space="preserve">1.1.1 </w:t>
            </w:r>
            <w:r>
              <w:rPr>
                <w:rFonts w:ascii="Times New Roman" w:hAnsi="Times New Roman" w:eastAsiaTheme="minorEastAsia"/>
                <w:sz w:val="24"/>
                <w:szCs w:val="24"/>
                <w:lang w:val="zh-CN"/>
              </w:rPr>
              <w:t>研究背景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_Toc29344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1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clear" w:pos="1260"/>
              <w:tab w:val="clear" w:pos="8630"/>
              <w:tab w:val="right" w:leader="dot" w:pos="9071"/>
            </w:tabs>
            <w:spacing w:afterAutospacing="0"/>
            <w:ind w:left="600"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30936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 xml:space="preserve">1.1.2 </w:t>
            </w:r>
            <w:r>
              <w:rPr>
                <w:rFonts w:ascii="Times New Roman" w:hAnsi="Times New Roman" w:eastAsiaTheme="minorEastAsia"/>
                <w:sz w:val="24"/>
                <w:szCs w:val="24"/>
                <w:lang w:val="zh-CN"/>
              </w:rPr>
              <w:t>研究意义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_Toc30936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1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071"/>
            </w:tabs>
            <w:spacing w:line="360" w:lineRule="auto"/>
            <w:ind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1310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>1.2 国内外研究现状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_Toc1310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2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clear" w:pos="1260"/>
              <w:tab w:val="clear" w:pos="8630"/>
              <w:tab w:val="right" w:leader="dot" w:pos="9071"/>
            </w:tabs>
            <w:spacing w:afterAutospacing="0"/>
            <w:ind w:left="600"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25265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>1.2.1 国外研究现状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_Toc25265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2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clear" w:pos="1260"/>
              <w:tab w:val="clear" w:pos="8630"/>
              <w:tab w:val="right" w:leader="dot" w:pos="9071"/>
            </w:tabs>
            <w:spacing w:afterAutospacing="0"/>
            <w:ind w:left="600"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25910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>1.2.2 国内研究现状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_Toc25910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2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071"/>
            </w:tabs>
            <w:spacing w:line="360" w:lineRule="auto"/>
            <w:ind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25755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 xml:space="preserve">1.3 </w:t>
            </w:r>
            <w:r>
              <w:rPr>
                <w:rFonts w:ascii="Times New Roman" w:hAnsi="Times New Roman" w:eastAsiaTheme="minorEastAsia"/>
                <w:sz w:val="24"/>
                <w:szCs w:val="24"/>
                <w:lang w:val="zh-CN"/>
              </w:rPr>
              <w:t>研究内容及方法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_Toc25755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clear" w:pos="1260"/>
              <w:tab w:val="clear" w:pos="8630"/>
              <w:tab w:val="right" w:leader="dot" w:pos="9071"/>
            </w:tabs>
            <w:spacing w:afterAutospacing="0"/>
            <w:ind w:left="600"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1919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 xml:space="preserve">1.3.1 </w:t>
            </w:r>
            <w:r>
              <w:rPr>
                <w:rFonts w:ascii="Times New Roman" w:hAnsi="Times New Roman" w:eastAsiaTheme="minorEastAsia"/>
                <w:sz w:val="24"/>
                <w:szCs w:val="24"/>
                <w:lang w:val="zh-CN"/>
              </w:rPr>
              <w:t>研究方法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_Toc1919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clear" w:pos="1260"/>
              <w:tab w:val="clear" w:pos="8630"/>
              <w:tab w:val="right" w:leader="dot" w:pos="9071"/>
            </w:tabs>
            <w:spacing w:afterAutospacing="0"/>
            <w:ind w:left="600"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22990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 xml:space="preserve">1.3.2 </w:t>
            </w:r>
            <w:r>
              <w:rPr>
                <w:rFonts w:ascii="Times New Roman" w:hAnsi="Times New Roman" w:eastAsiaTheme="minorEastAsia"/>
                <w:sz w:val="24"/>
                <w:szCs w:val="24"/>
                <w:lang w:val="zh-CN"/>
              </w:rPr>
              <w:t>研究内容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_Toc22990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071"/>
            </w:tabs>
            <w:spacing w:line="360" w:lineRule="auto"/>
            <w:ind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5985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 xml:space="preserve">2 </w:t>
            </w:r>
            <w:r>
              <w:rPr>
                <w:rFonts w:ascii="Times New Roman" w:hAnsi="Times New Roman" w:eastAsiaTheme="minorEastAsia"/>
                <w:sz w:val="24"/>
                <w:szCs w:val="24"/>
                <w:lang w:val="zh-CN"/>
              </w:rPr>
              <w:t>财务风险的相关概念及理论基础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_Toc5985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5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071"/>
            </w:tabs>
            <w:spacing w:line="360" w:lineRule="auto"/>
            <w:ind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20694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 xml:space="preserve">2.1 </w:t>
            </w:r>
            <w:r>
              <w:rPr>
                <w:rFonts w:ascii="Times New Roman" w:hAnsi="Times New Roman" w:eastAsiaTheme="minorEastAsia"/>
                <w:sz w:val="24"/>
                <w:szCs w:val="24"/>
                <w:lang w:val="zh-CN"/>
              </w:rPr>
              <w:t>财务风险的相关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理论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_Toc20694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5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071"/>
            </w:tabs>
            <w:spacing w:line="360" w:lineRule="auto"/>
            <w:ind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24280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>2.2 财务风险的识别方法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_Toc24280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5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clear" w:pos="1260"/>
              <w:tab w:val="clear" w:pos="8630"/>
              <w:tab w:val="right" w:leader="dot" w:pos="9071"/>
            </w:tabs>
            <w:spacing w:afterAutospacing="0"/>
            <w:ind w:left="600"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4830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>2.2.1 理论分析法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_Toc4830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5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clear" w:pos="1260"/>
              <w:tab w:val="clear" w:pos="8630"/>
              <w:tab w:val="right" w:leader="dot" w:pos="9071"/>
            </w:tabs>
            <w:spacing w:afterAutospacing="0"/>
            <w:ind w:left="600"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29979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>2.2.2 数据分析法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_Toc29979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5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071"/>
            </w:tabs>
            <w:spacing w:line="360" w:lineRule="auto"/>
            <w:ind w:firstLine="0" w:firstLineChars="0"/>
          </w:pPr>
          <w:hyperlink w:anchor="_Toc24280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>2.</w:t>
            </w:r>
            <w:r>
              <w:rPr>
                <w:rFonts w:ascii="Times New Roman" w:hAnsi="Times New Roman" w:eastAsiaTheme="minorEastAsia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 xml:space="preserve"> 财务风险</w:t>
            </w:r>
            <w:r>
              <w:rPr>
                <w:rFonts w:ascii="Times New Roman" w:hAnsi="Times New Roman" w:eastAsiaTheme="minorEastAsia" w:hint="eastAsia"/>
                <w:sz w:val="24"/>
                <w:szCs w:val="24"/>
              </w:rPr>
              <w:t>形成的原因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_Toc24280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5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071"/>
            </w:tabs>
            <w:spacing w:line="360" w:lineRule="auto"/>
            <w:ind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18985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 xml:space="preserve">3 </w:t>
            </w:r>
            <w:r>
              <w:rPr>
                <w:rFonts w:ascii="Times New Roman" w:hAnsi="Times New Roman" w:eastAsiaTheme="minorEastAsia" w:hint="eastAsia"/>
                <w:sz w:val="24"/>
                <w:szCs w:val="24"/>
                <w:lang w:val="zh-CN"/>
              </w:rPr>
              <w:t>襄鼎公司</w:t>
            </w:r>
            <w:r>
              <w:rPr>
                <w:rFonts w:ascii="Times New Roman" w:hAnsi="Times New Roman" w:eastAsiaTheme="minorEastAsia"/>
                <w:sz w:val="24"/>
                <w:szCs w:val="24"/>
                <w:lang w:val="zh-CN"/>
              </w:rPr>
              <w:t>财务风险现状分析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_Toc18985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7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071"/>
            </w:tabs>
            <w:spacing w:line="360" w:lineRule="auto"/>
            <w:ind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13212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 xml:space="preserve">3.1 </w:t>
            </w:r>
            <w:r>
              <w:rPr>
                <w:rFonts w:ascii="Times New Roman" w:hAnsi="Times New Roman" w:eastAsiaTheme="minorEastAsia" w:hint="eastAsia"/>
                <w:sz w:val="24"/>
                <w:szCs w:val="24"/>
              </w:rPr>
              <w:t>襄鼎公司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的简介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_Toc13212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7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071"/>
            </w:tabs>
            <w:spacing w:line="360" w:lineRule="auto"/>
            <w:ind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27035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>3.2 公司面临的外部风险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_Toc27035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7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clear" w:pos="1260"/>
              <w:tab w:val="clear" w:pos="8630"/>
              <w:tab w:val="right" w:leader="dot" w:pos="9071"/>
            </w:tabs>
            <w:spacing w:afterAutospacing="0"/>
            <w:ind w:left="600"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11270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>3.2.1 政策风险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_Toc11270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7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clear" w:pos="1260"/>
              <w:tab w:val="clear" w:pos="8630"/>
              <w:tab w:val="right" w:leader="dot" w:pos="9071"/>
            </w:tabs>
            <w:spacing w:afterAutospacing="0"/>
            <w:ind w:left="600"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17725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>3.2.2 行业风险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_Toc17725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7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071"/>
            </w:tabs>
            <w:spacing w:line="360" w:lineRule="auto"/>
            <w:ind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28446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>3.3 公司面临的内部财务风险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_Toc28446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8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clear" w:pos="1260"/>
              <w:tab w:val="clear" w:pos="8630"/>
              <w:tab w:val="right" w:leader="dot" w:pos="9071"/>
            </w:tabs>
            <w:spacing w:afterAutospacing="0"/>
            <w:ind w:left="600"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3100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>3.3.1 债务风险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_Toc3100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8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clear" w:pos="1260"/>
              <w:tab w:val="clear" w:pos="8630"/>
              <w:tab w:val="right" w:leader="dot" w:pos="9071"/>
            </w:tabs>
            <w:spacing w:afterAutospacing="0"/>
            <w:ind w:left="600"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13233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>3.3.2营运风险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_Toc13233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clear" w:pos="1260"/>
              <w:tab w:val="clear" w:pos="8630"/>
              <w:tab w:val="right" w:leader="dot" w:pos="9071"/>
            </w:tabs>
            <w:spacing w:afterAutospacing="0"/>
            <w:ind w:left="600"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  <w:hyperlink w:anchor="_Toc5626" w:history="1">
            <w:r>
              <w:rPr>
                <w:rFonts w:ascii="Times New Roman" w:hAnsi="Times New Roman" w:eastAsiaTheme="minorEastAsia"/>
                <w:sz w:val="24"/>
                <w:szCs w:val="24"/>
              </w:rPr>
              <w:t>3.3.3资金营运风险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ab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instrText xml:space="preserve"> PAGEREF _Toc5626 </w:instrTex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11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fldChar w:fldCharType="end"/>
            </w:r>
          </w:hyperlink>
          <w:r>
            <w:rPr>
              <w:rFonts w:ascii="Times New Roman" w:hAnsi="Times New Roman" w:eastAsiaTheme="minorEastAsia"/>
              <w:sz w:val="24"/>
              <w:szCs w:val="24"/>
            </w:rPr>
            <w:br/>
          </w:r>
          <w:r>
            <w:rPr>
              <w:rFonts w:ascii="Times New Roman" w:hAnsi="Times New Roman" w:eastAsiaTheme="minorEastAsia"/>
              <w:sz w:val="24"/>
              <w:szCs w:val="24"/>
            </w:rPr>
            <w:br/>
          </w:r>
        </w:p>
        <w:p>
          <w:pPr>
            <w:spacing w:line="240" w:lineRule="auto"/>
            <w:ind w:firstLine="0" w:firstLineChars="0"/>
            <w:jc w:val="left"/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10" w:history="1">
            <w:r>
              <w:rPr>
                <w:rFonts w:ascii="SimSun" w:eastAsia="SimSun" w:hAnsi="SimSun" w:cs="SimSun"/>
                <w:b/>
                <w:bCs/>
                <w:color w:val="0000EE"/>
                <w:kern w:val="0"/>
                <w:sz w:val="30"/>
                <w:szCs w:val="30"/>
                <w:u w:val="single" w:color="0000EE"/>
              </w:rPr>
              <w:t>https://d.book118.com/117132120012006025</w:t>
            </w:r>
          </w:hyperlink>
        </w:p>
        <w:p>
          <w:pPr>
            <w:pStyle w:val="TOC3"/>
            <w:tabs>
              <w:tab w:val="clear" w:pos="1260"/>
              <w:tab w:val="clear" w:pos="8630"/>
              <w:tab w:val="right" w:leader="dot" w:pos="9071"/>
            </w:tabs>
            <w:spacing w:afterAutospacing="0"/>
            <w:ind w:left="600" w:firstLine="0" w:firstLineChars="0"/>
            <w:rPr>
              <w:rFonts w:ascii="Times New Roman" w:hAnsi="Times New Roman" w:eastAsiaTheme="minorEastAsia"/>
              <w:sz w:val="24"/>
              <w:szCs w:val="24"/>
            </w:rPr>
          </w:pPr>
        </w:p>
      </w:sdtContent>
    </w:sdt>
    <w:sectPr>
      <w:headerReference w:type="default" r:id="rId11"/>
      <w:footerReference w:type="default" r:id="rId12"/>
      <w:pgSz w:w="11906" w:h="16838"/>
      <w:pgMar w:top="1134" w:right="1134" w:bottom="851" w:left="1134" w:header="851" w:footer="567" w:gutter="567"/>
      <w:pgNumType w:fmt="upperRoman" w:start="1"/>
      <w:cols w:num="1" w:space="425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 w:firstLineChars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ind w:firstLine="420"/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t>I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ind w:firstLine="420"/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t>I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2F25E34"/>
    <w:multiLevelType w:val="singleLevel"/>
    <w:tmpl w:val="82F25E34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0E1"/>
    <w:rsid w:val="0000325E"/>
    <w:rsid w:val="00012C3F"/>
    <w:rsid w:val="000A3318"/>
    <w:rsid w:val="000B1CC4"/>
    <w:rsid w:val="000E2E5B"/>
    <w:rsid w:val="000E690B"/>
    <w:rsid w:val="001A4D0F"/>
    <w:rsid w:val="001D6580"/>
    <w:rsid w:val="00232CE8"/>
    <w:rsid w:val="002C68D9"/>
    <w:rsid w:val="002D550B"/>
    <w:rsid w:val="003D1321"/>
    <w:rsid w:val="003F2AF4"/>
    <w:rsid w:val="00454A49"/>
    <w:rsid w:val="00462C8C"/>
    <w:rsid w:val="004835D7"/>
    <w:rsid w:val="0051187C"/>
    <w:rsid w:val="005D05D8"/>
    <w:rsid w:val="00661922"/>
    <w:rsid w:val="00764374"/>
    <w:rsid w:val="007D6F61"/>
    <w:rsid w:val="007E0956"/>
    <w:rsid w:val="0082796F"/>
    <w:rsid w:val="00827A5B"/>
    <w:rsid w:val="00846AF4"/>
    <w:rsid w:val="00915614"/>
    <w:rsid w:val="00973408"/>
    <w:rsid w:val="00A32D31"/>
    <w:rsid w:val="00AB50CF"/>
    <w:rsid w:val="00B61FC7"/>
    <w:rsid w:val="00BA24D8"/>
    <w:rsid w:val="00C13FE8"/>
    <w:rsid w:val="00C261ED"/>
    <w:rsid w:val="00C334E2"/>
    <w:rsid w:val="00C7180E"/>
    <w:rsid w:val="00CF3312"/>
    <w:rsid w:val="00DB20E1"/>
    <w:rsid w:val="00E4656C"/>
    <w:rsid w:val="00E740FE"/>
    <w:rsid w:val="00ED3B90"/>
    <w:rsid w:val="00F0147E"/>
    <w:rsid w:val="030F5E6E"/>
    <w:rsid w:val="03A851D5"/>
    <w:rsid w:val="03C51BDD"/>
    <w:rsid w:val="047B57D7"/>
    <w:rsid w:val="05727E86"/>
    <w:rsid w:val="05731C55"/>
    <w:rsid w:val="063F6B68"/>
    <w:rsid w:val="069D405A"/>
    <w:rsid w:val="0BD535BD"/>
    <w:rsid w:val="0C087DC0"/>
    <w:rsid w:val="0C3B09DC"/>
    <w:rsid w:val="13A22417"/>
    <w:rsid w:val="175314CC"/>
    <w:rsid w:val="19805939"/>
    <w:rsid w:val="19833D55"/>
    <w:rsid w:val="1BAD17B5"/>
    <w:rsid w:val="1D7E0FFD"/>
    <w:rsid w:val="22246AB0"/>
    <w:rsid w:val="271D49B2"/>
    <w:rsid w:val="29AD3970"/>
    <w:rsid w:val="32507071"/>
    <w:rsid w:val="37733FD7"/>
    <w:rsid w:val="3A190275"/>
    <w:rsid w:val="3BDE6310"/>
    <w:rsid w:val="3C3E0594"/>
    <w:rsid w:val="3C4424E4"/>
    <w:rsid w:val="3CBF3C4B"/>
    <w:rsid w:val="3F1D290F"/>
    <w:rsid w:val="4B9B4455"/>
    <w:rsid w:val="4C1C7808"/>
    <w:rsid w:val="4EF727B0"/>
    <w:rsid w:val="5AF65D45"/>
    <w:rsid w:val="66801471"/>
    <w:rsid w:val="674C2034"/>
    <w:rsid w:val="6E237FF1"/>
    <w:rsid w:val="6FCF1C8F"/>
    <w:rsid w:val="725455DD"/>
    <w:rsid w:val="74174931"/>
    <w:rsid w:val="742A2F54"/>
    <w:rsid w:val="79084D91"/>
    <w:rsid w:val="7A396DD9"/>
    <w:rsid w:val="7A792B8C"/>
    <w:rsid w:val="7CB72E47"/>
    <w:rsid w:val="7F8E6390"/>
    <w:rsid w:val="7FDA6940"/>
  </w:rsids>
  <w:docVars>
    <w:docVar w:name="commondata" w:val="eyJoZGlkIjoiZGY5OGNiNGUyMjQ5MmI4ZDQ3ZjRhNGEzOTgxOWU3NGE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 w:qFormat="1"/>
    <w:lsdException w:name="annotation text" w:semiHidden="0" w:uiPriority="0" w:unhideWhenUsed="0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 w:qFormat="1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 w:qFormat="1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nhideWhenUsed="0" w:qFormat="1"/>
    <w:lsdException w:name="Table Grid" w:semiHidden="0" w:uiPriority="59" w:unhideWhenUsed="0" w:qFormat="1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spacing w:line="360" w:lineRule="auto"/>
      <w:ind w:firstLine="720" w:firstLineChars="200"/>
      <w:jc w:val="both"/>
    </w:pPr>
    <w:rPr>
      <w:rFonts w:ascii="Times New Roman" w:eastAsia="宋体" w:hAnsi="Times New Roman" w:cs="Times New Roman"/>
      <w:kern w:val="2"/>
      <w:sz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afterLines="200"/>
      <w:ind w:firstLine="0" w:firstLineChars="0"/>
      <w:jc w:val="center"/>
      <w:outlineLvl w:val="0"/>
    </w:pPr>
    <w:rPr>
      <w:rFonts w:eastAsia="黑体"/>
      <w:bCs/>
      <w:kern w:val="44"/>
      <w:sz w:val="32"/>
      <w:szCs w:val="44"/>
    </w:rPr>
  </w:style>
  <w:style w:type="paragraph" w:styleId="Heading2">
    <w:name w:val="heading 2"/>
    <w:basedOn w:val="Normal"/>
    <w:next w:val="Normal"/>
    <w:link w:val="2Char"/>
    <w:autoRedefine/>
    <w:uiPriority w:val="9"/>
    <w:qFormat/>
    <w:pPr>
      <w:keepNext/>
      <w:keepLines/>
      <w:ind w:firstLine="0" w:firstLineChars="0"/>
      <w:jc w:val="left"/>
      <w:outlineLvl w:val="1"/>
    </w:pPr>
    <w:rPr>
      <w:rFonts w:ascii="Cambria" w:eastAsia="黑体" w:hAnsi="Cambria" w:cs="宋体"/>
      <w:bCs/>
      <w:sz w:val="30"/>
      <w:szCs w:val="32"/>
    </w:rPr>
  </w:style>
  <w:style w:type="paragraph" w:styleId="Heading3">
    <w:name w:val="heading 3"/>
    <w:basedOn w:val="Normal"/>
    <w:next w:val="Normal"/>
    <w:link w:val="3Char"/>
    <w:uiPriority w:val="9"/>
    <w:qFormat/>
    <w:pPr>
      <w:keepNext/>
      <w:keepLines/>
      <w:ind w:firstLine="0" w:firstLineChars="0"/>
      <w:jc w:val="left"/>
      <w:outlineLvl w:val="2"/>
    </w:pPr>
    <w:rPr>
      <w:rFonts w:eastAsia="黑体"/>
      <w:bCs/>
      <w:szCs w:val="32"/>
    </w:rPr>
  </w:style>
  <w:style w:type="paragraph" w:styleId="Heading4">
    <w:name w:val="heading 4"/>
    <w:basedOn w:val="Normal"/>
    <w:next w:val="Normal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 w:cs="宋体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Char2"/>
    <w:rPr>
      <w:rFonts w:ascii="宋体"/>
      <w:sz w:val="18"/>
      <w:szCs w:val="18"/>
    </w:rPr>
  </w:style>
  <w:style w:type="paragraph" w:styleId="BodyTextIndent">
    <w:name w:val="Body Text Indent"/>
    <w:basedOn w:val="Normal"/>
    <w:autoRedefine/>
    <w:qFormat/>
    <w:pPr>
      <w:spacing w:after="120"/>
      <w:ind w:left="420" w:leftChars="200"/>
    </w:pPr>
  </w:style>
  <w:style w:type="paragraph" w:styleId="TOC3">
    <w:name w:val="toc 3"/>
    <w:basedOn w:val="Normal"/>
    <w:next w:val="Normal"/>
    <w:autoRedefine/>
    <w:uiPriority w:val="39"/>
    <w:qFormat/>
    <w:pPr>
      <w:tabs>
        <w:tab w:val="left" w:pos="1260"/>
        <w:tab w:val="right" w:leader="dot" w:pos="8630"/>
      </w:tabs>
      <w:spacing w:after="100" w:afterAutospacing="1"/>
      <w:ind w:left="525" w:leftChars="250"/>
      <w:jc w:val="left"/>
    </w:pPr>
    <w:rPr>
      <w:rFonts w:ascii="Calibri" w:hAnsi="Calibri"/>
      <w:kern w:val="0"/>
      <w:sz w:val="22"/>
      <w:szCs w:val="22"/>
    </w:rPr>
  </w:style>
  <w:style w:type="paragraph" w:styleId="Date">
    <w:name w:val="Date"/>
    <w:basedOn w:val="Normal"/>
    <w:next w:val="Normal"/>
    <w:qFormat/>
    <w:pPr>
      <w:ind w:firstLine="0" w:firstLineChars="0"/>
    </w:pPr>
    <w:rPr>
      <w:sz w:val="21"/>
    </w:rPr>
  </w:style>
  <w:style w:type="paragraph" w:styleId="BalloonText">
    <w:name w:val="Balloon Text"/>
    <w:basedOn w:val="Normal"/>
    <w:link w:val="Char1"/>
    <w:autoRedefine/>
    <w:uiPriority w:val="99"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qFormat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18"/>
    </w:rPr>
  </w:style>
  <w:style w:type="paragraph" w:styleId="Header">
    <w:name w:val="header"/>
    <w:basedOn w:val="Normal"/>
    <w:link w:val="Char"/>
    <w:uiPriority w:val="99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宋体"/>
      <w:sz w:val="18"/>
      <w:szCs w:val="18"/>
    </w:rPr>
  </w:style>
  <w:style w:type="paragraph" w:styleId="TOC1">
    <w:name w:val="toc 1"/>
    <w:basedOn w:val="Normal"/>
    <w:next w:val="Normal"/>
    <w:autoRedefine/>
    <w:uiPriority w:val="39"/>
    <w:qFormat/>
    <w:pPr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FootnoteText">
    <w:name w:val="footnote text"/>
    <w:basedOn w:val="Normal"/>
    <w:autoRedefine/>
    <w:qFormat/>
    <w:pPr>
      <w:snapToGrid w:val="0"/>
      <w:jc w:val="left"/>
    </w:pPr>
    <w:rPr>
      <w:sz w:val="18"/>
    </w:rPr>
  </w:style>
  <w:style w:type="paragraph" w:styleId="TOC2">
    <w:name w:val="toc 2"/>
    <w:basedOn w:val="Normal"/>
    <w:next w:val="Normal"/>
    <w:autoRedefine/>
    <w:uiPriority w:val="39"/>
    <w:qFormat/>
    <w:pPr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HTMLPreformatted">
    <w:name w:val="HTML Preformatted"/>
    <w:basedOn w:val="Normal"/>
    <w:link w:val="HTMLChar"/>
    <w:qFormat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Cs w:val="24"/>
    </w:rPr>
  </w:style>
  <w:style w:type="table" w:styleId="TableGrid">
    <w:name w:val="Table Grid"/>
    <w:basedOn w:val="TableNormal"/>
    <w:autoRedefine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ageNumber">
    <w:name w:val="page number"/>
    <w:basedOn w:val="DefaultParagraphFont"/>
    <w:autoRedefine/>
    <w:qFormat/>
  </w:style>
  <w:style w:type="character" w:styleId="Hyperlink">
    <w:name w:val="Hyperlink"/>
    <w:autoRedefine/>
    <w:uiPriority w:val="99"/>
    <w:qFormat/>
    <w:rPr>
      <w:color w:val="0000FF"/>
      <w:u w:val="single"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Times New Roman" w:eastAsia="黑体" w:hAnsi="Times New Roman" w:cs="Times New Roman"/>
      <w:bCs/>
      <w:kern w:val="44"/>
      <w:sz w:val="32"/>
      <w:szCs w:val="44"/>
    </w:rPr>
  </w:style>
  <w:style w:type="character" w:customStyle="1" w:styleId="2Char">
    <w:name w:val="标题 2 Char"/>
    <w:basedOn w:val="DefaultParagraphFont"/>
    <w:link w:val="Heading2"/>
    <w:autoRedefine/>
    <w:uiPriority w:val="9"/>
    <w:qFormat/>
    <w:rPr>
      <w:rFonts w:ascii="Cambria" w:eastAsia="黑体" w:hAnsi="Cambria" w:cs="宋体"/>
      <w:bCs/>
      <w:sz w:val="30"/>
      <w:szCs w:val="32"/>
    </w:rPr>
  </w:style>
  <w:style w:type="character" w:customStyle="1" w:styleId="3Char">
    <w:name w:val="标题 3 Char"/>
    <w:basedOn w:val="DefaultParagraphFont"/>
    <w:link w:val="Heading3"/>
    <w:autoRedefine/>
    <w:uiPriority w:val="9"/>
    <w:qFormat/>
    <w:rPr>
      <w:rFonts w:ascii="Times New Roman" w:eastAsia="黑体" w:hAnsi="Times New Roman" w:cs="Times New Roman"/>
      <w:bCs/>
      <w:sz w:val="24"/>
      <w:szCs w:val="32"/>
    </w:rPr>
  </w:style>
  <w:style w:type="character" w:customStyle="1" w:styleId="4Char">
    <w:name w:val="标题 4 Char"/>
    <w:basedOn w:val="DefaultParagraphFont"/>
    <w:link w:val="Heading4"/>
    <w:uiPriority w:val="9"/>
    <w:qFormat/>
    <w:rPr>
      <w:rFonts w:ascii="Cambria" w:eastAsia="宋体" w:hAnsi="Cambria" w:cs="宋体"/>
      <w:b/>
      <w:bCs/>
      <w:sz w:val="28"/>
      <w:szCs w:val="28"/>
    </w:rPr>
  </w:style>
  <w:style w:type="paragraph" w:styleId="NoSpacing">
    <w:name w:val="No Spacing"/>
    <w:autoRedefine/>
    <w:uiPriority w:val="1"/>
    <w:qFormat/>
    <w:pPr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5">
    <w:name w:val="样式 行距: 多倍行距 1.5字行"/>
    <w:basedOn w:val="Normal"/>
    <w:qFormat/>
    <w:pPr>
      <w:adjustRightInd w:val="0"/>
      <w:snapToGrid w:val="0"/>
    </w:pPr>
    <w:rPr>
      <w:rFonts w:ascii="黑体" w:eastAsia="黑体" w:hAnsi="宋体" w:cs="宋体"/>
      <w:bCs/>
      <w:color w:val="000000"/>
      <w:sz w:val="28"/>
      <w:szCs w:val="28"/>
    </w:rPr>
  </w:style>
  <w:style w:type="paragraph" w:customStyle="1" w:styleId="TOCHeading89b85a52-08d3-441d-96c7-419a758a1561">
    <w:name w:val="TOC Heading_89b85a52-08d3-441d-96c7-419a758a1561"/>
    <w:basedOn w:val="Heading1"/>
    <w:next w:val="Normal"/>
    <w:autoRedefine/>
    <w:uiPriority w:val="39"/>
    <w:qFormat/>
    <w:pPr>
      <w:spacing w:before="480" w:line="276" w:lineRule="auto"/>
      <w:jc w:val="left"/>
      <w:outlineLvl w:val="9"/>
    </w:pPr>
    <w:rPr>
      <w:rFonts w:ascii="Cambria" w:hAnsi="Cambria" w:cs="宋体"/>
      <w:color w:val="366091"/>
      <w:kern w:val="0"/>
      <w:sz w:val="28"/>
      <w:szCs w:val="2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HTMLChar">
    <w:name w:val="HTML 预设格式 Char"/>
    <w:basedOn w:val="DefaultParagraphFont"/>
    <w:link w:val="HTMLPreformatted"/>
    <w:qFormat/>
    <w:rPr>
      <w:rFonts w:ascii="宋体" w:hAnsi="宋体"/>
      <w:sz w:val="24"/>
      <w:szCs w:val="24"/>
    </w:rPr>
  </w:style>
  <w:style w:type="character" w:customStyle="1" w:styleId="Char2">
    <w:name w:val="文档结构图 Char"/>
    <w:basedOn w:val="DefaultParagraphFont"/>
    <w:link w:val="DocumentMap"/>
    <w:autoRedefine/>
    <w:qFormat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yperlink" Target="https://d.book118.com/117132120012006025" TargetMode="External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4FEB10-7530-442D-AEF0-5AAFFA4641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2446</Words>
  <Characters>13944</Characters>
  <Application>Microsoft Office Word</Application>
  <DocSecurity>0</DocSecurity>
  <Lines>116</Lines>
  <Paragraphs>32</Paragraphs>
  <ScaleCrop>false</ScaleCrop>
  <Company>Hewlett-Packard Company</Company>
  <LinksUpToDate>false</LinksUpToDate>
  <CharactersWithSpaces>16358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张老师</cp:lastModifiedBy>
  <cp:revision>82</cp:revision>
  <cp:lastPrinted>2021-05-23T13:43:00Z</cp:lastPrinted>
  <dcterms:created xsi:type="dcterms:W3CDTF">2019-05-21T03:53:00Z</dcterms:created>
  <dcterms:modified xsi:type="dcterms:W3CDTF">2024-01-01T06:15:30Z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CAD3949096114BAC9FE2B8380CFED6B5_12</vt:lpwstr>
  </property>
  <property fmtid="{D5CDD505-2E9C-101B-9397-08002B2CF9AE}" pid="3" name="KSOProductBuildVer">
    <vt:lpwstr>2052-12.1.0.16120</vt:lpwstr>
  </property>
  <property fmtid="{D5CDD505-2E9C-101B-9397-08002B2CF9AE}" pid="4" name="KSORubyTemplateID" linkTarget="0">
    <vt:lpwstr>6</vt:lpwstr>
  </property>
</Properties>
</file>