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216F0" w:rsidP="005216F0" w14:paraId="5D6C32A0" w14:textId="49312325">
      <w:pPr>
        <w:pStyle w:val="Heading1"/>
        <w:jc w:val="center"/>
      </w:pPr>
      <w:r>
        <w:rPr>
          <w:noProof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9702800</wp:posOffset>
                </wp:positionV>
                <wp:extent cx="6350000" cy="63500"/>
                <wp:effectExtent l="0" t="0" r="0" b="0"/>
                <wp:wrapNone/>
                <wp:docPr id="1837746956" name="PageShape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53831" w:rsidRPr="00953831" w14:textId="30CF1823">
                            <w:pPr>
                              <w:rPr>
                                <w:rFonts w:ascii="黑体" w:eastAsia="黑体"/>
                              </w:rPr>
                            </w:pPr>
                            <w:r w:rsidRPr="00953831">
                              <w:rPr>
                                <w:rFonts w:ascii="黑体" w:eastAsia="黑体" w:hint="eastAsia"/>
                              </w:rPr>
                              <w:t>玄妙观重修三门记原文及译文（</w:t>
                            </w:r>
                            <w:r w:rsidRPr="00953831">
                              <w:rPr>
                                <w:rFonts w:ascii="黑体" w:eastAsia="黑体"/>
                              </w:rPr>
                              <w:t>5篇范例） 全文共1页，当前为第1页。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ageShape1" o:spid="_x0000_s1025" type="#_x0000_t202" style="width:500pt;height:5pt;margin-top:764pt;margin-left:-90pt;mso-wrap-distance-bottom:0;mso-wrap-distance-left:9pt;mso-wrap-distance-right:9pt;mso-wrap-distance-top:0;position:absolute;visibility:hidden;v-text-anchor:top;z-index:251658240" filled="f" fillcolor="this" stroked="t" strokecolor="black" strokeweight="0.5pt">
                <v:textbox>
                  <w:txbxContent>
                    <w:p w:rsidR="00953831" w:rsidRPr="00953831" w14:paraId="085B9F3C" w14:textId="30CF1823">
                      <w:pPr>
                        <w:rPr>
                          <w:rFonts w:ascii="黑体" w:eastAsia="黑体"/>
                        </w:rPr>
                      </w:pPr>
                      <w:r w:rsidRPr="00953831">
                        <w:rPr>
                          <w:rFonts w:ascii="黑体" w:eastAsia="黑体" w:hint="eastAsia"/>
                        </w:rPr>
                        <w:t>玄妙观重修三门记原文及译文（</w:t>
                      </w:r>
                      <w:r w:rsidRPr="00953831">
                        <w:rPr>
                          <w:rFonts w:ascii="黑体" w:eastAsia="黑体"/>
                        </w:rPr>
                        <w:t>5篇范例） 全文共1页，当前为第1页。</w:t>
                      </w:r>
                    </w:p>
                  </w:txbxContent>
                </v:textbox>
              </v:shape>
            </w:pict>
          </mc:Fallback>
        </mc:AlternateContent>
      </w:r>
      <w:r w:rsidR="005216F0">
        <w:t>玄妙观重修三门记原文及译文（5篇范例）</w:t>
      </w:r>
    </w:p>
    <w:p w:rsidR="005216F0" w:rsidRPr="005216F0" w:rsidP="005216F0" w14:paraId="1ADF03D0" w14:textId="77777777">
      <w:pPr>
        <w:pStyle w:val="Heading2"/>
        <w:divId w:val="2030594839"/>
        <w:spacing w:after="0" w:afterAutospacing="0"/>
      </w:pPr>
      <w:bookmarkStart w:id="0" w:name="1"/>
      <w:r w:rsidRPr="005216F0">
        <w:t>第一篇：玄妙观重修三门记 原文及译文</w:t>
      </w:r>
      <w:bookmarkEnd w:id="0"/>
    </w:p>
    <w:p w:rsidR="005216F0" w:rsidRPr="005216F0" w:rsidP="005216F0" w14:paraId="78A1F450" w14:textId="77777777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5216F0">
        <w:rPr>
          <w:rFonts w:ascii="微软雅黑" w:eastAsia="微软雅黑" w:hAnsi="微软雅黑"/>
          <w:sz w:val="27"/>
        </w:rPr>
        <w:t>玄妙观重修三门记（试译）</w:t>
      </w:r>
    </w:p>
    <w:p w:rsidR="005216F0" w:rsidRPr="005216F0" w:rsidP="005216F0" w14:paraId="78269247" w14:textId="77777777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5216F0">
        <w:rPr>
          <w:rFonts w:ascii="微软雅黑" w:eastAsia="微软雅黑" w:hAnsi="微软雅黑"/>
          <w:sz w:val="27"/>
        </w:rPr>
        <w:t>原文：天地开辟，运乎鸿枢，而乾坤为之户。日月出入，经乎黄道，而卯酉为之门。是故建设琳宫，摩宪玄象，外则周垣之联属，灵星之横陈；内则重闼之划开，阊阖之仿佛。非崇严无以备制度，非巨丽无以竦视瞻。</w:t>
      </w:r>
    </w:p>
    <w:p w:rsidR="005216F0" w:rsidRPr="005216F0" w:rsidP="005216F0" w14:paraId="7AC69950" w14:textId="77777777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5216F0">
        <w:rPr>
          <w:rFonts w:ascii="微软雅黑" w:eastAsia="微软雅黑" w:hAnsi="微软雅黑"/>
          <w:sz w:val="27"/>
        </w:rPr>
        <w:t>译：天地开辟后，在鸿枢（连接天地的大转轴）上运行，乾坤是它们的门户。太阳和月亮出入，经过黄道（太阳运行的轨道），卯酉是它们出入的门户。所以建设琳宫（道观的美称），都要模仿天象，外边围墙连接，象天上星星横列；里边重门开合，象开门的样子。不高大庄严就不能使规格制度完备，不巨大壮丽就不能观瞻惊动。</w:t>
      </w:r>
    </w:p>
    <w:p w:rsidR="005216F0" w:rsidRPr="005216F0" w:rsidP="005216F0" w14:paraId="2FF48514" w14:textId="77777777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5216F0">
        <w:rPr>
          <w:rFonts w:ascii="微软雅黑" w:eastAsia="微软雅黑" w:hAnsi="微软雅黑"/>
          <w:sz w:val="27"/>
        </w:rPr>
        <w:t>原文：惟是勾吴之邦、玄妙之观，赐额改矣，广殿新矣，而三门甚陋。寓目所观，譬之于人，神观不足，一身之内，强弱弗侔，非欠欤？观之徒严。焕文深念前功，是啚是究。</w:t>
      </w:r>
    </w:p>
    <w:p w:rsidR="005216F0" w:rsidRPr="005216F0" w:rsidP="005216F0" w14:paraId="52A22336" w14:textId="77777777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5216F0">
        <w:rPr>
          <w:rFonts w:ascii="微软雅黑" w:eastAsia="微软雅黑" w:hAnsi="微软雅黑"/>
          <w:sz w:val="27"/>
        </w:rPr>
        <w:t>译：这吴国旧地、玄妙道观，皇帝赐的新名已经代替了旧的扁额，大殿已经修整一新，而三个门还很简陋。映入眼帘所看到的，拿人比方说，就是精神不够，一个人身上，强弱不相称，这不是缺憾吗？看起来仅仅是庄严。焕文（？）追思前边的功绩，因此而好好谋划谋划研究研究。</w:t>
      </w:r>
    </w:p>
    <w:p w:rsidR="005216F0" w:rsidRPr="005216F0" w:rsidP="005216F0" w14:paraId="312DAB61" w14:textId="77777777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5216F0">
        <w:rPr>
          <w:rFonts w:ascii="微软雅黑" w:eastAsia="微软雅黑" w:hAnsi="微软雅黑"/>
          <w:sz w:val="27"/>
        </w:rPr>
        <w:t>原文：时则有夫人胡氏，妙能捐其簪珥，给其资用，爰壬辰之纪岁亟，先甲以庀徒，（）更其旧。译：这时有个姓胡的夫人，高明能够捐献她的首饰和花费用度，在壬辰年年终，首先（先甲，来自《周易》“蛊”卦卦辞：“先甲三日，后甲三日。”对这句话，历来解释不一，大约是指某种行为前后的时间或行为）召集工匠，接着修整变更旧门。</w:t>
      </w:r>
    </w:p>
    <w:p w:rsidR="005216F0" w:rsidRPr="005216F0" w:rsidP="005216F0" w14:paraId="40147D22" w14:textId="1B8B67A6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headerReference w:type="default" r:id="rId4"/>
          <w:pgSz w:w="11906" w:h="16838"/>
          <w:pgMar w:top="1440" w:right="1800" w:bottom="1440" w:left="1800" w:header="851" w:footer="992" w:gutter="0"/>
          <w:cols w:space="425"/>
          <w:docGrid w:linePitch="312"/>
        </w:sectPr>
      </w:pPr>
      <w:r w:rsidRPr="005216F0">
        <w:rPr>
          <w:rFonts w:ascii="微软雅黑" w:eastAsia="微软雅黑" w:hAnsi="微软雅黑"/>
          <w:sz w:val="27"/>
        </w:rPr>
        <w:t>原文：翚飞丹栱檐牙，高矗于层霄；兽啮铜鐶辅首，辉煌于朝日。大庭中敞，峻殿周罗，可以尌羽节，可以容鸾驭；可以陟三成之坛，可以通九关之奏；可以鸣千石之虡、受百灵之朝。气象伟然，始与殿</w:t>
      </w:r>
    </w:p>
    <w:p w:rsidR="005216F0" w:rsidRPr="005216F0" w:rsidP="005216F0" w14:textId="1B8B67A6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="00953831">
        <w:rPr>
          <w:rFonts w:ascii="微软雅黑" w:eastAsia="微软雅黑" w:hAnsi="微软雅黑"/>
          <w:noProof/>
          <w:sz w:val="27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9702800</wp:posOffset>
                </wp:positionV>
                <wp:extent cx="6350000" cy="63500"/>
                <wp:effectExtent l="0" t="0" r="0" b="0"/>
                <wp:wrapNone/>
                <wp:docPr id="642226113" name="PageShape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53831" w:rsidRPr="00953831" w14:textId="52941149">
                            <w:pPr>
                              <w:rPr>
                                <w:rFonts w:ascii="黑体" w:eastAsia="黑体"/>
                              </w:rPr>
                            </w:pPr>
                            <w:r w:rsidRPr="00953831">
                              <w:rPr>
                                <w:rFonts w:ascii="黑体" w:eastAsia="黑体" w:hint="eastAsia"/>
                              </w:rPr>
                              <w:t>玄妙观重修三门记原文及译文（</w:t>
                            </w:r>
                            <w:r w:rsidRPr="00953831">
                              <w:rPr>
                                <w:rFonts w:ascii="黑体" w:eastAsia="黑体"/>
                              </w:rPr>
                              <w:t>5篇范例） 全文共2页，当前为第2页。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2" o:spid="_x0000_s1026" type="#_x0000_t202" style="width:500pt;height:5pt;margin-top:764pt;margin-left:-90pt;mso-wrap-distance-bottom:0;mso-wrap-distance-left:9pt;mso-wrap-distance-right:9pt;mso-wrap-distance-top:0;position:absolute;visibility:hidden;v-text-anchor:top;z-index:251660288" filled="f" fillcolor="this" stroked="t" strokecolor="black" strokeweight="0.5pt">
                <v:textbox>
                  <w:txbxContent>
                    <w:p w:rsidR="00953831" w:rsidRPr="00953831" w14:paraId="72CC16E3" w14:textId="52941149">
                      <w:pPr>
                        <w:rPr>
                          <w:rFonts w:ascii="黑体" w:eastAsia="黑体"/>
                        </w:rPr>
                      </w:pPr>
                      <w:r w:rsidRPr="00953831">
                        <w:rPr>
                          <w:rFonts w:ascii="黑体" w:eastAsia="黑体" w:hint="eastAsia"/>
                        </w:rPr>
                        <w:t>玄妙观重修三门记原文及译文（</w:t>
                      </w:r>
                      <w:r w:rsidRPr="00953831">
                        <w:rPr>
                          <w:rFonts w:ascii="黑体" w:eastAsia="黑体"/>
                        </w:rPr>
                        <w:t>5篇范例） 全文共2页，当前为第2页。</w:t>
                      </w:r>
                    </w:p>
                  </w:txbxContent>
                </v:textbox>
              </v:shape>
            </w:pict>
          </mc:Fallback>
        </mc:AlternateContent>
      </w:r>
      <w:r w:rsidRPr="005216F0">
        <w:rPr>
          <w:rFonts w:ascii="微软雅黑" w:eastAsia="微软雅黑" w:hAnsi="微软雅黑"/>
          <w:sz w:val="27"/>
        </w:rPr>
        <w:t>称矣。</w:t>
      </w:r>
    </w:p>
    <w:p w:rsidR="005216F0" w:rsidRPr="005216F0" w:rsidP="005216F0" w14:paraId="6D115378" w14:textId="77777777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5216F0">
        <w:rPr>
          <w:rFonts w:ascii="微软雅黑" w:eastAsia="微软雅黑" w:hAnsi="微软雅黑"/>
          <w:sz w:val="27"/>
        </w:rPr>
        <w:t>译：锦鸡在丹栱(立柱和横梁之间成弓形的承重结构)檐牙（檐际翘出如牙的部分）上振翅欲飞，高高矗立于云霄之上；猛兽咬着铜环辅首（安装在大门上衔门环的一种底座），在早晨的阳光下辉煌耀目。大大的庭院非常宽敞，高高的殿堂在四周罗列，可以树立羽节（用羽旄装饰的节杖，多指神仙仪卫），可以容纳鸾驭（凤凰驾驶的马车，神仙的坐驾）。</w:t>
      </w:r>
    </w:p>
    <w:p w:rsidR="005216F0" w:rsidRPr="005216F0" w:rsidP="005216F0" w14:paraId="4CBC25CB" w14:textId="77777777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5216F0">
        <w:rPr>
          <w:rFonts w:ascii="微软雅黑" w:eastAsia="微软雅黑" w:hAnsi="微软雅黑"/>
          <w:sz w:val="27"/>
        </w:rPr>
        <w:t>原文：于是吴兴赵孟頫复（象？）记于陵阳牟巘。土木云乎哉？言语云乎哉？惟帝降衷，惟皇建极，（自？）人心固有与？天下为公，初无侧颇、无充塞。然或者舍近而求诸远，既昧厥元，欲入而闭之门，复迷所向，孰与抽关启钥？何异挞埴索途（盲人以杖点地探路）？是未知玄之又玄，户之不户也。夫始乎冲漠者，造化之枢纽；极乎高明者，中庸之阃奥。盖所谓会归之极，所谓众妙之门。庸作铬诗，具刊乐石，其词曰：天之牖民，道若大路，未有出入不由于户。而彼昧者，他岐是骛，如 面墙壁，惟弗瞩，故脱扃剖鐍，孰（？）真悟？乃崇（）馆，乃延飙驭，（）闳洞启，端倪呈露。四达民迷，有（）临顾。咨尔羽（），壹尔志虑。阴阖阳辟，恪守常度。</w:t>
      </w:r>
    </w:p>
    <w:p w:rsidR="005216F0" w:rsidRPr="005216F0" w:rsidP="005216F0" w14:paraId="6902B8AE" w14:textId="751844AC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headerReference w:type="default" r:id="rId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linePitch="312"/>
        </w:sectPr>
      </w:pPr>
      <w:r w:rsidRPr="005216F0">
        <w:rPr>
          <w:rFonts w:ascii="微软雅黑" w:eastAsia="微软雅黑" w:hAnsi="微软雅黑"/>
          <w:sz w:val="27"/>
        </w:rPr>
        <w:t>译：土木能说出什么？言语能说出什么？只有天帝才给人民降福，只有天皇才给人民树立准则，这些是人心本来就有的吗？天下是天下人的天下，本初就没有偏颇，没有闭塞不明。然而有人舍近求远，元灵已经暗昧不明，想入道却关上了门，又迷失了方向，谁给他打开开关？这和盲人以杖点地探路有什么不同？这是不知道玄妙还要更玄妙，门户不一定是门户。从虚无安静开始，是造化的关键；达到高明之极，是中庸的奥妙。这就是所谓的万物的总趋向，所谓的所有玄妙的门户。因此写下这“铬诗”（？），都刻在石碑上。诗的词句是：上天给人民开启门户，道就和大路一样，没有出入不从门的。而那些暗昧不明的人，却非走别的歧路，这就跟对着墙壁一样，因为没有看清楚，所以掉了门栓坏了钥匙，怎么能够真正解悟？于是把楼馆建得高高的，延请神驾到来，把大门都打开，一切细节都呈现出来。四通八达的道路让人们迷失，有神灵在上俯视照看。向神灵好好学习请教吧，专一</w:t>
      </w:r>
    </w:p>
    <w:p w:rsidR="005216F0" w:rsidRPr="005216F0" w:rsidP="005216F0" w14:textId="751844AC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="00953831">
        <w:rPr>
          <w:rFonts w:ascii="微软雅黑" w:eastAsia="微软雅黑" w:hAnsi="微软雅黑"/>
          <w:noProof/>
          <w:sz w:val="27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389832465" name="PageShape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53831" w:rsidRPr="00953831" w14:textId="42EFC2A5">
                            <w:pPr>
                              <w:rPr>
                                <w:rFonts w:ascii="黑体" w:eastAsia="黑体"/>
                              </w:rPr>
                            </w:pPr>
                            <w:r w:rsidRPr="00953831">
                              <w:rPr>
                                <w:rFonts w:ascii="黑体" w:eastAsia="黑体" w:hint="eastAsia"/>
                              </w:rPr>
                              <w:t>玄妙观重修三门记原文及译文（</w:t>
                            </w:r>
                            <w:r w:rsidRPr="00953831">
                              <w:rPr>
                                <w:rFonts w:ascii="黑体" w:eastAsia="黑体"/>
                              </w:rPr>
                              <w:t>5篇范例） 全文共3页，当前为第3页。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3" o:spid="_x0000_s1027" type="#_x0000_t202" style="width:500pt;height:5pt;margin-top:836pt;margin-left:0;mso-wrap-distance-bottom:0;mso-wrap-distance-left:9pt;mso-wrap-distance-right:9pt;mso-wrap-distance-top:0;position:absolute;visibility:hidden;v-text-anchor:top;z-index:251662336" filled="f" fillcolor="this" stroked="t" strokecolor="black" strokeweight="0.5pt">
                <v:textbox>
                  <w:txbxContent>
                    <w:p w:rsidR="00953831" w:rsidRPr="00953831" w14:paraId="5B32D227" w14:textId="42EFC2A5">
                      <w:pPr>
                        <w:rPr>
                          <w:rFonts w:ascii="黑体" w:eastAsia="黑体"/>
                        </w:rPr>
                      </w:pPr>
                      <w:r w:rsidRPr="00953831">
                        <w:rPr>
                          <w:rFonts w:ascii="黑体" w:eastAsia="黑体" w:hint="eastAsia"/>
                        </w:rPr>
                        <w:t>玄妙观重修三门记原文及译文（</w:t>
                      </w:r>
                      <w:r w:rsidRPr="00953831">
                        <w:rPr>
                          <w:rFonts w:ascii="黑体" w:eastAsia="黑体"/>
                        </w:rPr>
                        <w:t>5篇范例） 全文共3页，当前为第3页。</w:t>
                      </w:r>
                    </w:p>
                  </w:txbxContent>
                </v:textbox>
              </v:shape>
            </w:pict>
          </mc:Fallback>
        </mc:AlternateContent>
      </w:r>
      <w:r w:rsidRPr="005216F0">
        <w:rPr>
          <w:rFonts w:ascii="微软雅黑" w:eastAsia="微软雅黑" w:hAnsi="微软雅黑"/>
          <w:sz w:val="27"/>
        </w:rPr>
        <w:t>你的心志，在阴阳开合中，严格遵守永恒的法度。</w:t>
      </w:r>
    </w:p>
    <w:p w:rsidR="005216F0" w:rsidRPr="005216F0" w:rsidP="005216F0" w14:paraId="2873E68B" w14:textId="77777777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5216F0">
        <w:rPr>
          <w:rFonts w:ascii="微软雅黑" w:eastAsia="微软雅黑" w:hAnsi="微软雅黑"/>
          <w:sz w:val="27"/>
        </w:rPr>
        <w:t>集贤直学士、朝列大夫、行江浙等处儒学提举吴兴赵孟頫书并篆额。</w:t>
      </w:r>
    </w:p>
    <w:p w:rsidR="005216F0" w:rsidRPr="005216F0" w:rsidP="005216F0" w14:paraId="01603B97" w14:textId="77777777">
      <w:pPr>
        <w:pStyle w:val="Heading2"/>
        <w:divId w:val="2030594839"/>
        <w:spacing w:after="0" w:afterAutospacing="0"/>
      </w:pPr>
      <w:bookmarkStart w:id="1" w:name="2"/>
      <w:r w:rsidRPr="005216F0">
        <w:t>第二篇：《学记》原文及译文</w:t>
      </w:r>
      <w:bookmarkEnd w:id="1"/>
    </w:p>
    <w:p w:rsidR="005216F0" w:rsidRPr="005216F0" w:rsidP="005216F0" w14:paraId="63DAC235" w14:textId="77777777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5216F0">
        <w:rPr>
          <w:rFonts w:ascii="微软雅黑" w:eastAsia="微软雅黑" w:hAnsi="微软雅黑"/>
          <w:sz w:val="27"/>
        </w:rPr>
        <w:t>《学记》原文及译文</w:t>
      </w:r>
    </w:p>
    <w:p w:rsidR="005216F0" w:rsidRPr="005216F0" w:rsidP="005216F0" w14:paraId="5A59477E" w14:textId="77777777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5216F0">
        <w:rPr>
          <w:rFonts w:ascii="微软雅黑" w:eastAsia="微软雅黑" w:hAnsi="微软雅黑"/>
          <w:sz w:val="27"/>
        </w:rPr>
        <w:t>《学记》大约写于公元前的战国末年，是“礼记”一书49篇中的一篇。作者不详，郭沫若认为像是孟子的学生乐正克所作。它是中国教育史上最早，也是最完善的极为重要的文献，值得认真研究。它从教育目的、教育原则、教学原则、教学方法、教师和学生、学校制度、学校管理等各方面都作了系统论述。虽然时隔2000多年，但是对今天的教育仍富有现实意义。</w:t>
      </w:r>
    </w:p>
    <w:p w:rsidR="005216F0" w:rsidRPr="005216F0" w:rsidP="005216F0" w14:paraId="2E1882B8" w14:textId="77777777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5216F0">
        <w:rPr>
          <w:rFonts w:ascii="微软雅黑" w:eastAsia="微软雅黑" w:hAnsi="微软雅黑"/>
          <w:sz w:val="27"/>
        </w:rPr>
        <w:t>以下是全文及译文：</w:t>
      </w:r>
    </w:p>
    <w:p w:rsidR="005216F0" w:rsidRPr="005216F0" w:rsidP="005216F0" w14:paraId="7D5B8D6E" w14:textId="77777777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5216F0">
        <w:rPr>
          <w:rFonts w:ascii="微软雅黑" w:eastAsia="微软雅黑" w:hAnsi="微软雅黑"/>
          <w:sz w:val="27"/>
        </w:rPr>
        <w:t>*发虑宪，求善良，足以謏(sǒu，小，有声音)文，不足以动众。就贤体远，足以动众，未足以化民。君子如欲化民成俗，其必由学乎。</w:t>
      </w:r>
    </w:p>
    <w:p w:rsidR="005216F0" w:rsidRPr="005216F0" w:rsidP="005216F0" w14:paraId="3C4DA4D4" w14:textId="77777777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5216F0">
        <w:rPr>
          <w:rFonts w:ascii="微软雅黑" w:eastAsia="微软雅黑" w:hAnsi="微软雅黑"/>
          <w:sz w:val="27"/>
        </w:rPr>
        <w:t>发虑宪，求善良 就贤体远，足以动众 化民成俗，其必由学乎 教化的三种层次境界</w:t>
      </w:r>
    </w:p>
    <w:p w:rsidR="005216F0" w:rsidRPr="005216F0" w:rsidP="005216F0" w14:paraId="09B93A34" w14:textId="77777777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5216F0">
        <w:rPr>
          <w:rFonts w:ascii="微软雅黑" w:eastAsia="微软雅黑" w:hAnsi="微软雅黑"/>
          <w:sz w:val="27"/>
        </w:rPr>
        <w:t>化民成俗教育与个人建构。教育是一项培养人的活动,教育社会功能的实现必须由所培养的人来完成。</w:t>
      </w:r>
    </w:p>
    <w:p w:rsidR="005216F0" w:rsidRPr="005216F0" w:rsidP="005216F0" w14:paraId="21FA808F" w14:textId="77777777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5216F0">
        <w:rPr>
          <w:rFonts w:ascii="微软雅黑" w:eastAsia="微软雅黑" w:hAnsi="微软雅黑"/>
          <w:sz w:val="27"/>
        </w:rPr>
        <w:t>——深谋远虑(思虑规律)，物色好人(求贤纳士)，可以赢得一些好名声，但还不能够鼓动民众。如果礼贤下士，亲近与己疏远的人，就可以鼓动民众，但还不能够感化、教化民众。如果要想感化和教化民众，养成良好的风俗习惯，就必须通过学校教育才行。</w:t>
      </w:r>
    </w:p>
    <w:p w:rsidR="005216F0" w:rsidRPr="005216F0" w:rsidP="005216F0" w14:paraId="2222B31C" w14:textId="77777777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5216F0">
        <w:rPr>
          <w:rFonts w:ascii="微软雅黑" w:eastAsia="微软雅黑" w:hAnsi="微软雅黑"/>
          <w:sz w:val="27"/>
        </w:rPr>
        <w:t>*玉不琢，不成器；人不学，不知道。是故古之王者，建国君民，教学为先。“兑(yuè说)命”曰：“念终始典于学”，其此之谓乎!化民成俗，建国君民 ——治国政策。教育的社会性，教育是立国之本这一带有本质性的理论问题。</w:t>
      </w:r>
    </w:p>
    <w:p w:rsidR="005216F0" w:rsidRPr="005216F0" w:rsidP="005216F0" w14:paraId="283E05C0" w14:textId="6E6BEAE6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5216F0">
        <w:rPr>
          <w:rFonts w:ascii="微软雅黑" w:eastAsia="微软雅黑" w:hAnsi="微软雅黑"/>
          <w:sz w:val="27"/>
        </w:rPr>
        <w:t>——玉质虽美，不经雕琢，不能成精美玉器；人有天赋但不学习，就不能明白至道。“道”即“贵贱”“长幼”“尊卑”“君臣”“父子”“夫妇”“昆弟”“朋友”(《中庸》)；“修身”“齐家”“治国”“平天下”(《大学》)。所以古代君王建设国家，统治人民，都把</w:t>
      </w:r>
      <w:r w:rsidRPr="005216F0">
        <w:rPr>
          <w:rFonts w:ascii="微软雅黑" w:eastAsia="微软雅黑" w:hAnsi="微软雅黑"/>
          <w:sz w:val="27"/>
        </w:rPr>
        <w:br/>
      </w:r>
      <w:r w:rsidRPr="005216F0">
        <w:rPr>
          <w:rFonts w:ascii="微软雅黑" w:eastAsia="微软雅黑" w:hAnsi="微软雅黑"/>
          <w:sz w:val="27"/>
        </w:rPr>
        <w:br/>
      </w:r>
    </w:p>
    <w:p>
      <w:pPr>
        <w:divId w:val="2030594839"/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https://d.book118.com/118011137032006036</w:t>
        </w:r>
      </w:hyperlink>
    </w:p>
    <w:p w:rsidR="005216F0" w:rsidRPr="005216F0" w:rsidP="005216F0">
      <w:pPr>
        <w:pStyle w:val="NormalWeb"/>
        <w:divId w:val="203059483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</w:p>
    <w:sectPr>
      <w:headerReference w:type="default" r:id="rId7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831" w:rsidP="00953831" w14:paraId="230574F8" w14:textId="24F676DC">
    <w:pPr>
      <w:pStyle w:val="Header"/>
    </w:pPr>
    <w:r>
      <w:rPr>
        <w:rFonts w:hint="eastAsia"/>
      </w:rPr>
      <w:t>玄妙观重修三门记原文及译文（</w:t>
    </w:r>
    <w:r>
      <w:t>5篇范例）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831" w:rsidP="00953831" w14:textId="24F676DC">
    <w:pPr>
      <w:pStyle w:val="Header"/>
    </w:pPr>
    <w:r>
      <w:rPr>
        <w:rFonts w:hint="eastAsia"/>
      </w:rPr>
      <w:t>玄妙观重修三门记原文及译文（</w:t>
    </w:r>
    <w:r>
      <w:t>5篇范例）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831" w:rsidP="00953831" w14:textId="24F676DC">
    <w:pPr>
      <w:pStyle w:val="Header"/>
    </w:pPr>
    <w:r>
      <w:rPr>
        <w:rFonts w:hint="eastAsia"/>
      </w:rPr>
      <w:t>玄妙观重修三门记原文及译文（</w:t>
    </w:r>
    <w:r>
      <w:t>5篇范例）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6F0"/>
    <w:rsid w:val="005216F0"/>
    <w:rsid w:val="009538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EC8390C"/>
  <w15:chartTrackingRefBased/>
  <w15:docId w15:val="{A5E45143-017B-4DB4-8F7D-AAEA60F03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color w:val="161616"/>
      <w:kern w:val="2"/>
      <w:sz w:val="24"/>
      <w:szCs w:val="24"/>
    </w:rPr>
  </w:style>
  <w:style w:type="paragraph" w:styleId="Heading1">
    <w:name w:val="heading 1"/>
    <w:basedOn w:val="Normal"/>
    <w:link w:val="1"/>
    <w:uiPriority w:val="9"/>
    <w:qFormat/>
    <w:pPr>
      <w:spacing w:after="100" w:afterAutospacing="1"/>
      <w:jc w:val="left"/>
      <w:outlineLvl w:val="0"/>
    </w:pPr>
    <w:rPr>
      <w:rFonts w:ascii="微软雅黑" w:eastAsia="微软雅黑" w:hAnsi="微软雅黑"/>
      <w:b/>
      <w:bCs/>
      <w:sz w:val="30"/>
      <w:szCs w:val="48"/>
    </w:rPr>
  </w:style>
  <w:style w:type="paragraph" w:styleId="Heading2">
    <w:name w:val="heading 2"/>
    <w:basedOn w:val="Normal"/>
    <w:link w:val="2"/>
    <w:uiPriority w:val="9"/>
    <w:qFormat/>
    <w:pPr>
      <w:spacing w:after="100" w:afterAutospacing="1"/>
      <w:jc w:val="left"/>
      <w:outlineLvl w:val="1"/>
    </w:pPr>
    <w:rPr>
      <w:rFonts w:ascii="微软雅黑" w:eastAsia="微软雅黑" w:hAnsi="微软雅黑"/>
      <w:b/>
      <w:bCs/>
      <w:sz w:val="27"/>
      <w:szCs w:val="36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5216F0"/>
    <w:pPr>
      <w:spacing w:after="260" w:line="416" w:lineRule="auto"/>
      <w:jc w:val="left"/>
      <w:outlineLvl w:val="2"/>
    </w:pPr>
    <w:rPr>
      <w:rFonts w:ascii="微软雅黑" w:eastAsia="微软雅黑" w:hAnsi="微软雅黑"/>
      <w:b/>
      <w:bCs/>
      <w:sz w:val="27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">
    <w:name w:val="msonormal"/>
    <w:basedOn w:val="Normal"/>
    <w:pPr>
      <w:spacing w:before="100" w:beforeAutospacing="1" w:after="100" w:afterAutospacing="1"/>
    </w:pPr>
  </w:style>
  <w:style w:type="character" w:customStyle="1" w:styleId="1">
    <w:name w:val="标题 1 字符"/>
    <w:basedOn w:val="DefaultParagraphFont"/>
    <w:link w:val="Heading1"/>
    <w:uiPriority w:val="9"/>
    <w:rPr>
      <w:rFonts w:ascii="微软雅黑" w:eastAsia="微软雅黑" w:hAnsi="微软雅黑" w:cs="宋体"/>
      <w:b/>
      <w:bCs/>
      <w:color w:val="161616"/>
      <w:kern w:val="2"/>
      <w:sz w:val="30"/>
      <w:szCs w:val="48"/>
    </w:rPr>
  </w:style>
  <w:style w:type="character" w:customStyle="1" w:styleId="2">
    <w:name w:val="标题 2 字符"/>
    <w:basedOn w:val="DefaultParagraphFont"/>
    <w:link w:val="Heading2"/>
    <w:uiPriority w:val="9"/>
    <w:rPr>
      <w:rFonts w:ascii="微软雅黑" w:eastAsia="微软雅黑" w:hAnsi="微软雅黑" w:cs="宋体"/>
      <w:b/>
      <w:bCs/>
      <w:color w:val="161616"/>
      <w:kern w:val="2"/>
      <w:sz w:val="27"/>
      <w:szCs w:val="36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Header">
    <w:name w:val="header"/>
    <w:basedOn w:val="Normal"/>
    <w:link w:val="a"/>
    <w:uiPriority w:val="99"/>
    <w:unhideWhenUsed/>
    <w:rsid w:val="005216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216F0"/>
    <w:rPr>
      <w:rFonts w:ascii="宋体" w:eastAsia="宋体" w:hAnsi="宋体" w:cs="宋体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216F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216F0"/>
    <w:rPr>
      <w:rFonts w:ascii="宋体" w:eastAsia="宋体" w:hAnsi="宋体" w:cs="宋体"/>
      <w:sz w:val="18"/>
      <w:szCs w:val="18"/>
    </w:rPr>
  </w:style>
  <w:style w:type="character" w:customStyle="1" w:styleId="3">
    <w:name w:val="标题 3 字符"/>
    <w:basedOn w:val="DefaultParagraphFont"/>
    <w:link w:val="Heading3"/>
    <w:uiPriority w:val="9"/>
    <w:semiHidden/>
    <w:rsid w:val="005216F0"/>
    <w:rPr>
      <w:rFonts w:ascii="微软雅黑" w:eastAsia="微软雅黑" w:hAnsi="微软雅黑" w:cs="宋体"/>
      <w:b/>
      <w:bCs/>
      <w:color w:val="161616"/>
      <w:kern w:val="2"/>
      <w:sz w:val="27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059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yperlink" Target="https://d.book118.com/118011137032006036" TargetMode="External" /><Relationship Id="rId7" Type="http://schemas.openxmlformats.org/officeDocument/2006/relationships/header" Target="header3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7821</Words>
  <Characters>8057</Characters>
  <Application>Microsoft Office Word</Application>
  <DocSecurity>0</DocSecurity>
  <Lines>309</Lines>
  <Paragraphs>140</Paragraphs>
  <ScaleCrop>false</ScaleCrop>
  <Company/>
  <LinksUpToDate>false</LinksUpToDate>
  <CharactersWithSpaces>15738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2024-02-16T07:46:00Z</dcterms:created>
  <dcterms:modified xsi:type="dcterms:W3CDTF">2024-02-16T07:46:00Z</dcterms:modified>
</cp:coreProperties>
</file>