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SimHei" w:eastAsia="SimHei" w:hAnsi="SimHei" w:cs="SimHei"/>
          <w:sz w:val="31"/>
          <w:szCs w:val="31"/>
        </w:rPr>
        <w:id w:val="1740510513"/>
        <w:docPartObj>
          <w:docPartGallery w:val="Table of Contents"/>
          <w:docPartUnique/>
        </w:docPartObj>
      </w:sdtPr>
      <w:sdtEndPr>
        <w:rPr>
          <w:rFonts w:ascii="SimSun" w:eastAsia="SimSun" w:hAnsi="SimSun" w:cs="SimSun"/>
          <w:sz w:val="20"/>
          <w:szCs w:val="20"/>
        </w:rPr>
      </w:sdtEndPr>
      <w:sdtContent>
        <w:p>
          <w:pPr>
            <w:spacing w:before="162" w:line="227" w:lineRule="auto"/>
            <w:ind w:left="3738"/>
            <w:rPr>
              <w:rFonts w:ascii="SimHei" w:eastAsia="SimHei" w:hAnsi="SimHei" w:cs="SimHei"/>
              <w:sz w:val="31"/>
              <w:szCs w:val="31"/>
            </w:rPr>
          </w:pPr>
          <w:bookmarkStart w:id="0" w:name="bookmark1"/>
          <w:bookmarkEnd w:id="0"/>
          <w:r>
            <w:rPr>
              <w:rFonts w:ascii="SimHei" w:eastAsia="SimHei" w:hAnsi="SimHei" w:cs="SimHei"/>
              <w:spacing w:val="-22"/>
              <w:sz w:val="31"/>
              <w:szCs w:val="31"/>
            </w:rPr>
            <w:t>目</w:t>
          </w:r>
          <w:r>
            <w:rPr>
              <w:rFonts w:ascii="SimHei" w:eastAsia="SimHei" w:hAnsi="SimHei" w:cs="SimHei"/>
              <w:spacing w:val="13"/>
              <w:sz w:val="31"/>
              <w:szCs w:val="31"/>
            </w:rPr>
            <w:t xml:space="preserve">  </w:t>
          </w:r>
          <w:r>
            <w:rPr>
              <w:rFonts w:ascii="SimHei" w:eastAsia="SimHei" w:hAnsi="SimHei" w:cs="SimHei"/>
              <w:spacing w:val="-22"/>
              <w:sz w:val="31"/>
              <w:szCs w:val="31"/>
            </w:rPr>
            <w:t>录</w:t>
          </w:r>
        </w:p>
        <w:p>
          <w:pPr>
            <w:spacing w:line="296" w:lineRule="auto"/>
            <w:rPr>
              <w:rFonts w:ascii="Arial"/>
              <w:sz w:val="21"/>
            </w:rPr>
          </w:pPr>
        </w:p>
        <w:p>
          <w:pPr>
            <w:spacing w:line="297" w:lineRule="auto"/>
            <w:rPr>
              <w:rFonts w:ascii="Arial"/>
              <w:sz w:val="21"/>
            </w:rPr>
          </w:pPr>
        </w:p>
        <w:p>
          <w:pPr>
            <w:pStyle w:val="BodyText"/>
            <w:tabs>
              <w:tab w:val="right" w:leader="dot" w:pos="8319"/>
            </w:tabs>
            <w:spacing w:before="65" w:line="228" w:lineRule="auto"/>
            <w:ind w:left="25"/>
          </w:pPr>
          <w:hyperlink w:anchor="bookmark1" w:history="1">
            <w:r>
              <w:rPr>
                <w:spacing w:val="7"/>
              </w:rPr>
              <w:t>一、总说明</w:t>
            </w:r>
            <w:r>
              <w:rPr>
                <w:spacing w:val="-33"/>
              </w:rPr>
              <w:t xml:space="preserve"> </w:t>
            </w:r>
            <w:r>
              <w:tab/>
            </w:r>
            <w:r>
              <w:rPr>
                <w:spacing w:val="-12"/>
              </w:rPr>
              <w:t xml:space="preserve"> </w:t>
            </w:r>
            <w:r>
              <w:rPr>
                <w:spacing w:val="-20"/>
              </w:rPr>
              <w:t>1</w:t>
            </w:r>
          </w:hyperlink>
        </w:p>
        <w:p>
          <w:pPr>
            <w:pStyle w:val="BodyText"/>
            <w:tabs>
              <w:tab w:val="right" w:leader="dot" w:pos="8319"/>
            </w:tabs>
            <w:spacing w:before="153" w:line="228" w:lineRule="auto"/>
            <w:ind w:left="25"/>
          </w:pPr>
          <w:bookmarkStart w:id="1" w:name="bookmark2"/>
          <w:bookmarkEnd w:id="1"/>
          <w:hyperlink w:anchor="bookmark2" w:history="1">
            <w:r>
              <w:rPr>
                <w:spacing w:val="7"/>
              </w:rPr>
              <w:t>二、报表目录</w:t>
            </w:r>
            <w:r>
              <w:rPr>
                <w:spacing w:val="-28"/>
              </w:rPr>
              <w:t xml:space="preserve"> </w:t>
            </w:r>
            <w:r>
              <w:tab/>
            </w:r>
            <w:r>
              <w:rPr>
                <w:spacing w:val="-27"/>
              </w:rPr>
              <w:t xml:space="preserve"> </w:t>
            </w:r>
            <w:r>
              <w:t>6</w:t>
            </w:r>
          </w:hyperlink>
        </w:p>
        <w:p>
          <w:pPr>
            <w:pStyle w:val="BodyText"/>
            <w:tabs>
              <w:tab w:val="right" w:leader="dot" w:pos="8319"/>
            </w:tabs>
            <w:spacing w:before="150" w:line="230" w:lineRule="auto"/>
            <w:ind w:left="22"/>
          </w:pPr>
          <w:bookmarkStart w:id="2" w:name="bookmark3"/>
          <w:bookmarkEnd w:id="2"/>
          <w:hyperlink w:anchor="bookmark3" w:history="1">
            <w:r>
              <w:rPr>
                <w:spacing w:val="8"/>
              </w:rPr>
              <w:t>三、调查表式</w:t>
            </w:r>
            <w:r>
              <w:rPr>
                <w:spacing w:val="-31"/>
              </w:rPr>
              <w:t xml:space="preserve"> </w:t>
            </w:r>
            <w:r>
              <w:tab/>
            </w:r>
            <w:r>
              <w:rPr>
                <w:spacing w:val="-23"/>
              </w:rPr>
              <w:t xml:space="preserve"> </w:t>
            </w:r>
            <w:r>
              <w:t>7</w:t>
            </w:r>
          </w:hyperlink>
        </w:p>
        <w:p>
          <w:pPr>
            <w:pStyle w:val="BodyText"/>
            <w:tabs>
              <w:tab w:val="right" w:leader="dot" w:pos="8319"/>
            </w:tabs>
            <w:spacing w:before="152" w:line="228" w:lineRule="auto"/>
            <w:ind w:left="452"/>
          </w:pPr>
          <w:bookmarkStart w:id="3" w:name="bookmark4"/>
          <w:bookmarkEnd w:id="3"/>
          <w:hyperlink w:anchor="bookmark4" w:history="1">
            <w:r>
              <w:rPr>
                <w:spacing w:val="8"/>
              </w:rPr>
              <w:t>（一）生产安全事故调查表</w:t>
            </w:r>
            <w:r>
              <w:rPr>
                <w:spacing w:val="-29"/>
              </w:rPr>
              <w:t xml:space="preserve"> </w:t>
            </w:r>
            <w:r>
              <w:tab/>
            </w:r>
            <w:r>
              <w:rPr>
                <w:spacing w:val="-23"/>
              </w:rPr>
              <w:t xml:space="preserve"> </w:t>
            </w:r>
            <w:r>
              <w:t>7</w:t>
            </w:r>
          </w:hyperlink>
        </w:p>
        <w:p>
          <w:pPr>
            <w:pStyle w:val="BodyText"/>
            <w:tabs>
              <w:tab w:val="right" w:leader="dot" w:pos="8319"/>
            </w:tabs>
            <w:spacing w:before="154" w:line="228" w:lineRule="auto"/>
            <w:ind w:left="452"/>
          </w:pPr>
          <w:bookmarkStart w:id="4" w:name="bookmark5"/>
          <w:bookmarkEnd w:id="4"/>
          <w:hyperlink w:anchor="bookmark5" w:history="1">
            <w:r>
              <w:rPr>
                <w:spacing w:val="9"/>
              </w:rPr>
              <w:t>（二）生产安全事故伤亡（含急性工业中毒）人员调查表</w:t>
            </w:r>
            <w:r>
              <w:rPr>
                <w:spacing w:val="-29"/>
              </w:rPr>
              <w:t xml:space="preserve"> </w:t>
            </w:r>
            <w:r>
              <w:tab/>
            </w:r>
            <w:r>
              <w:rPr>
                <w:spacing w:val="-27"/>
              </w:rPr>
              <w:t xml:space="preserve"> </w:t>
            </w:r>
            <w:r>
              <w:t>8</w:t>
            </w:r>
          </w:hyperlink>
        </w:p>
        <w:p>
          <w:pPr>
            <w:pStyle w:val="BodyText"/>
            <w:tabs>
              <w:tab w:val="right" w:leader="dot" w:pos="8319"/>
            </w:tabs>
            <w:spacing w:before="152" w:line="228" w:lineRule="auto"/>
            <w:ind w:left="452"/>
          </w:pPr>
          <w:bookmarkStart w:id="5" w:name="bookmark6"/>
          <w:bookmarkEnd w:id="5"/>
          <w:hyperlink w:anchor="bookmark6" w:history="1">
            <w:r>
              <w:rPr>
                <w:spacing w:val="8"/>
              </w:rPr>
              <w:t>（三）生产安全事故按行业统计表</w:t>
            </w:r>
            <w:r>
              <w:rPr>
                <w:spacing w:val="-24"/>
              </w:rPr>
              <w:t xml:space="preserve"> </w:t>
            </w:r>
            <w:r>
              <w:tab/>
            </w:r>
            <w:r>
              <w:rPr>
                <w:spacing w:val="-27"/>
              </w:rPr>
              <w:t xml:space="preserve"> </w:t>
            </w:r>
            <w:r>
              <w:t>9</w:t>
            </w:r>
          </w:hyperlink>
        </w:p>
        <w:p>
          <w:pPr>
            <w:pStyle w:val="BodyText"/>
            <w:tabs>
              <w:tab w:val="right" w:leader="dot" w:pos="8315"/>
            </w:tabs>
            <w:spacing w:before="153" w:line="228" w:lineRule="auto"/>
            <w:ind w:left="452"/>
          </w:pPr>
          <w:bookmarkStart w:id="6" w:name="bookmark7"/>
          <w:bookmarkEnd w:id="6"/>
          <w:hyperlink w:anchor="bookmark7" w:history="1">
            <w:r>
              <w:rPr>
                <w:spacing w:val="8"/>
              </w:rPr>
              <w:t>（四）生产安全事故按地区统计表</w:t>
            </w:r>
            <w:r>
              <w:rPr>
                <w:spacing w:val="-24"/>
              </w:rPr>
              <w:t xml:space="preserve"> </w:t>
            </w:r>
            <w:r>
              <w:tab/>
            </w:r>
            <w:r>
              <w:rPr>
                <w:spacing w:val="-13"/>
              </w:rPr>
              <w:t xml:space="preserve"> </w:t>
            </w:r>
            <w:r>
              <w:rPr>
                <w:spacing w:val="-8"/>
              </w:rPr>
              <w:t>10</w:t>
            </w:r>
          </w:hyperlink>
        </w:p>
        <w:p>
          <w:pPr>
            <w:pStyle w:val="BodyText"/>
            <w:tabs>
              <w:tab w:val="right" w:leader="dot" w:pos="8315"/>
            </w:tabs>
            <w:spacing w:before="154" w:line="228" w:lineRule="auto"/>
            <w:ind w:left="41"/>
          </w:pPr>
          <w:bookmarkStart w:id="7" w:name="bookmark8"/>
          <w:bookmarkEnd w:id="7"/>
          <w:hyperlink w:anchor="bookmark8" w:history="1">
            <w:r>
              <w:rPr>
                <w:spacing w:val="6"/>
              </w:rPr>
              <w:t>四、主要指标解释</w:t>
            </w:r>
            <w:r>
              <w:rPr>
                <w:spacing w:val="-31"/>
              </w:rPr>
              <w:t xml:space="preserve"> </w:t>
            </w:r>
            <w:r>
              <w:tab/>
            </w:r>
            <w:r>
              <w:rPr>
                <w:spacing w:val="-14"/>
              </w:rPr>
              <w:t xml:space="preserve"> </w:t>
            </w:r>
            <w:r>
              <w:rPr>
                <w:spacing w:val="-8"/>
              </w:rPr>
              <w:t>11</w:t>
            </w:r>
          </w:hyperlink>
        </w:p>
        <w:p>
          <w:pPr>
            <w:pStyle w:val="BodyText"/>
            <w:tabs>
              <w:tab w:val="right" w:leader="dot" w:pos="8315"/>
            </w:tabs>
            <w:spacing w:before="151" w:line="228" w:lineRule="auto"/>
            <w:ind w:left="25"/>
          </w:pPr>
          <w:bookmarkStart w:id="8" w:name="bookmark9"/>
          <w:bookmarkEnd w:id="8"/>
          <w:hyperlink w:anchor="bookmark9" w:history="1">
            <w:r>
              <w:rPr>
                <w:spacing w:val="6"/>
              </w:rPr>
              <w:t>五、附录</w:t>
            </w:r>
            <w:r>
              <w:rPr>
                <w:spacing w:val="-30"/>
              </w:rPr>
              <w:t xml:space="preserve"> </w:t>
            </w:r>
            <w:r>
              <w:tab/>
            </w:r>
            <w:r>
              <w:rPr>
                <w:spacing w:val="-14"/>
              </w:rPr>
              <w:t xml:space="preserve"> </w:t>
            </w:r>
            <w:r>
              <w:rPr>
                <w:spacing w:val="-8"/>
              </w:rPr>
              <w:t>15</w:t>
            </w:r>
          </w:hyperlink>
        </w:p>
        <w:p>
          <w:pPr>
            <w:pStyle w:val="BodyText"/>
            <w:tabs>
              <w:tab w:val="right" w:leader="dot" w:pos="8315"/>
            </w:tabs>
            <w:spacing w:before="154" w:line="228" w:lineRule="auto"/>
            <w:ind w:left="452"/>
          </w:pPr>
          <w:bookmarkStart w:id="9" w:name="bookmark10"/>
          <w:bookmarkEnd w:id="9"/>
          <w:hyperlink w:anchor="bookmark10" w:history="1">
            <w:r>
              <w:rPr>
                <w:spacing w:val="8"/>
              </w:rPr>
              <w:t>（一）相对统计指标计算</w:t>
            </w:r>
            <w:r>
              <w:rPr>
                <w:spacing w:val="-32"/>
              </w:rPr>
              <w:t xml:space="preserve"> </w:t>
            </w:r>
            <w:r>
              <w:tab/>
            </w:r>
            <w:r>
              <w:rPr>
                <w:spacing w:val="-13"/>
              </w:rPr>
              <w:t xml:space="preserve"> </w:t>
            </w:r>
            <w:r>
              <w:rPr>
                <w:spacing w:val="-8"/>
              </w:rPr>
              <w:t>15</w:t>
            </w:r>
          </w:hyperlink>
        </w:p>
        <w:p>
          <w:pPr>
            <w:pStyle w:val="BodyText"/>
            <w:tabs>
              <w:tab w:val="right" w:leader="dot" w:pos="8315"/>
            </w:tabs>
            <w:spacing w:before="154" w:line="228" w:lineRule="auto"/>
            <w:ind w:left="452"/>
          </w:pPr>
          <w:bookmarkStart w:id="10" w:name="bookmark11"/>
          <w:bookmarkEnd w:id="10"/>
          <w:hyperlink w:anchor="bookmark11" w:history="1">
            <w:r>
              <w:rPr>
                <w:spacing w:val="8"/>
              </w:rPr>
              <w:t>（二）管理分类与国民经济行业分类（</w:t>
            </w:r>
            <w:r>
              <w:t>GB</w:t>
            </w:r>
            <w:r>
              <w:rPr>
                <w:spacing w:val="8"/>
              </w:rPr>
              <w:t>/T 4754-2017</w:t>
            </w:r>
            <w:r>
              <w:rPr>
                <w:spacing w:val="-54"/>
              </w:rPr>
              <w:t>）（</w:t>
            </w:r>
            <w:r>
              <w:rPr>
                <w:spacing w:val="8"/>
              </w:rPr>
              <w:t>2019</w:t>
            </w:r>
            <w:r>
              <w:rPr>
                <w:spacing w:val="-36"/>
              </w:rPr>
              <w:t xml:space="preserve"> </w:t>
            </w:r>
            <w:r>
              <w:rPr>
                <w:spacing w:val="8"/>
              </w:rPr>
              <w:t>年修订）对照表</w:t>
            </w:r>
            <w:r>
              <w:rPr>
                <w:spacing w:val="-33"/>
              </w:rPr>
              <w:t xml:space="preserve"> </w:t>
            </w:r>
            <w:r>
              <w:tab/>
            </w:r>
            <w:r>
              <w:rPr>
                <w:spacing w:val="-65"/>
              </w:rPr>
              <w:t xml:space="preserve"> </w:t>
            </w:r>
            <w:r>
              <w:rPr>
                <w:spacing w:val="-8"/>
              </w:rPr>
              <w:t>16</w:t>
            </w:r>
          </w:hyperlink>
        </w:p>
        <w:p>
          <w:pPr>
            <w:pStyle w:val="BodyText"/>
            <w:tabs>
              <w:tab w:val="right" w:leader="dot" w:pos="8315"/>
            </w:tabs>
            <w:spacing w:before="152" w:line="228" w:lineRule="auto"/>
            <w:ind w:left="452"/>
          </w:pPr>
          <w:bookmarkStart w:id="11" w:name="bookmark12"/>
          <w:bookmarkEnd w:id="11"/>
          <w:hyperlink w:anchor="bookmark12" w:history="1">
            <w:r>
              <w:rPr>
                <w:spacing w:val="8"/>
              </w:rPr>
              <w:t>（三）统计上大中小微型企业划分标准</w:t>
            </w:r>
            <w:r>
              <w:rPr>
                <w:spacing w:val="-20"/>
              </w:rPr>
              <w:t xml:space="preserve"> </w:t>
            </w:r>
            <w:r>
              <w:tab/>
            </w:r>
            <w:r>
              <w:rPr>
                <w:spacing w:val="-13"/>
              </w:rPr>
              <w:t xml:space="preserve"> </w:t>
            </w:r>
            <w:r>
              <w:rPr>
                <w:spacing w:val="-8"/>
              </w:rPr>
              <w:t>19</w:t>
            </w:r>
          </w:hyperlink>
        </w:p>
        <w:p>
          <w:pPr>
            <w:pStyle w:val="BodyText"/>
            <w:tabs>
              <w:tab w:val="right" w:leader="dot" w:pos="8315"/>
            </w:tabs>
            <w:spacing w:before="153" w:line="228" w:lineRule="auto"/>
            <w:ind w:left="452"/>
          </w:pPr>
          <w:bookmarkStart w:id="12" w:name="bookmark13"/>
          <w:bookmarkEnd w:id="12"/>
          <w:hyperlink w:anchor="bookmark13" w:history="1">
            <w:r>
              <w:rPr>
                <w:spacing w:val="8"/>
              </w:rPr>
              <w:t>（四）登记注册统计类别与代码</w:t>
            </w:r>
            <w:r>
              <w:rPr>
                <w:spacing w:val="-25"/>
              </w:rPr>
              <w:t xml:space="preserve"> </w:t>
            </w:r>
            <w:r>
              <w:tab/>
            </w:r>
            <w:r>
              <w:rPr>
                <w:spacing w:val="-27"/>
              </w:rPr>
              <w:t xml:space="preserve"> </w:t>
            </w:r>
            <w:r>
              <w:rPr>
                <w:spacing w:val="-2"/>
              </w:rPr>
              <w:t>21</w:t>
            </w:r>
          </w:hyperlink>
        </w:p>
        <w:p>
          <w:pPr>
            <w:pStyle w:val="BodyText"/>
            <w:tabs>
              <w:tab w:val="right" w:leader="dot" w:pos="8315"/>
            </w:tabs>
            <w:spacing w:before="153" w:line="228" w:lineRule="auto"/>
            <w:ind w:left="452"/>
          </w:pPr>
          <w:bookmarkStart w:id="13" w:name="bookmark14"/>
          <w:bookmarkEnd w:id="13"/>
          <w:hyperlink w:anchor="bookmark14" w:history="1">
            <w:r>
              <w:rPr>
                <w:spacing w:val="6"/>
              </w:rPr>
              <w:t>（五）</w:t>
            </w:r>
            <w:r>
              <w:rPr>
                <w:spacing w:val="-42"/>
              </w:rPr>
              <w:t xml:space="preserve"> </w:t>
            </w:r>
            <w:r>
              <w:rPr>
                <w:spacing w:val="6"/>
              </w:rPr>
              <w:t>向国家统计局提供的具体统计资料清单</w:t>
            </w:r>
            <w:r>
              <w:rPr>
                <w:spacing w:val="-31"/>
              </w:rPr>
              <w:t xml:space="preserve"> </w:t>
            </w:r>
            <w:r>
              <w:tab/>
            </w:r>
            <w:r>
              <w:rPr>
                <w:spacing w:val="-27"/>
              </w:rPr>
              <w:t xml:space="preserve"> </w:t>
            </w:r>
            <w:r>
              <w:rPr>
                <w:spacing w:val="-2"/>
              </w:rPr>
              <w:t>21</w:t>
            </w:r>
          </w:hyperlink>
        </w:p>
        <w:p>
          <w:pPr>
            <w:pStyle w:val="BodyText"/>
            <w:tabs>
              <w:tab w:val="right" w:leader="dot" w:pos="8315"/>
            </w:tabs>
            <w:spacing w:before="152" w:line="228" w:lineRule="auto"/>
            <w:ind w:left="452"/>
          </w:pPr>
          <w:bookmarkStart w:id="14" w:name="bookmark15"/>
          <w:bookmarkEnd w:id="14"/>
          <w:hyperlink w:anchor="bookmark15" w:history="1">
            <w:r>
              <w:rPr>
                <w:spacing w:val="7"/>
              </w:rPr>
              <w:t>（六）</w:t>
            </w:r>
            <w:r>
              <w:rPr>
                <w:spacing w:val="-56"/>
              </w:rPr>
              <w:t xml:space="preserve"> </w:t>
            </w:r>
            <w:r>
              <w:rPr>
                <w:spacing w:val="7"/>
              </w:rPr>
              <w:t>向统计信息共享数据库提供的统计资料清单</w:t>
            </w:r>
            <w:r>
              <w:rPr>
                <w:spacing w:val="-31"/>
              </w:rPr>
              <w:t xml:space="preserve"> </w:t>
            </w:r>
            <w:r>
              <w:tab/>
            </w:r>
            <w:r>
              <w:rPr>
                <w:spacing w:val="-27"/>
              </w:rPr>
              <w:t xml:space="preserve"> </w:t>
            </w:r>
            <w:r>
              <w:rPr>
                <w:spacing w:val="-2"/>
              </w:rPr>
              <w:t>21</w:t>
            </w:r>
          </w:hyperlink>
        </w:p>
      </w:sdtContent>
    </w:sdt>
    <w:p>
      <w:pPr>
        <w:spacing w:line="228" w:lineRule="auto"/>
        <w:sectPr>
          <w:pgSz w:w="11906" w:h="16839"/>
          <w:pgMar w:top="1431" w:right="1785" w:bottom="0" w:left="1785" w:header="0" w:footer="0" w:gutter="0"/>
          <w:cols w:space="708"/>
        </w:sectPr>
      </w:pPr>
    </w:p>
    <w:p>
      <w:pPr>
        <w:spacing w:before="108" w:line="226" w:lineRule="auto"/>
        <w:ind w:left="3223"/>
        <w:outlineLvl w:val="0"/>
        <w:rPr>
          <w:rFonts w:ascii="SimHei" w:eastAsia="SimHei" w:hAnsi="SimHei" w:cs="SimHei"/>
          <w:sz w:val="31"/>
          <w:szCs w:val="31"/>
        </w:rPr>
      </w:pPr>
      <w:r>
        <w:rPr>
          <w:rFonts w:ascii="SimHei" w:eastAsia="SimHei" w:hAnsi="SimHei" w:cs="SimHei"/>
          <w:spacing w:val="-14"/>
          <w:sz w:val="31"/>
          <w:szCs w:val="31"/>
        </w:rPr>
        <w:t>一</w:t>
      </w:r>
      <w:r>
        <w:rPr>
          <w:rFonts w:ascii="SimHei" w:eastAsia="SimHei" w:hAnsi="SimHei" w:cs="SimHei"/>
          <w:spacing w:val="-109"/>
          <w:sz w:val="31"/>
          <w:szCs w:val="31"/>
        </w:rPr>
        <w:t xml:space="preserve"> </w:t>
      </w:r>
      <w:r>
        <w:rPr>
          <w:rFonts w:ascii="SimHei" w:eastAsia="SimHei" w:hAnsi="SimHei" w:cs="SimHei"/>
          <w:spacing w:val="-14"/>
          <w:sz w:val="31"/>
          <w:szCs w:val="31"/>
        </w:rPr>
        <w:t>、</w:t>
      </w:r>
      <w:r>
        <w:rPr>
          <w:rFonts w:ascii="SimHei" w:eastAsia="SimHei" w:hAnsi="SimHei" w:cs="SimHei"/>
          <w:spacing w:val="-128"/>
          <w:sz w:val="31"/>
          <w:szCs w:val="31"/>
        </w:rPr>
        <w:t xml:space="preserve"> </w:t>
      </w:r>
      <w:r>
        <w:rPr>
          <w:rFonts w:ascii="SimHei" w:eastAsia="SimHei" w:hAnsi="SimHei" w:cs="SimHei"/>
          <w:spacing w:val="-14"/>
          <w:sz w:val="31"/>
          <w:szCs w:val="31"/>
        </w:rPr>
        <w:t>总</w:t>
      </w:r>
      <w:r>
        <w:rPr>
          <w:rFonts w:ascii="SimHei" w:eastAsia="SimHei" w:hAnsi="SimHei" w:cs="SimHei"/>
          <w:spacing w:val="23"/>
          <w:sz w:val="31"/>
          <w:szCs w:val="31"/>
        </w:rPr>
        <w:t xml:space="preserve"> </w:t>
      </w:r>
      <w:r>
        <w:rPr>
          <w:rFonts w:ascii="SimHei" w:eastAsia="SimHei" w:hAnsi="SimHei" w:cs="SimHei"/>
          <w:spacing w:val="-14"/>
          <w:sz w:val="31"/>
          <w:szCs w:val="31"/>
        </w:rPr>
        <w:t>说</w:t>
      </w:r>
      <w:r>
        <w:rPr>
          <w:rFonts w:ascii="SimHei" w:eastAsia="SimHei" w:hAnsi="SimHei" w:cs="SimHei"/>
          <w:spacing w:val="33"/>
          <w:sz w:val="31"/>
          <w:szCs w:val="31"/>
        </w:rPr>
        <w:t xml:space="preserve"> </w:t>
      </w:r>
      <w:r>
        <w:rPr>
          <w:rFonts w:ascii="SimHei" w:eastAsia="SimHei" w:hAnsi="SimHei" w:cs="SimHei"/>
          <w:spacing w:val="-14"/>
          <w:sz w:val="31"/>
          <w:szCs w:val="31"/>
        </w:rPr>
        <w:t>明</w:t>
      </w:r>
    </w:p>
    <w:p>
      <w:pPr>
        <w:spacing w:line="266" w:lineRule="auto"/>
        <w:rPr>
          <w:rFonts w:ascii="Arial"/>
          <w:sz w:val="21"/>
        </w:rPr>
      </w:pPr>
    </w:p>
    <w:p>
      <w:pPr>
        <w:pStyle w:val="BodyText"/>
        <w:spacing w:before="65" w:line="231" w:lineRule="auto"/>
        <w:ind w:left="452"/>
      </w:pPr>
      <w:r>
        <w:rPr>
          <w:spacing w:val="7"/>
        </w:rPr>
        <w:t>（一）调查目的</w:t>
      </w:r>
    </w:p>
    <w:p>
      <w:pPr>
        <w:pStyle w:val="BodyText"/>
        <w:spacing w:before="150" w:line="369" w:lineRule="auto"/>
        <w:ind w:left="22" w:right="184" w:firstLine="422"/>
      </w:pPr>
      <w:r>
        <w:rPr>
          <w:spacing w:val="7"/>
        </w:rPr>
        <w:t>为规范生产安全事故（以下简称事故）统计工作，真实、准确、完整、及时掌握全国生</w:t>
      </w:r>
      <w:r>
        <w:rPr>
          <w:spacing w:val="8"/>
        </w:rPr>
        <w:t xml:space="preserve"> </w:t>
      </w:r>
      <w:r>
        <w:rPr>
          <w:spacing w:val="7"/>
        </w:rPr>
        <w:t>产安全事故情况，深入分析全国安全生产形势，为安全生产工作提供可靠的信息支撑和科学</w:t>
      </w:r>
      <w:r>
        <w:rPr>
          <w:spacing w:val="14"/>
        </w:rPr>
        <w:t xml:space="preserve"> </w:t>
      </w:r>
      <w:r>
        <w:rPr>
          <w:spacing w:val="7"/>
        </w:rPr>
        <w:t>的决策依据，根据《中华人民共和国统计法》《中华人民共和国安全生产法》《生产安全事</w:t>
      </w:r>
      <w:r>
        <w:rPr>
          <w:spacing w:val="17"/>
        </w:rPr>
        <w:t xml:space="preserve"> </w:t>
      </w:r>
      <w:r>
        <w:rPr>
          <w:spacing w:val="7"/>
        </w:rPr>
        <w:t>故报告和调查处理条例》《中华人民共和国统计法实施条例》和《部门统计调查项目管理办</w:t>
      </w:r>
    </w:p>
    <w:p>
      <w:pPr>
        <w:pStyle w:val="BodyText"/>
        <w:spacing w:line="227" w:lineRule="auto"/>
        <w:ind w:left="23"/>
      </w:pPr>
      <w:r>
        <w:rPr>
          <w:spacing w:val="8"/>
        </w:rPr>
        <w:t>法》等有关规定，制定本制度。</w:t>
      </w:r>
    </w:p>
    <w:p>
      <w:pPr>
        <w:pStyle w:val="BodyText"/>
        <w:spacing w:before="154" w:line="228" w:lineRule="auto"/>
        <w:ind w:left="452"/>
      </w:pPr>
      <w:r>
        <w:rPr>
          <w:spacing w:val="8"/>
        </w:rPr>
        <w:t>（二）调查对象和统计范围</w:t>
      </w:r>
    </w:p>
    <w:p>
      <w:pPr>
        <w:pStyle w:val="BodyText"/>
        <w:spacing w:before="153" w:line="399" w:lineRule="exact"/>
        <w:ind w:left="441"/>
      </w:pPr>
      <w:r>
        <w:rPr>
          <w:spacing w:val="10"/>
          <w:position w:val="14"/>
        </w:rPr>
        <w:t>在中华人民共和国领域内，从事生产经营活动的单位（以下统</w:t>
      </w:r>
      <w:r>
        <w:rPr>
          <w:spacing w:val="9"/>
          <w:position w:val="14"/>
        </w:rPr>
        <w:t>称生产经营单位</w:t>
      </w:r>
      <w:r>
        <w:rPr>
          <w:spacing w:val="-38"/>
          <w:position w:val="14"/>
        </w:rPr>
        <w:t>），</w:t>
      </w:r>
      <w:r>
        <w:rPr>
          <w:spacing w:val="9"/>
          <w:position w:val="14"/>
        </w:rPr>
        <w:t>在生</w:t>
      </w:r>
    </w:p>
    <w:p>
      <w:pPr>
        <w:pStyle w:val="BodyText"/>
        <w:spacing w:line="228" w:lineRule="auto"/>
        <w:ind w:left="22"/>
      </w:pPr>
      <w:r>
        <w:rPr>
          <w:spacing w:val="9"/>
        </w:rPr>
        <w:t>产经营活动中发生的造成人身伤亡或者直接经济损失的生产安全事故。</w:t>
      </w:r>
    </w:p>
    <w:p>
      <w:pPr>
        <w:pStyle w:val="BodyText"/>
        <w:spacing w:before="154" w:line="228" w:lineRule="auto"/>
        <w:ind w:left="443"/>
      </w:pPr>
      <w:r>
        <w:rPr>
          <w:spacing w:val="9"/>
        </w:rPr>
        <w:t>有关法律、行政法规对有关行业领域事故统计调查另有规定的，适用其规定。</w:t>
      </w:r>
    </w:p>
    <w:p>
      <w:pPr>
        <w:pStyle w:val="BodyText"/>
        <w:spacing w:before="154" w:line="228" w:lineRule="auto"/>
        <w:ind w:left="445"/>
      </w:pPr>
      <w:r>
        <w:rPr>
          <w:spacing w:val="6"/>
        </w:rPr>
        <w:t>（三）调查内容</w:t>
      </w:r>
    </w:p>
    <w:p>
      <w:pPr>
        <w:pStyle w:val="BodyText"/>
        <w:spacing w:before="151" w:line="401" w:lineRule="exact"/>
        <w:ind w:left="436"/>
      </w:pPr>
      <w:r>
        <w:rPr>
          <w:spacing w:val="7"/>
          <w:position w:val="14"/>
        </w:rPr>
        <w:t>主要包括事故发生单位以及涉及单位的基本情况、事故造成的死亡人数（包括下落不明</w:t>
      </w:r>
    </w:p>
    <w:p>
      <w:pPr>
        <w:pStyle w:val="BodyText"/>
        <w:spacing w:line="228" w:lineRule="auto"/>
        <w:ind w:left="23"/>
      </w:pPr>
      <w:r>
        <w:t>人数，下同）、受伤人数（包括急性工业中毒人数，下同）、直接经济损</w:t>
      </w:r>
      <w:r>
        <w:rPr>
          <w:spacing w:val="-1"/>
        </w:rPr>
        <w:t>失、事故具体情况等。</w:t>
      </w:r>
    </w:p>
    <w:p>
      <w:pPr>
        <w:pStyle w:val="BodyText"/>
        <w:spacing w:before="153" w:line="230" w:lineRule="auto"/>
        <w:ind w:left="445"/>
      </w:pPr>
      <w:r>
        <w:rPr>
          <w:spacing w:val="6"/>
        </w:rPr>
        <w:t>（四）调查方法</w:t>
      </w:r>
    </w:p>
    <w:p>
      <w:pPr>
        <w:pStyle w:val="BodyText"/>
        <w:spacing w:before="149" w:line="228" w:lineRule="auto"/>
        <w:ind w:left="434"/>
      </w:pPr>
      <w:r>
        <w:rPr>
          <w:spacing w:val="8"/>
        </w:rPr>
        <w:t>采用全面调查、重点调查等。</w:t>
      </w:r>
    </w:p>
    <w:p>
      <w:pPr>
        <w:pStyle w:val="BodyText"/>
        <w:spacing w:before="155" w:line="228" w:lineRule="auto"/>
        <w:ind w:left="445"/>
      </w:pPr>
      <w:r>
        <w:rPr>
          <w:spacing w:val="6"/>
        </w:rPr>
        <w:t>（五）调查频率</w:t>
      </w:r>
    </w:p>
    <w:p>
      <w:pPr>
        <w:pStyle w:val="BodyText"/>
        <w:spacing w:before="154" w:line="228" w:lineRule="auto"/>
        <w:ind w:left="437"/>
      </w:pPr>
      <w:r>
        <w:rPr>
          <w:spacing w:val="8"/>
        </w:rPr>
        <w:t>分为年报、月报和即时报送。</w:t>
      </w:r>
    </w:p>
    <w:p>
      <w:pPr>
        <w:pStyle w:val="BodyText"/>
        <w:spacing w:before="151" w:line="229" w:lineRule="auto"/>
        <w:ind w:left="445"/>
      </w:pPr>
      <w:r>
        <w:rPr>
          <w:spacing w:val="7"/>
        </w:rPr>
        <w:t>（六）组织实施</w:t>
      </w:r>
    </w:p>
    <w:p>
      <w:pPr>
        <w:pStyle w:val="BodyText"/>
        <w:spacing w:before="153" w:line="369" w:lineRule="auto"/>
        <w:ind w:left="25" w:right="186" w:firstLine="410"/>
      </w:pPr>
      <w:r>
        <w:rPr>
          <w:spacing w:val="6"/>
        </w:rPr>
        <w:t>本制度由应急管理部统一组织，分级实施，</w:t>
      </w:r>
      <w:r>
        <w:rPr>
          <w:spacing w:val="-59"/>
        </w:rPr>
        <w:t xml:space="preserve"> </w:t>
      </w:r>
      <w:r>
        <w:rPr>
          <w:spacing w:val="6"/>
        </w:rPr>
        <w:t>由</w:t>
      </w:r>
      <w:r>
        <w:rPr>
          <w:spacing w:val="5"/>
        </w:rPr>
        <w:t>县级以上应急管理部门（“以上</w:t>
      </w:r>
      <w:r>
        <w:rPr>
          <w:spacing w:val="-73"/>
        </w:rPr>
        <w:t xml:space="preserve"> </w:t>
      </w:r>
      <w:r>
        <w:rPr>
          <w:spacing w:val="5"/>
        </w:rPr>
        <w:t>”包含本</w:t>
      </w:r>
      <w:r>
        <w:t xml:space="preserve"> </w:t>
      </w:r>
      <w:r>
        <w:rPr>
          <w:spacing w:val="7"/>
        </w:rPr>
        <w:t>级，不含应急管理部，下同）通过“生产安全事故统</w:t>
      </w:r>
      <w:r>
        <w:rPr>
          <w:spacing w:val="6"/>
        </w:rPr>
        <w:t>计信息直报系统</w:t>
      </w:r>
      <w:r>
        <w:rPr>
          <w:spacing w:val="-72"/>
        </w:rPr>
        <w:t xml:space="preserve"> </w:t>
      </w:r>
      <w:r>
        <w:rPr>
          <w:spacing w:val="6"/>
        </w:rPr>
        <w:t>”（以下简称“直报系</w:t>
      </w:r>
      <w:r>
        <w:t xml:space="preserve"> </w:t>
      </w:r>
      <w:r>
        <w:rPr>
          <w:spacing w:val="7"/>
        </w:rPr>
        <w:t>统</w:t>
      </w:r>
      <w:r>
        <w:rPr>
          <w:spacing w:val="-72"/>
        </w:rPr>
        <w:t xml:space="preserve"> </w:t>
      </w:r>
      <w:r>
        <w:rPr>
          <w:spacing w:val="7"/>
        </w:rPr>
        <w:t>”）负责数据的录入、审核和上报。地方各级应急</w:t>
      </w:r>
      <w:r>
        <w:rPr>
          <w:spacing w:val="6"/>
        </w:rPr>
        <w:t>管理部门可组织负有安全监管职责的其</w:t>
      </w:r>
    </w:p>
    <w:p>
      <w:pPr>
        <w:pStyle w:val="BodyText"/>
        <w:spacing w:before="1" w:line="228" w:lineRule="auto"/>
        <w:ind w:left="22"/>
      </w:pPr>
      <w:r>
        <w:rPr>
          <w:spacing w:val="8"/>
        </w:rPr>
        <w:t>他有关部门通过“直报系统</w:t>
      </w:r>
      <w:r>
        <w:rPr>
          <w:spacing w:val="-64"/>
        </w:rPr>
        <w:t xml:space="preserve"> </w:t>
      </w:r>
      <w:r>
        <w:rPr>
          <w:spacing w:val="8"/>
        </w:rPr>
        <w:t>”填报共享相关行业领域的事故信息。</w:t>
      </w:r>
    </w:p>
    <w:p>
      <w:pPr>
        <w:pStyle w:val="BodyText"/>
        <w:spacing w:before="153" w:line="228" w:lineRule="auto"/>
        <w:ind w:left="445"/>
      </w:pPr>
      <w:r>
        <w:rPr>
          <w:spacing w:val="8"/>
        </w:rPr>
        <w:t>（七）事故发生单位分类规定</w:t>
      </w:r>
    </w:p>
    <w:p>
      <w:pPr>
        <w:pStyle w:val="BodyText"/>
        <w:spacing w:before="151" w:line="401" w:lineRule="exact"/>
        <w:ind w:left="436"/>
      </w:pPr>
      <w:r>
        <w:rPr>
          <w:spacing w:val="6"/>
          <w:position w:val="14"/>
        </w:rPr>
        <w:t>按照事故发生单位登记注册情况，分为“依法登记注册单位事故</w:t>
      </w:r>
      <w:r>
        <w:rPr>
          <w:spacing w:val="-71"/>
          <w:position w:val="14"/>
        </w:rPr>
        <w:t xml:space="preserve"> </w:t>
      </w:r>
      <w:r>
        <w:rPr>
          <w:spacing w:val="6"/>
          <w:position w:val="14"/>
        </w:rPr>
        <w:t>”和“其他事故</w:t>
      </w:r>
      <w:r>
        <w:rPr>
          <w:spacing w:val="-72"/>
          <w:position w:val="14"/>
        </w:rPr>
        <w:t xml:space="preserve"> </w:t>
      </w:r>
      <w:r>
        <w:rPr>
          <w:spacing w:val="6"/>
          <w:position w:val="14"/>
        </w:rPr>
        <w:t>”两类</w:t>
      </w:r>
    </w:p>
    <w:p>
      <w:pPr>
        <w:pStyle w:val="BodyText"/>
        <w:spacing w:line="229" w:lineRule="auto"/>
        <w:ind w:left="20"/>
      </w:pPr>
      <w:r>
        <w:rPr>
          <w:spacing w:val="6"/>
        </w:rPr>
        <w:t>进行统计。</w:t>
      </w:r>
    </w:p>
    <w:p>
      <w:pPr>
        <w:pStyle w:val="BodyText"/>
        <w:spacing w:before="153" w:line="398" w:lineRule="exact"/>
        <w:jc w:val="right"/>
      </w:pPr>
      <w:r>
        <w:rPr>
          <w:spacing w:val="11"/>
          <w:position w:val="14"/>
        </w:rPr>
        <w:t>1.依法登记取得营业执照的生产经营单位发生的事故，纳入“依法登记注</w:t>
      </w:r>
      <w:r>
        <w:rPr>
          <w:spacing w:val="10"/>
          <w:position w:val="14"/>
        </w:rPr>
        <w:t>册单位事故</w:t>
      </w:r>
      <w:r>
        <w:rPr>
          <w:spacing w:val="-70"/>
          <w:position w:val="14"/>
        </w:rPr>
        <w:t xml:space="preserve"> </w:t>
      </w:r>
      <w:r>
        <w:rPr>
          <w:spacing w:val="10"/>
          <w:position w:val="14"/>
        </w:rPr>
        <w:t>”</w:t>
      </w:r>
    </w:p>
    <w:p>
      <w:pPr>
        <w:pStyle w:val="BodyText"/>
        <w:spacing w:before="1" w:line="229" w:lineRule="auto"/>
        <w:ind w:left="27"/>
      </w:pPr>
      <w:r>
        <w:rPr>
          <w:spacing w:val="1"/>
        </w:rPr>
        <w:t>统计。</w:t>
      </w:r>
    </w:p>
    <w:p>
      <w:pPr>
        <w:pStyle w:val="BodyText"/>
        <w:spacing w:before="152" w:line="401" w:lineRule="exact"/>
        <w:ind w:left="437"/>
      </w:pPr>
      <w:r>
        <w:rPr>
          <w:spacing w:val="7"/>
          <w:position w:val="14"/>
        </w:rPr>
        <w:t>2.从事运输、捕捞等生产经营活动，不需办理营业执照的，以行业准入许可为准，按照</w:t>
      </w:r>
    </w:p>
    <w:p>
      <w:pPr>
        <w:pStyle w:val="BodyText"/>
        <w:spacing w:before="1" w:line="227" w:lineRule="auto"/>
        <w:ind w:left="10"/>
      </w:pPr>
      <w:r>
        <w:rPr>
          <w:spacing w:val="7"/>
        </w:rPr>
        <w:t>“依法登记注册单位事故</w:t>
      </w:r>
      <w:r>
        <w:rPr>
          <w:spacing w:val="-59"/>
        </w:rPr>
        <w:t xml:space="preserve"> </w:t>
      </w:r>
      <w:r>
        <w:rPr>
          <w:spacing w:val="7"/>
        </w:rPr>
        <w:t>”进行统计。</w:t>
      </w:r>
    </w:p>
    <w:p>
      <w:pPr>
        <w:pStyle w:val="BodyText"/>
        <w:spacing w:before="151" w:line="229" w:lineRule="auto"/>
        <w:ind w:left="439"/>
        <w:sectPr>
          <w:footerReference w:type="default" r:id="rId4"/>
          <w:pgSz w:w="11906" w:h="16839"/>
          <w:pgMar w:top="1431" w:right="1615" w:bottom="1171" w:left="1785" w:header="0" w:footer="992" w:gutter="0"/>
          <w:pgNumType w:start="2"/>
          <w:cols w:space="708"/>
        </w:sectPr>
      </w:pPr>
      <w:r>
        <w:rPr>
          <w:spacing w:val="7"/>
        </w:rPr>
        <w:t>3.不属于以上情形的事故，纳入“其他事故</w:t>
      </w:r>
      <w:r>
        <w:rPr>
          <w:spacing w:val="-64"/>
        </w:rPr>
        <w:t xml:space="preserve"> </w:t>
      </w:r>
      <w:r>
        <w:rPr>
          <w:spacing w:val="7"/>
        </w:rPr>
        <w:t>”统计。</w:t>
      </w:r>
    </w:p>
    <w:p>
      <w:pPr>
        <w:pStyle w:val="BodyText"/>
        <w:spacing w:before="153" w:line="229" w:lineRule="auto"/>
        <w:ind w:left="445"/>
      </w:pPr>
      <w:r>
        <w:rPr>
          <w:spacing w:val="8"/>
        </w:rPr>
        <w:t>（八）事故统计一般规则</w:t>
      </w:r>
    </w:p>
    <w:p>
      <w:pPr>
        <w:pStyle w:val="BodyText"/>
        <w:spacing w:before="153" w:line="228" w:lineRule="auto"/>
        <w:ind w:left="450"/>
      </w:pPr>
      <w:r>
        <w:rPr>
          <w:spacing w:val="8"/>
        </w:rPr>
        <w:t>1.与生产经营有关的预备性或者收尾性活动中发生的事故纳入统计。</w:t>
      </w:r>
    </w:p>
    <w:p>
      <w:pPr>
        <w:pStyle w:val="BodyText"/>
        <w:spacing w:before="152" w:line="228" w:lineRule="auto"/>
        <w:ind w:left="437"/>
      </w:pPr>
      <w:r>
        <w:rPr>
          <w:spacing w:val="9"/>
        </w:rPr>
        <w:t>2.生产经营活动中发生的事故，不论生产经营单位是否负有责任，均纳入统计。</w:t>
      </w:r>
    </w:p>
    <w:p>
      <w:pPr>
        <w:spacing w:line="228" w:lineRule="auto"/>
        <w:sectPr>
          <w:footerReference w:type="default" r:id="rId5"/>
          <w:type w:val="nextPage"/>
          <w:pgSz w:w="11906" w:h="16839"/>
          <w:pgMar w:top="1431" w:right="1615" w:bottom="1171" w:left="1785" w:header="0" w:footer="992" w:gutter="0"/>
          <w:pgNumType w:start="3"/>
          <w:cols w:space="708"/>
          <w:titlePg w:val="0"/>
        </w:sectPr>
      </w:pPr>
    </w:p>
    <w:p>
      <w:pPr>
        <w:pStyle w:val="BodyText"/>
        <w:spacing w:before="149" w:line="401" w:lineRule="exact"/>
        <w:jc w:val="right"/>
      </w:pPr>
      <w:r>
        <w:rPr>
          <w:spacing w:val="9"/>
          <w:position w:val="14"/>
        </w:rPr>
        <w:t>3.由建筑施工单位（包括不具有施工资质、营业执照，但属于有组织的经营</w:t>
      </w:r>
      <w:r>
        <w:rPr>
          <w:spacing w:val="8"/>
          <w:position w:val="14"/>
        </w:rPr>
        <w:t>建设活动）</w:t>
      </w:r>
    </w:p>
    <w:p>
      <w:pPr>
        <w:pStyle w:val="BodyText"/>
        <w:spacing w:line="227" w:lineRule="auto"/>
        <w:ind w:left="22"/>
      </w:pPr>
      <w:r>
        <w:rPr>
          <w:spacing w:val="9"/>
        </w:rPr>
        <w:t>承包的城镇、农村新建、改建、修缮及拆除建筑过程中发生的事故，纳入统计。</w:t>
      </w:r>
    </w:p>
    <w:p>
      <w:pPr>
        <w:pStyle w:val="BodyText"/>
        <w:spacing w:before="151" w:line="401" w:lineRule="exact"/>
        <w:ind w:left="465"/>
      </w:pPr>
      <w:r>
        <w:rPr>
          <w:spacing w:val="7"/>
          <w:position w:val="14"/>
        </w:rPr>
        <w:t>以支付劳动报酬（货币或者实物）的形式雇佣人员进行的</w:t>
      </w:r>
      <w:r>
        <w:rPr>
          <w:spacing w:val="6"/>
          <w:position w:val="14"/>
        </w:rPr>
        <w:t>城镇、农村新建、改建、修缮</w:t>
      </w:r>
    </w:p>
    <w:p>
      <w:pPr>
        <w:pStyle w:val="BodyText"/>
        <w:spacing w:line="228" w:lineRule="auto"/>
        <w:ind w:left="21"/>
      </w:pPr>
      <w:r>
        <w:rPr>
          <w:spacing w:val="8"/>
        </w:rPr>
        <w:t>及拆除建筑过程中发生的事故，纳入统计。</w:t>
      </w:r>
    </w:p>
    <w:p>
      <w:pPr>
        <w:pStyle w:val="BodyText"/>
        <w:spacing w:before="153" w:line="398" w:lineRule="exact"/>
        <w:ind w:left="434"/>
      </w:pPr>
      <w:r>
        <w:rPr>
          <w:spacing w:val="7"/>
          <w:position w:val="14"/>
        </w:rPr>
        <w:t>4.各类景区、商场、宾馆、歌舞厅、网吧等人员密集场所，因自身管理不善或安全防护</w:t>
      </w:r>
    </w:p>
    <w:p>
      <w:pPr>
        <w:pStyle w:val="BodyText"/>
        <w:spacing w:before="1" w:line="228" w:lineRule="auto"/>
        <w:ind w:left="22"/>
      </w:pPr>
      <w:r>
        <w:rPr>
          <w:spacing w:val="9"/>
        </w:rPr>
        <w:t>措施不健全造成人员伤亡（或直接经济损失）的事故纳入统计。</w:t>
      </w:r>
    </w:p>
    <w:p>
      <w:pPr>
        <w:pStyle w:val="BodyText"/>
        <w:spacing w:before="153" w:line="369" w:lineRule="auto"/>
        <w:ind w:left="28" w:right="26" w:firstLine="410"/>
      </w:pPr>
      <w:r>
        <w:rPr>
          <w:spacing w:val="7"/>
        </w:rPr>
        <w:t>5.生产经营单位存放在地面或井下（包括违反民用爆炸物品安全管理规定）用于生产经</w:t>
      </w:r>
      <w:r>
        <w:rPr>
          <w:spacing w:val="5"/>
        </w:rPr>
        <w:t xml:space="preserve"> </w:t>
      </w:r>
      <w:r>
        <w:rPr>
          <w:spacing w:val="8"/>
        </w:rPr>
        <w:t>营建设所购买的炸药、雷管等爆炸物品意外爆炸造成人员伤亡（或直接经济损失）的事故，</w:t>
      </w:r>
    </w:p>
    <w:p>
      <w:pPr>
        <w:pStyle w:val="BodyText"/>
        <w:spacing w:before="1" w:line="229" w:lineRule="auto"/>
        <w:ind w:left="23"/>
      </w:pPr>
      <w:r>
        <w:rPr>
          <w:spacing w:val="5"/>
        </w:rPr>
        <w:t>纳入统计。</w:t>
      </w:r>
    </w:p>
    <w:p>
      <w:pPr>
        <w:pStyle w:val="BodyText"/>
        <w:spacing w:before="152" w:line="369" w:lineRule="auto"/>
        <w:ind w:left="22" w:right="68" w:firstLine="414"/>
      </w:pPr>
      <w:r>
        <w:rPr>
          <w:spacing w:val="7"/>
        </w:rPr>
        <w:t>6.公路客运、公交客运、出租客运、网络约车、旅游客运、租赁、教练、货运、危化品</w:t>
      </w:r>
      <w:r>
        <w:rPr>
          <w:spacing w:val="9"/>
        </w:rPr>
        <w:t xml:space="preserve"> </w:t>
      </w:r>
      <w:r>
        <w:rPr>
          <w:spacing w:val="7"/>
        </w:rPr>
        <w:t>运输、工程救险、校车，包括企业通勤车在内的其他营运性车辆或其他生产经营性车辆等十</w:t>
      </w:r>
      <w:r>
        <w:rPr>
          <w:spacing w:val="17"/>
        </w:rPr>
        <w:t xml:space="preserve"> </w:t>
      </w:r>
      <w:r>
        <w:rPr>
          <w:spacing w:val="7"/>
        </w:rPr>
        <w:t>二类道路运输车辆在从事相应运输活动中发生的事故，不论这些车辆是否负有事故责任，均</w:t>
      </w:r>
    </w:p>
    <w:p>
      <w:pPr>
        <w:pStyle w:val="BodyText"/>
        <w:spacing w:before="1" w:line="228" w:lineRule="auto"/>
        <w:ind w:left="23"/>
      </w:pPr>
      <w:r>
        <w:rPr>
          <w:spacing w:val="7"/>
        </w:rPr>
        <w:t>纳入道路运输事故统计。</w:t>
      </w:r>
    </w:p>
    <w:p>
      <w:pPr>
        <w:pStyle w:val="BodyText"/>
        <w:spacing w:before="154" w:line="369" w:lineRule="auto"/>
        <w:ind w:left="22" w:firstLine="417"/>
      </w:pPr>
      <w:r>
        <w:rPr>
          <w:spacing w:val="7"/>
        </w:rPr>
        <w:t>7.因自然灾害引发造成人身伤亡或者直接经济损失，符合以下</w:t>
      </w:r>
      <w:r>
        <w:rPr>
          <w:spacing w:val="6"/>
        </w:rPr>
        <w:t xml:space="preserve">三种情况之一的即纳入事 </w:t>
      </w:r>
      <w:r>
        <w:rPr>
          <w:spacing w:val="9"/>
        </w:rPr>
        <w:t>故统计：一是自然灾害未超过设计风险抵御标准的；二是生产经营单位工程选址不合理的；</w:t>
      </w:r>
      <w:r>
        <w:rPr>
          <w:spacing w:val="5"/>
        </w:rPr>
        <w:t xml:space="preserve"> </w:t>
      </w:r>
      <w:r>
        <w:rPr>
          <w:spacing w:val="4"/>
        </w:rPr>
        <w:t>三是在能够预见、能够防范可能发生的自然灾害的情况下，因生产经营单位防范措施不落实、</w:t>
      </w:r>
    </w:p>
    <w:p>
      <w:pPr>
        <w:pStyle w:val="BodyText"/>
        <w:spacing w:line="228" w:lineRule="auto"/>
        <w:ind w:left="22"/>
      </w:pPr>
      <w:r>
        <w:rPr>
          <w:spacing w:val="8"/>
        </w:rPr>
        <w:t>应急救援预案或者防范救援措施不力的。</w:t>
      </w:r>
    </w:p>
    <w:p>
      <w:pPr>
        <w:pStyle w:val="BodyText"/>
        <w:spacing w:before="151" w:line="401" w:lineRule="exact"/>
        <w:ind w:left="435"/>
      </w:pPr>
      <w:r>
        <w:rPr>
          <w:spacing w:val="7"/>
          <w:position w:val="14"/>
        </w:rPr>
        <w:t>8.违法违规生产经营活动（包括无证照或证照不全的生产经营单位擅自从事生产经营活</w:t>
      </w:r>
    </w:p>
    <w:p>
      <w:pPr>
        <w:pStyle w:val="BodyText"/>
        <w:spacing w:line="228" w:lineRule="auto"/>
        <w:ind w:left="23"/>
      </w:pPr>
      <w:r>
        <w:rPr>
          <w:spacing w:val="9"/>
        </w:rPr>
        <w:t>动和自然人从事小作坊、小窝点、小矿洞等生产经营活动）中发生的事故，均纳入统计。</w:t>
      </w:r>
    </w:p>
    <w:p>
      <w:pPr>
        <w:pStyle w:val="BodyText"/>
        <w:spacing w:before="154" w:line="228" w:lineRule="auto"/>
        <w:ind w:left="435"/>
      </w:pPr>
      <w:r>
        <w:rPr>
          <w:spacing w:val="8"/>
        </w:rPr>
        <w:t>9.服刑人员在劳动生产过程中发生的事故，纳入统计。</w:t>
      </w:r>
    </w:p>
    <w:p>
      <w:pPr>
        <w:pStyle w:val="BodyText"/>
        <w:spacing w:before="151" w:line="401" w:lineRule="exact"/>
        <w:ind w:left="450"/>
      </w:pPr>
      <w:r>
        <w:rPr>
          <w:spacing w:val="9"/>
          <w:position w:val="14"/>
        </w:rPr>
        <w:t>10.雇佣人员在单位所属宿舍、浴室、更衣室、厕所、食堂、临时休息室等场所因非不</w:t>
      </w:r>
    </w:p>
    <w:p>
      <w:pPr>
        <w:pStyle w:val="BodyText"/>
        <w:spacing w:line="228" w:lineRule="auto"/>
        <w:ind w:left="23"/>
      </w:pPr>
      <w:r>
        <w:rPr>
          <w:spacing w:val="8"/>
        </w:rPr>
        <w:t>可抗力受到伤害的事故纳入统计。</w:t>
      </w:r>
    </w:p>
    <w:p>
      <w:pPr>
        <w:pStyle w:val="BodyText"/>
        <w:spacing w:before="153" w:line="228" w:lineRule="auto"/>
        <w:ind w:left="450"/>
      </w:pPr>
      <w:r>
        <w:rPr>
          <w:spacing w:val="9"/>
        </w:rPr>
        <w:t>11.国家机关、事业单位、人民团体在执</w:t>
      </w:r>
      <w:r>
        <w:rPr>
          <w:spacing w:val="8"/>
        </w:rPr>
        <w:t>行公务过程中发生的事故，纳入统计。</w:t>
      </w:r>
    </w:p>
    <w:p>
      <w:pPr>
        <w:pStyle w:val="BodyText"/>
        <w:spacing w:before="152" w:line="401" w:lineRule="exact"/>
        <w:ind w:left="450"/>
      </w:pPr>
      <w:r>
        <w:rPr>
          <w:spacing w:val="4"/>
          <w:position w:val="14"/>
        </w:rPr>
        <w:t>12.非正式雇佣人员（临时雇佣人员、劳务派遣人员、实习生、志愿者等）、其他公务人</w:t>
      </w:r>
    </w:p>
    <w:p>
      <w:pPr>
        <w:pStyle w:val="BodyText"/>
        <w:spacing w:line="228" w:lineRule="auto"/>
        <w:ind w:left="30"/>
      </w:pPr>
      <w:r>
        <w:rPr>
          <w:spacing w:val="9"/>
        </w:rPr>
        <w:t>员、外来救护人员以及生产经营单位以外的居民、行人等因事故受到伤害的，纳入统计。</w:t>
      </w:r>
    </w:p>
    <w:p>
      <w:pPr>
        <w:pStyle w:val="BodyText"/>
        <w:spacing w:before="154" w:line="398" w:lineRule="exact"/>
        <w:ind w:left="434"/>
      </w:pPr>
      <w:r>
        <w:rPr>
          <w:spacing w:val="8"/>
          <w:position w:val="14"/>
        </w:rPr>
        <w:t>解放军、武警官兵、公安干警、国家综合性</w:t>
      </w:r>
      <w:r>
        <w:rPr>
          <w:spacing w:val="7"/>
          <w:position w:val="14"/>
        </w:rPr>
        <w:t>消防救援队伍参加事故抢险救援时发生的人</w:t>
      </w:r>
    </w:p>
    <w:p>
      <w:pPr>
        <w:pStyle w:val="BodyText"/>
        <w:spacing w:before="1" w:line="228" w:lineRule="auto"/>
        <w:jc w:val="right"/>
      </w:pPr>
      <w:r>
        <w:rPr>
          <w:spacing w:val="9"/>
        </w:rPr>
        <w:t>身伤亡，不计入统计调查制度规定的事故等级统计范围，仅作为事</w:t>
      </w:r>
      <w:r>
        <w:rPr>
          <w:spacing w:val="8"/>
        </w:rPr>
        <w:t>故伤亡总人数另行统计。</w:t>
      </w:r>
    </w:p>
    <w:p>
      <w:pPr>
        <w:pStyle w:val="BodyText"/>
        <w:spacing w:before="153" w:line="228" w:lineRule="auto"/>
        <w:ind w:left="450"/>
      </w:pPr>
      <w:r>
        <w:rPr>
          <w:spacing w:val="8"/>
        </w:rPr>
        <w:t>13.两个以上单位交叉作业时发生的事故，纳入主要责任单位统计。</w:t>
      </w:r>
    </w:p>
    <w:p>
      <w:pPr>
        <w:pStyle w:val="BodyText"/>
        <w:spacing w:before="154" w:line="398" w:lineRule="exact"/>
        <w:ind w:left="450"/>
      </w:pPr>
      <w:r>
        <w:rPr>
          <w:spacing w:val="9"/>
          <w:position w:val="14"/>
        </w:rPr>
        <w:t>14.甲单位人员参加乙单位生产经营活动（包括劳务派遣人员）发生的事故，纳入乙单</w:t>
      </w:r>
    </w:p>
    <w:p>
      <w:pPr>
        <w:pStyle w:val="BodyText"/>
        <w:spacing w:before="1" w:line="229" w:lineRule="auto"/>
        <w:ind w:left="22"/>
        <w:sectPr>
          <w:footerReference w:type="default" r:id="rId6"/>
          <w:pgSz w:w="11906" w:h="16839"/>
          <w:pgMar w:top="1431" w:right="1731" w:bottom="1171" w:left="1785" w:header="0" w:footer="992" w:gutter="0"/>
          <w:pgNumType w:start="4"/>
          <w:cols w:space="708"/>
        </w:sectPr>
      </w:pPr>
      <w:r>
        <w:rPr>
          <w:spacing w:val="5"/>
        </w:rPr>
        <w:t>位统计。</w:t>
      </w:r>
    </w:p>
    <w:p>
      <w:pPr>
        <w:pStyle w:val="BodyText"/>
        <w:spacing w:before="152" w:line="401" w:lineRule="exact"/>
        <w:ind w:left="448"/>
      </w:pPr>
      <w:r>
        <w:rPr>
          <w:spacing w:val="7"/>
          <w:position w:val="14"/>
        </w:rPr>
        <w:t>当甲单位与乙单位因存在劳务分包关系，甲单位派出人员参加乙单位生产经营活动发生</w:t>
      </w:r>
    </w:p>
    <w:p>
      <w:pPr>
        <w:pStyle w:val="BodyText"/>
        <w:spacing w:line="229" w:lineRule="auto"/>
        <w:ind w:left="39"/>
      </w:pPr>
      <w:r>
        <w:rPr>
          <w:spacing w:val="6"/>
        </w:rPr>
        <w:t>的事故，纳入乙单位统计。</w:t>
      </w:r>
    </w:p>
    <w:p>
      <w:pPr>
        <w:pStyle w:val="BodyText"/>
        <w:spacing w:before="150" w:line="401" w:lineRule="exact"/>
        <w:ind w:left="450"/>
      </w:pPr>
      <w:r>
        <w:rPr>
          <w:spacing w:val="9"/>
          <w:position w:val="14"/>
        </w:rPr>
        <w:t>15.乙单位租赁甲单位场地从事生产经营活动发生的事故，若乙单位为独立核算单位，</w:t>
      </w:r>
    </w:p>
    <w:p>
      <w:pPr>
        <w:pStyle w:val="BodyText"/>
        <w:spacing w:line="229" w:lineRule="auto"/>
        <w:ind w:left="23"/>
      </w:pPr>
      <w:r>
        <w:rPr>
          <w:spacing w:val="8"/>
        </w:rPr>
        <w:t>纳入乙单位统计；否则纳入甲单位统计。</w:t>
      </w:r>
    </w:p>
    <w:p>
      <w:pPr>
        <w:spacing w:line="229" w:lineRule="auto"/>
        <w:sectPr>
          <w:footerReference w:type="default" r:id="rId7"/>
          <w:type w:val="nextPage"/>
          <w:pgSz w:w="11906" w:h="16839"/>
          <w:pgMar w:top="1431" w:right="1731" w:bottom="1171" w:left="1785" w:header="0" w:footer="992" w:gutter="0"/>
          <w:pgNumType w:start="5"/>
          <w:cols w:space="708"/>
          <w:titlePg w:val="0"/>
        </w:sectPr>
      </w:pPr>
    </w:p>
    <w:p>
      <w:pPr>
        <w:pStyle w:val="BodyText"/>
        <w:spacing w:before="149" w:line="401" w:lineRule="exact"/>
        <w:ind w:left="450"/>
      </w:pPr>
      <w:r>
        <w:rPr>
          <w:spacing w:val="9"/>
          <w:position w:val="14"/>
        </w:rPr>
        <w:t>16.从事煤矿、金属非金属矿山以及石油天然气开采外包工程施工与技术服务活动时发</w:t>
      </w:r>
    </w:p>
    <w:p>
      <w:pPr>
        <w:pStyle w:val="BodyText"/>
        <w:spacing w:line="229" w:lineRule="auto"/>
        <w:ind w:left="23"/>
      </w:pPr>
      <w:r>
        <w:rPr>
          <w:spacing w:val="8"/>
        </w:rPr>
        <w:t>生的事故，纳入发包单位统计。</w:t>
      </w:r>
    </w:p>
    <w:p>
      <w:pPr>
        <w:pStyle w:val="BodyText"/>
        <w:spacing w:before="149" w:line="228" w:lineRule="auto"/>
        <w:ind w:left="450"/>
      </w:pPr>
      <w:r>
        <w:rPr>
          <w:spacing w:val="9"/>
        </w:rPr>
        <w:t>17.社会人员参加发生事故的单位抢险救灾时发生</w:t>
      </w:r>
      <w:r>
        <w:rPr>
          <w:spacing w:val="8"/>
        </w:rPr>
        <w:t>的事故，纳入事故发生单位统计。</w:t>
      </w:r>
    </w:p>
    <w:p>
      <w:pPr>
        <w:pStyle w:val="BodyText"/>
        <w:spacing w:before="154" w:line="400" w:lineRule="exact"/>
        <w:ind w:left="450"/>
      </w:pPr>
      <w:r>
        <w:rPr>
          <w:spacing w:val="9"/>
          <w:position w:val="14"/>
        </w:rPr>
        <w:t>18.因设备、产品不合格或安装不合格等因素造成使用单位发生事故，不论其责任在哪</w:t>
      </w:r>
    </w:p>
    <w:p>
      <w:pPr>
        <w:pStyle w:val="BodyText"/>
        <w:spacing w:line="228" w:lineRule="auto"/>
        <w:ind w:left="25"/>
      </w:pPr>
      <w:r>
        <w:rPr>
          <w:spacing w:val="8"/>
        </w:rPr>
        <w:t>一方，均纳入使用单位统计。</w:t>
      </w:r>
    </w:p>
    <w:p>
      <w:pPr>
        <w:pStyle w:val="BodyText"/>
        <w:spacing w:before="151" w:line="228" w:lineRule="auto"/>
        <w:ind w:left="450"/>
      </w:pPr>
      <w:r>
        <w:rPr>
          <w:spacing w:val="7"/>
        </w:rPr>
        <w:t>19.没有造成人员伤亡且直接经济损失小于</w:t>
      </w:r>
      <w:r>
        <w:rPr>
          <w:spacing w:val="-11"/>
        </w:rPr>
        <w:t xml:space="preserve"> </w:t>
      </w:r>
      <w:r>
        <w:rPr>
          <w:spacing w:val="7"/>
        </w:rPr>
        <w:t>100</w:t>
      </w:r>
      <w:r>
        <w:rPr>
          <w:spacing w:val="-33"/>
        </w:rPr>
        <w:t xml:space="preserve"> </w:t>
      </w:r>
      <w:r>
        <w:rPr>
          <w:spacing w:val="7"/>
        </w:rPr>
        <w:t>万元（不含）的事故，暂不纳入统计。</w:t>
      </w:r>
    </w:p>
    <w:p>
      <w:pPr>
        <w:pStyle w:val="BodyText"/>
        <w:spacing w:before="154" w:line="229" w:lineRule="auto"/>
        <w:ind w:left="437"/>
      </w:pPr>
      <w:r>
        <w:rPr>
          <w:spacing w:val="7"/>
        </w:rPr>
        <w:t>20.建筑业事故的“事故发生单位</w:t>
      </w:r>
      <w:r>
        <w:rPr>
          <w:spacing w:val="-58"/>
        </w:rPr>
        <w:t xml:space="preserve"> </w:t>
      </w:r>
      <w:r>
        <w:rPr>
          <w:spacing w:val="7"/>
        </w:rPr>
        <w:t>”应填写施工单位名称。</w:t>
      </w:r>
    </w:p>
    <w:p>
      <w:pPr>
        <w:pStyle w:val="BodyText"/>
        <w:spacing w:before="153" w:line="369" w:lineRule="auto"/>
        <w:ind w:left="23" w:right="15" w:firstLine="412"/>
      </w:pPr>
      <w:r>
        <w:rPr>
          <w:spacing w:val="4"/>
        </w:rPr>
        <w:t>其中，分承包工程单位在施工过程中发生的事</w:t>
      </w:r>
      <w:r>
        <w:rPr>
          <w:spacing w:val="3"/>
        </w:rPr>
        <w:t>故，凡分承包工程单位为独立核算单位的，</w:t>
      </w:r>
      <w:r>
        <w:t xml:space="preserve"> </w:t>
      </w:r>
      <w:r>
        <w:rPr>
          <w:spacing w:val="7"/>
        </w:rPr>
        <w:t>纳入分承包工程单位统计；非独立核算单位的，纳入总承包工程单位统计；凡未签订分承包</w:t>
      </w:r>
      <w:r>
        <w:rPr>
          <w:spacing w:val="16"/>
        </w:rPr>
        <w:t xml:space="preserve"> </w:t>
      </w:r>
      <w:r>
        <w:rPr>
          <w:spacing w:val="7"/>
        </w:rPr>
        <w:t>合同或分承包工程单位的建设活动与分承包合同不一致的，不论是否为独立核算单位，均纳</w:t>
      </w:r>
    </w:p>
    <w:p>
      <w:pPr>
        <w:pStyle w:val="BodyText"/>
        <w:spacing w:before="1" w:line="228" w:lineRule="auto"/>
        <w:ind w:left="21"/>
      </w:pPr>
      <w:r>
        <w:rPr>
          <w:spacing w:val="9"/>
        </w:rPr>
        <w:t>入总承包工程单位统计。同时，应在</w:t>
      </w:r>
      <w:r>
        <w:rPr>
          <w:spacing w:val="-43"/>
        </w:rPr>
        <w:t xml:space="preserve"> </w:t>
      </w:r>
      <w:r>
        <w:rPr>
          <w:spacing w:val="9"/>
        </w:rPr>
        <w:t>A1</w:t>
      </w:r>
      <w:r>
        <w:rPr>
          <w:spacing w:val="-39"/>
        </w:rPr>
        <w:t xml:space="preserve"> </w:t>
      </w:r>
      <w:r>
        <w:rPr>
          <w:spacing w:val="9"/>
        </w:rPr>
        <w:t>表中填写建设单</w:t>
      </w:r>
      <w:r>
        <w:rPr>
          <w:spacing w:val="8"/>
        </w:rPr>
        <w:t>位名称及其所属行业。</w:t>
      </w:r>
    </w:p>
    <w:p>
      <w:pPr>
        <w:pStyle w:val="BodyText"/>
        <w:spacing w:before="151" w:line="401" w:lineRule="exact"/>
        <w:ind w:left="437"/>
      </w:pPr>
      <w:r>
        <w:rPr>
          <w:spacing w:val="10"/>
          <w:position w:val="14"/>
        </w:rPr>
        <w:t>21.急性工业中毒按照《生产安全事故报告和调查处理条例》</w:t>
      </w:r>
      <w:r>
        <w:rPr>
          <w:spacing w:val="9"/>
          <w:position w:val="14"/>
        </w:rPr>
        <w:t>有关规定，作为受伤事故</w:t>
      </w:r>
    </w:p>
    <w:p>
      <w:pPr>
        <w:pStyle w:val="BodyText"/>
        <w:spacing w:line="228" w:lineRule="auto"/>
        <w:ind w:left="39"/>
      </w:pPr>
      <w:r>
        <w:rPr>
          <w:spacing w:val="8"/>
        </w:rPr>
        <w:t>的一种类型进行统计，其人数统计为重伤人数。</w:t>
      </w:r>
    </w:p>
    <w:p>
      <w:pPr>
        <w:pStyle w:val="BodyText"/>
        <w:spacing w:before="154" w:line="228" w:lineRule="auto"/>
        <w:ind w:left="437"/>
      </w:pPr>
      <w:r>
        <w:rPr>
          <w:spacing w:val="9"/>
        </w:rPr>
        <w:t>22.跨地区进行生产经营活动单位发生的事故，由事故发生地应急管理部门负责统计。</w:t>
      </w:r>
    </w:p>
    <w:p>
      <w:pPr>
        <w:pStyle w:val="BodyText"/>
        <w:spacing w:before="151" w:line="228" w:lineRule="auto"/>
        <w:ind w:left="437"/>
      </w:pPr>
      <w:r>
        <w:rPr>
          <w:spacing w:val="9"/>
        </w:rPr>
        <w:t>23.因特殊原因无法及时掌握的部分事故信息，应持续跟踪并予以补</w:t>
      </w:r>
      <w:r>
        <w:rPr>
          <w:spacing w:val="8"/>
        </w:rPr>
        <w:t>充完善。</w:t>
      </w:r>
    </w:p>
    <w:p>
      <w:pPr>
        <w:pStyle w:val="BodyText"/>
        <w:spacing w:before="154" w:line="229" w:lineRule="auto"/>
        <w:ind w:left="452"/>
      </w:pPr>
      <w:r>
        <w:rPr>
          <w:spacing w:val="8"/>
        </w:rPr>
        <w:t>（九）事故统计工作要求</w:t>
      </w:r>
    </w:p>
    <w:p>
      <w:pPr>
        <w:pStyle w:val="BodyText"/>
        <w:spacing w:before="153" w:line="228" w:lineRule="auto"/>
        <w:ind w:left="435"/>
      </w:pPr>
      <w:r>
        <w:rPr>
          <w:spacing w:val="8"/>
        </w:rPr>
        <w:t>事故统计工作按照“先行填报、调查认定、统计核销、信息公开</w:t>
      </w:r>
      <w:r>
        <w:rPr>
          <w:spacing w:val="-52"/>
        </w:rPr>
        <w:t xml:space="preserve"> </w:t>
      </w:r>
      <w:r>
        <w:rPr>
          <w:spacing w:val="8"/>
        </w:rPr>
        <w:t>”的要求开展。</w:t>
      </w:r>
    </w:p>
    <w:p>
      <w:pPr>
        <w:pStyle w:val="BodyText"/>
        <w:spacing w:before="151" w:line="400" w:lineRule="exact"/>
        <w:ind w:left="439"/>
      </w:pPr>
      <w:r>
        <w:rPr>
          <w:spacing w:val="7"/>
          <w:position w:val="14"/>
        </w:rPr>
        <w:t>先行填报：接报涉及生产经营单位或生产经营活动的事故后，如果不能在第一时间明确</w:t>
      </w:r>
    </w:p>
    <w:p>
      <w:pPr>
        <w:pStyle w:val="BodyText"/>
        <w:spacing w:before="1" w:line="228" w:lineRule="auto"/>
        <w:ind w:left="22"/>
      </w:pPr>
      <w:r>
        <w:rPr>
          <w:spacing w:val="8"/>
        </w:rPr>
        <w:t>认定事故性质，即须按照事故统计的要求，先通过“直报系统</w:t>
      </w:r>
      <w:r>
        <w:rPr>
          <w:spacing w:val="-56"/>
        </w:rPr>
        <w:t xml:space="preserve"> </w:t>
      </w:r>
      <w:r>
        <w:rPr>
          <w:spacing w:val="8"/>
        </w:rPr>
        <w:t>”进行填报。</w:t>
      </w:r>
    </w:p>
    <w:p>
      <w:pPr>
        <w:pStyle w:val="BodyText"/>
        <w:spacing w:before="153" w:line="399" w:lineRule="exact"/>
        <w:ind w:left="436"/>
      </w:pPr>
      <w:r>
        <w:rPr>
          <w:spacing w:val="7"/>
          <w:position w:val="14"/>
        </w:rPr>
        <w:t>调查认定：对涉及生产经营单位或生产经营活动的事故，由地方人民政府或相关部门成</w:t>
      </w:r>
    </w:p>
    <w:p>
      <w:pPr>
        <w:pStyle w:val="BodyText"/>
        <w:spacing w:line="228" w:lineRule="auto"/>
        <w:ind w:left="22"/>
      </w:pPr>
      <w:r>
        <w:rPr>
          <w:spacing w:val="9"/>
        </w:rPr>
        <w:t>立调查组，按程序进行调查，并出具调查结论。</w:t>
      </w:r>
    </w:p>
    <w:p>
      <w:pPr>
        <w:pStyle w:val="BodyText"/>
        <w:spacing w:before="153" w:line="401" w:lineRule="exact"/>
        <w:ind w:left="440"/>
      </w:pPr>
      <w:r>
        <w:rPr>
          <w:spacing w:val="7"/>
          <w:position w:val="14"/>
        </w:rPr>
        <w:t>统计核销：经调查认定不属于生产安全事故的，应按照相关程序提出统计核销申请，经</w:t>
      </w:r>
    </w:p>
    <w:p>
      <w:pPr>
        <w:pStyle w:val="BodyText"/>
        <w:spacing w:line="229" w:lineRule="auto"/>
        <w:ind w:left="28"/>
      </w:pPr>
      <w:r>
        <w:rPr>
          <w:spacing w:val="7"/>
        </w:rPr>
        <w:t>审核通过后，予以核销。</w:t>
      </w:r>
    </w:p>
    <w:p>
      <w:pPr>
        <w:pStyle w:val="BodyText"/>
        <w:spacing w:before="151" w:line="228" w:lineRule="auto"/>
        <w:ind w:left="435"/>
      </w:pPr>
      <w:r>
        <w:rPr>
          <w:spacing w:val="9"/>
        </w:rPr>
        <w:t>信息公开：完成统计核销后，应按规定将事故核销的相关信息予以公开。</w:t>
      </w:r>
    </w:p>
    <w:p>
      <w:pPr>
        <w:pStyle w:val="BodyText"/>
        <w:spacing w:before="154" w:line="228" w:lineRule="auto"/>
        <w:ind w:left="452"/>
      </w:pPr>
      <w:r>
        <w:rPr>
          <w:spacing w:val="7"/>
        </w:rPr>
        <w:t>（十）报送时间</w:t>
      </w:r>
    </w:p>
    <w:p>
      <w:pPr>
        <w:pStyle w:val="BodyText"/>
        <w:spacing w:before="153" w:line="369" w:lineRule="auto"/>
        <w:ind w:left="24" w:right="66" w:firstLine="411"/>
      </w:pPr>
      <w:r>
        <w:rPr>
          <w:spacing w:val="7"/>
        </w:rPr>
        <w:t>县级以上应急管理部门或其他负有安全生产监督管理职责的部门接到事故报告后，应在</w:t>
      </w:r>
      <w:r>
        <w:rPr>
          <w:spacing w:val="15"/>
        </w:rPr>
        <w:t xml:space="preserve"> </w:t>
      </w:r>
      <w:r>
        <w:rPr>
          <w:spacing w:val="7"/>
        </w:rPr>
        <w:t>24</w:t>
      </w:r>
      <w:r>
        <w:rPr>
          <w:spacing w:val="-33"/>
        </w:rPr>
        <w:t xml:space="preserve"> </w:t>
      </w:r>
      <w:r>
        <w:rPr>
          <w:spacing w:val="7"/>
        </w:rPr>
        <w:t>小时内通过“直报系统</w:t>
      </w:r>
      <w:r>
        <w:rPr>
          <w:spacing w:val="-72"/>
        </w:rPr>
        <w:t xml:space="preserve"> </w:t>
      </w:r>
      <w:r>
        <w:rPr>
          <w:spacing w:val="7"/>
        </w:rPr>
        <w:t>”填报</w:t>
      </w:r>
      <w:r>
        <w:rPr>
          <w:spacing w:val="-46"/>
        </w:rPr>
        <w:t xml:space="preserve"> </w:t>
      </w:r>
      <w:r>
        <w:rPr>
          <w:spacing w:val="7"/>
        </w:rPr>
        <w:t>A1</w:t>
      </w:r>
      <w:r>
        <w:rPr>
          <w:spacing w:val="-36"/>
        </w:rPr>
        <w:t xml:space="preserve"> </w:t>
      </w:r>
      <w:r>
        <w:rPr>
          <w:spacing w:val="7"/>
        </w:rPr>
        <w:t>表事故信息。经查实的瞒报、谎报事故，应在查</w:t>
      </w:r>
      <w:r>
        <w:rPr>
          <w:spacing w:val="6"/>
        </w:rPr>
        <w:t>实事故</w:t>
      </w:r>
    </w:p>
    <w:p>
      <w:pPr>
        <w:pStyle w:val="BodyText"/>
        <w:spacing w:line="228" w:lineRule="auto"/>
        <w:ind w:left="23"/>
      </w:pPr>
      <w:r>
        <w:rPr>
          <w:spacing w:val="6"/>
        </w:rPr>
        <w:t>后</w:t>
      </w:r>
      <w:r>
        <w:rPr>
          <w:spacing w:val="-21"/>
        </w:rPr>
        <w:t xml:space="preserve"> </w:t>
      </w:r>
      <w:r>
        <w:rPr>
          <w:spacing w:val="6"/>
        </w:rPr>
        <w:t>24</w:t>
      </w:r>
      <w:r>
        <w:rPr>
          <w:spacing w:val="-30"/>
        </w:rPr>
        <w:t xml:space="preserve"> </w:t>
      </w:r>
      <w:r>
        <w:rPr>
          <w:spacing w:val="6"/>
        </w:rPr>
        <w:t>小时内，在“直报系统</w:t>
      </w:r>
      <w:r>
        <w:rPr>
          <w:spacing w:val="-70"/>
        </w:rPr>
        <w:t xml:space="preserve"> </w:t>
      </w:r>
      <w:r>
        <w:rPr>
          <w:spacing w:val="6"/>
        </w:rPr>
        <w:t>”中进行填报并纳入事故统计。</w:t>
      </w:r>
    </w:p>
    <w:p>
      <w:pPr>
        <w:pStyle w:val="BodyText"/>
        <w:spacing w:before="154" w:line="398" w:lineRule="exact"/>
        <w:ind w:left="435"/>
      </w:pPr>
      <w:r>
        <w:rPr>
          <w:spacing w:val="4"/>
          <w:position w:val="14"/>
        </w:rPr>
        <w:t>事故发生</w:t>
      </w:r>
      <w:r>
        <w:rPr>
          <w:spacing w:val="-32"/>
          <w:position w:val="14"/>
        </w:rPr>
        <w:t xml:space="preserve"> </w:t>
      </w:r>
      <w:r>
        <w:rPr>
          <w:spacing w:val="4"/>
          <w:position w:val="14"/>
        </w:rPr>
        <w:t>7 日内，应通过“直报系统</w:t>
      </w:r>
      <w:r>
        <w:rPr>
          <w:spacing w:val="-72"/>
          <w:position w:val="14"/>
        </w:rPr>
        <w:t xml:space="preserve"> </w:t>
      </w:r>
      <w:r>
        <w:rPr>
          <w:spacing w:val="4"/>
          <w:position w:val="14"/>
        </w:rPr>
        <w:t>”填报</w:t>
      </w:r>
      <w:r>
        <w:rPr>
          <w:spacing w:val="-46"/>
          <w:position w:val="14"/>
        </w:rPr>
        <w:t xml:space="preserve"> </w:t>
      </w:r>
      <w:r>
        <w:rPr>
          <w:spacing w:val="4"/>
          <w:position w:val="14"/>
        </w:rPr>
        <w:t>A2</w:t>
      </w:r>
      <w:r>
        <w:rPr>
          <w:spacing w:val="-39"/>
          <w:position w:val="14"/>
        </w:rPr>
        <w:t xml:space="preserve"> </w:t>
      </w:r>
      <w:r>
        <w:rPr>
          <w:spacing w:val="4"/>
          <w:position w:val="14"/>
        </w:rPr>
        <w:t>表，并及时补充完善</w:t>
      </w:r>
      <w:r>
        <w:rPr>
          <w:spacing w:val="-46"/>
          <w:position w:val="14"/>
        </w:rPr>
        <w:t xml:space="preserve"> </w:t>
      </w:r>
      <w:r>
        <w:rPr>
          <w:spacing w:val="4"/>
          <w:position w:val="14"/>
        </w:rPr>
        <w:t>A1</w:t>
      </w:r>
      <w:r>
        <w:rPr>
          <w:spacing w:val="-36"/>
          <w:position w:val="14"/>
        </w:rPr>
        <w:t xml:space="preserve"> </w:t>
      </w:r>
      <w:r>
        <w:rPr>
          <w:spacing w:val="4"/>
          <w:position w:val="14"/>
        </w:rPr>
        <w:t>表相关信息。对</w:t>
      </w:r>
    </w:p>
    <w:p>
      <w:pPr>
        <w:pStyle w:val="BodyText"/>
        <w:spacing w:line="228" w:lineRule="auto"/>
        <w:jc w:val="right"/>
      </w:pPr>
      <w:r>
        <w:rPr>
          <w:spacing w:val="2"/>
        </w:rPr>
        <w:t>于首次填报日期超过事故发生日期</w:t>
      </w:r>
      <w:r>
        <w:rPr>
          <w:spacing w:val="-34"/>
        </w:rPr>
        <w:t xml:space="preserve"> </w:t>
      </w:r>
      <w:r>
        <w:rPr>
          <w:spacing w:val="2"/>
        </w:rPr>
        <w:t>7 日的，需将超期原</w:t>
      </w:r>
      <w:r>
        <w:rPr>
          <w:spacing w:val="1"/>
        </w:rPr>
        <w:t>因等相关情况在“直报系统</w:t>
      </w:r>
      <w:r>
        <w:rPr>
          <w:spacing w:val="-70"/>
        </w:rPr>
        <w:t xml:space="preserve"> </w:t>
      </w:r>
      <w:r>
        <w:rPr>
          <w:spacing w:val="1"/>
        </w:rPr>
        <w:t>”中注明。</w:t>
      </w:r>
    </w:p>
    <w:p>
      <w:pPr>
        <w:pStyle w:val="BodyText"/>
        <w:spacing w:before="154" w:line="401" w:lineRule="exact"/>
        <w:ind w:left="435"/>
      </w:pPr>
      <w:r>
        <w:rPr>
          <w:spacing w:val="8"/>
          <w:position w:val="14"/>
        </w:rPr>
        <w:t>事故发生</w:t>
      </w:r>
      <w:r>
        <w:rPr>
          <w:spacing w:val="-28"/>
          <w:position w:val="14"/>
        </w:rPr>
        <w:t xml:space="preserve"> </w:t>
      </w:r>
      <w:r>
        <w:rPr>
          <w:spacing w:val="8"/>
          <w:position w:val="14"/>
        </w:rPr>
        <w:t>30 日内（火灾、道路运输事故统计时限按照有关规定执行）伤亡人员发生变</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 w:history="1">
        <w:r>
          <w:rPr>
            <w:rFonts w:ascii="SimSun" w:eastAsia="SimSun" w:hAnsi="SimSun" w:cs="SimSun"/>
            <w:b/>
            <w:bCs/>
            <w:noProof w:val="0"/>
            <w:snapToGrid/>
            <w:color w:val="0000EE"/>
            <w:kern w:val="0"/>
            <w:sz w:val="30"/>
            <w:szCs w:val="30"/>
            <w:u w:val="single" w:color="0000EE"/>
          </w:rPr>
          <w:t>https://d.book118.com/118017077105006024</w:t>
        </w:r>
      </w:hyperlink>
    </w:p>
    <w:p>
      <w:pPr>
        <w:pStyle w:val="BodyText"/>
        <w:spacing w:before="154" w:line="401" w:lineRule="exact"/>
        <w:ind w:left="435"/>
      </w:pPr>
    </w:p>
    <w:sectPr>
      <w:footerReference w:type="default" r:id="rId9"/>
      <w:pgSz w:w="11906" w:h="16839"/>
      <w:pgMar w:top="1431" w:right="1730" w:bottom="1171" w:left="1785" w:header="0" w:footer="992" w:gutter="0"/>
      <w:pgNumType w:start="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8249"/>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8249"/>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3"/>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3"/>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239"/>
      <w:rPr>
        <w:sz w:val="18"/>
        <w:szCs w:val="18"/>
      </w:rPr>
    </w:pPr>
    <w:r>
      <w:rPr>
        <w:sz w:val="18"/>
        <w:szCs w:val="18"/>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hyperlink" Target="https://d.book118.com/118017077105006024" TargetMode="Externa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2024-01-08T20:18:25Z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2024-01-08T20:51:44Z</vt:filetime>
  </property>
  <property fmtid="{D5CDD505-2E9C-101B-9397-08002B2CF9AE}" pid="3" name="CRO">
    <vt:lpwstr>wqlLaW5nc29mdCBQREYgdG8gV1BTIDk1</vt:lpwstr>
  </property>
</Properties>
</file>