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1B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E31B8">
      <w:pPr>
        <w:widowControl/>
        <w:jc w:val="left"/>
        <w:rPr>
          <w:rFonts w:ascii="仿宋" w:eastAsia="仿宋" w:hAnsi="仿宋"/>
          <w:b/>
          <w:sz w:val="40"/>
        </w:rPr>
      </w:pPr>
    </w:p>
    <w:p w:rsidR="006E31B8">
      <w:pPr>
        <w:widowControl/>
        <w:jc w:val="left"/>
        <w:rPr>
          <w:rFonts w:ascii="仿宋" w:eastAsia="仿宋" w:hAnsi="仿宋"/>
          <w:b/>
          <w:sz w:val="40"/>
        </w:rPr>
      </w:pPr>
    </w:p>
    <w:p w:rsidR="006E31B8" w:rsidRPr="006E31B8" w:rsidP="006E31B8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31B8">
        <w:rPr>
          <w:rFonts w:ascii="宋体" w:eastAsia="宋体" w:hAnsi="宋体"/>
          <w:b/>
          <w:sz w:val="60"/>
        </w:rPr>
        <w:t>BN-TIB2导电复合陶瓷制品</w:t>
      </w:r>
      <w:r w:rsidRPr="006E31B8">
        <w:rPr>
          <w:rFonts w:ascii="宋体" w:eastAsia="宋体" w:hAnsi="宋体"/>
          <w:b/>
          <w:sz w:val="60"/>
        </w:rPr>
        <w:t>项目深度研究分析报告</w:t>
      </w:r>
    </w:p>
    <w:p w:rsidR="006E31B8" w:rsidP="006E31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31B8">
        <w:rPr>
          <w:rFonts w:ascii="仿宋" w:eastAsia="仿宋" w:hAnsi="仿宋" w:hint="eastAsia"/>
          <w:b/>
          <w:sz w:val="40"/>
        </w:rPr>
        <w:t>目录</w:t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BN-TIB2</w:t>
      </w:r>
      <w:r>
        <w:rPr>
          <w:rFonts w:hint="eastAsia"/>
          <w:noProof/>
        </w:rPr>
        <w:t>导电复合陶瓷制品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BN-TIB2</w:t>
      </w:r>
      <w:r>
        <w:rPr>
          <w:rFonts w:hint="eastAsia"/>
          <w:noProof/>
        </w:rPr>
        <w:t>导电复合陶瓷制品项目对环境的主要影响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_Toc152907479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_Toc152907489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E31B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E3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_Toc152907495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E31B8" w:rsidP="006E31B8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E31B8" w:rsidP="006E31B8">
      <w:pPr>
        <w:pStyle w:val="Heading1"/>
        <w:jc w:val="center"/>
        <w:rPr>
          <w:rFonts w:hint="eastAsia"/>
        </w:rPr>
      </w:pPr>
      <w:bookmarkStart w:id="1" w:name="_Toc152907407"/>
      <w:r w:rsidRPr="006E31B8">
        <w:rPr>
          <w:rFonts w:hint="eastAsia"/>
        </w:rPr>
        <w:t>前言</w:t>
      </w:r>
      <w:bookmarkEnd w:id="1"/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本</w:t>
      </w:r>
      <w:r w:rsidRPr="006E31B8">
        <w:rPr>
          <w:rFonts w:ascii="仿宋" w:eastAsia="仿宋" w:hAnsi="仿宋" w:hint="eastAsia"/>
          <w:sz w:val="28"/>
        </w:rPr>
        <w:t>项目投资分析及可行性报告</w:t>
      </w:r>
      <w:r w:rsidRPr="006E31B8">
        <w:rPr>
          <w:rFonts w:ascii="仿宋" w:eastAsia="仿宋" w:hAnsi="仿宋" w:hint="eastAsia"/>
          <w:sz w:val="28"/>
        </w:rPr>
        <w:t>是为了规范BN-TIB2导电复合陶瓷制品项目的实施步骤和计划而编写的。通过详细描述BN-TIB2导电复合陶瓷制品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 w:rsidR="006E31B8" w:rsidP="006E31B8">
      <w:pPr>
        <w:pStyle w:val="Heading1"/>
        <w:rPr>
          <w:rFonts w:hint="eastAsia"/>
        </w:rPr>
      </w:pPr>
      <w:bookmarkStart w:id="2" w:name="_Toc152907408"/>
      <w:r w:rsidRPr="006E31B8">
        <w:rPr>
          <w:rFonts w:hint="eastAsia"/>
        </w:rPr>
        <w:t>一、原辅材料供应</w:t>
      </w:r>
      <w:bookmarkEnd w:id="2"/>
    </w:p>
    <w:p w:rsidR="006E31B8" w:rsidP="006E31B8">
      <w:pPr>
        <w:pStyle w:val="Heading2"/>
        <w:rPr>
          <w:rFonts w:hint="eastAsia"/>
        </w:rPr>
      </w:pPr>
      <w:bookmarkStart w:id="3" w:name="_Toc152907409"/>
      <w:r w:rsidRPr="006E31B8">
        <w:rPr>
          <w:rFonts w:hint="eastAsia"/>
        </w:rPr>
        <w:t>(</w:t>
      </w:r>
      <w:r w:rsidRPr="006E31B8">
        <w:rPr>
          <w:rFonts w:hint="eastAsia"/>
        </w:rPr>
        <w:t>一</w:t>
      </w:r>
      <w:r w:rsidRPr="006E31B8">
        <w:rPr>
          <w:rFonts w:hint="eastAsia"/>
        </w:rPr>
        <w:t>)</w:t>
      </w:r>
      <w:r w:rsidRPr="006E31B8">
        <w:rPr>
          <w:rFonts w:hint="eastAsia"/>
        </w:rPr>
        <w:t>、</w:t>
      </w:r>
      <w:r w:rsidRPr="006E31B8">
        <w:rPr>
          <w:rFonts w:hint="eastAsia"/>
        </w:rPr>
        <w:t>BN-TIB2</w:t>
      </w:r>
      <w:r w:rsidRPr="006E31B8">
        <w:rPr>
          <w:rFonts w:hint="eastAsia"/>
        </w:rPr>
        <w:t>导电复合陶瓷制品项目建设期原辅材料供应情况</w:t>
      </w:r>
      <w:bookmarkEnd w:id="3"/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在BN-TIB2导电复合陶瓷制品项目的建设和运营过程中，原辅材料的供应是确保工程顺利进行和产品质量稳定的重要环节。本章将详细探讨BN-TIB2导电复合陶瓷制品项目建设期和运营期的原辅材料供应情况，以及相关的质量管理措施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7.1 BN-TIB2导电复合陶瓷制品项目建设期原辅材料供应情况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在BN-TIB2导电复合陶瓷制品项目建设期间，原辅材料的及时供应对工程进度和质量有着直接的影响。下面是BN-TIB2导电复合陶瓷制品项目建设期原辅材料供应情况的主要内容：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供应链策略：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E31B8">
        <w:rPr>
          <w:rFonts w:ascii="仿宋" w:eastAsia="仿宋" w:hAnsi="仿宋" w:hint="eastAsia"/>
          <w:sz w:val="28"/>
        </w:rPr>
        <w:t xml:space="preserve">   我们将建立稳定、可靠的供应链体系，与有资质、信誉良好的供应商建立合作关系，确保原辅材料的及时供应。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质量标准：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对所有原辅材料设定明确的质量标准和技术要求，保障原材料的质量符合相关标准，以确保产品达到设计要求。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库存管理：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在建设期，将建立合理的库存管理系统，确保原辅材料的安全储存，并通过先进的信息化手段实现库存的及时监控。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供应保障：</w:t>
      </w:r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对于关键原辅材料，将建立备货计划和储备机制，以应对潜在的供应中断或价格波动，确保施工进度不受影响。</w:t>
      </w:r>
    </w:p>
    <w:p w:rsidR="006E31B8" w:rsidP="006E31B8">
      <w:pPr>
        <w:pStyle w:val="Heading2"/>
      </w:pPr>
      <w:bookmarkStart w:id="4" w:name="_Toc152907410"/>
      <w:r w:rsidRPr="006E31B8">
        <w:t>(</w:t>
      </w:r>
      <w:r w:rsidRPr="006E31B8">
        <w:t>二</w:t>
      </w:r>
      <w:r w:rsidRPr="006E31B8">
        <w:t>)</w:t>
      </w:r>
      <w:r w:rsidRPr="006E31B8">
        <w:t>、</w:t>
      </w:r>
      <w:r w:rsidRPr="006E31B8">
        <w:t>BN-TIB2</w:t>
      </w:r>
      <w:r w:rsidRPr="006E31B8">
        <w:t>导电复合陶瓷制品项目运营期原辅材料供应及质量管理</w:t>
      </w:r>
      <w:bookmarkEnd w:id="4"/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BN-TIB2导电复合陶瓷制品项目进入运营期后，原辅材料的持续供应和质量管理同样至关重要。下面是BN-TIB2导电复合陶瓷制品项目运营期原辅材料供应及质量管理的关键方面：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供应链维护：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在运营期，将继续与供应商保持密切的合作，定期评估供应链的稳定性，确保原辅材料的长期可持续供应。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质量监控：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强化原辅材料的质量监控体系，建立检测、评估机制，确保原辅材料的质量符合产品标准，提高产品的可靠性和稳定性。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E31B8">
        <w:rPr>
          <w:rFonts w:ascii="仿宋" w:eastAsia="仿宋" w:hAnsi="仿宋" w:hint="eastAsia"/>
          <w:sz w:val="28"/>
        </w:rPr>
        <w:t xml:space="preserve"> 供应商管理：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加强对供应商的管理，建立供应商绩效评估体系，与优质供应商保持战略合作，推动整个供应链的不断优化。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成本控制：</w:t>
      </w:r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 xml:space="preserve">   在运营期，将不断寻求降低原辅材料采购成本的机会，通过谈判、采购策略调整等手段实现成本的有效控制。</w:t>
      </w:r>
    </w:p>
    <w:p w:rsidR="006E31B8" w:rsidP="006E31B8">
      <w:pPr>
        <w:pStyle w:val="Heading1"/>
        <w:rPr>
          <w:rFonts w:hint="eastAsia"/>
        </w:rPr>
      </w:pPr>
      <w:bookmarkStart w:id="5" w:name="_Toc152907411"/>
      <w:r w:rsidRPr="006E31B8">
        <w:rPr>
          <w:rFonts w:hint="eastAsia"/>
        </w:rPr>
        <w:t>二、制度建设与员工手册</w:t>
      </w:r>
      <w:bookmarkEnd w:id="5"/>
    </w:p>
    <w:p w:rsidR="006E31B8" w:rsidP="006E31B8">
      <w:pPr>
        <w:pStyle w:val="Heading2"/>
        <w:rPr>
          <w:rFonts w:hint="eastAsia"/>
        </w:rPr>
      </w:pPr>
      <w:bookmarkStart w:id="6" w:name="_Toc152907412"/>
      <w:r w:rsidRPr="006E31B8">
        <w:rPr>
          <w:rFonts w:hint="eastAsia"/>
        </w:rPr>
        <w:t>(</w:t>
      </w:r>
      <w:r w:rsidRPr="006E31B8">
        <w:rPr>
          <w:rFonts w:hint="eastAsia"/>
        </w:rPr>
        <w:t>一</w:t>
      </w:r>
      <w:r w:rsidRPr="006E31B8">
        <w:rPr>
          <w:rFonts w:hint="eastAsia"/>
        </w:rPr>
        <w:t>)</w:t>
      </w:r>
      <w:r w:rsidRPr="006E31B8">
        <w:rPr>
          <w:rFonts w:hint="eastAsia"/>
        </w:rPr>
        <w:t>、公司制度体系规划</w:t>
      </w:r>
      <w:bookmarkEnd w:id="6"/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E31B8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</w:t>
      </w:r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度体系，为企业在竞争激烈的市场中保持灵活性和适应性提供了坚实的基础。在实际规划中，需要根据公司的具体情况进行差异化的调整和优化。</w:t>
      </w:r>
    </w:p>
    <w:p w:rsidR="006E31B8" w:rsidP="006E31B8">
      <w:pPr>
        <w:pStyle w:val="Heading2"/>
      </w:pPr>
      <w:bookmarkStart w:id="7" w:name="_Toc152907413"/>
      <w:r w:rsidRPr="006E31B8">
        <w:t>(</w:t>
      </w:r>
      <w:r w:rsidRPr="006E31B8">
        <w:t>二</w:t>
      </w:r>
      <w:r w:rsidRPr="006E31B8">
        <w:t>)</w:t>
      </w:r>
      <w:r w:rsidRPr="006E31B8">
        <w:t>、员工手册编制与更新</w:t>
      </w:r>
      <w:bookmarkEnd w:id="7"/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员工手册编制：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员工手册更新：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E31B8">
        <w:rPr>
          <w:rFonts w:ascii="仿宋" w:eastAsia="仿宋" w:hAnsi="仿宋" w:hint="eastAsia"/>
          <w:sz w:val="28"/>
        </w:rPr>
        <w:t>员工手册是动态的文件，需要随着法规的变化、企业发展的需要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和员工反馈的情况进行及时更新。下面是员工手册更新的一些建议：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 法规跟踪： 建立专业团队负责跟踪国家和地方的法规变化，确保员工手册的内容符合最新的法规要求。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6E31B8" w:rsidP="006E31B8">
      <w:pPr>
        <w:pStyle w:val="Heading2"/>
      </w:pPr>
      <w:bookmarkStart w:id="8" w:name="_Toc152907414"/>
      <w:r w:rsidRPr="006E31B8">
        <w:t>(</w:t>
      </w:r>
      <w:r w:rsidRPr="006E31B8">
        <w:t>三</w:t>
      </w:r>
      <w:r w:rsidRPr="006E31B8">
        <w:t>)</w:t>
      </w:r>
      <w:r w:rsidRPr="006E31B8">
        <w:t>、制度宣导与培训</w:t>
      </w:r>
      <w:bookmarkEnd w:id="8"/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 制度宣导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1.1 目标设定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1.2 宣导途径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6E31B8">
        <w:rPr>
          <w:rFonts w:ascii="仿宋" w:eastAsia="仿宋" w:hAnsi="仿宋" w:hint="eastAsia"/>
          <w:sz w:val="28"/>
        </w:rPr>
        <w:t>宣导途径包括但不限于公司内部邮件通知、内部社交平台发布、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公司内刊宣传，以及定期例会强调。通过多途径宣导，公司可以确保信息覆盖全员，提高制度知晓率。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1.3 实例说明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/>
          <w:sz w:val="28"/>
        </w:rPr>
        <w:t xml:space="preserve">1.4 </w:t>
      </w:r>
      <w:r w:rsidRPr="006E31B8">
        <w:rPr>
          <w:rFonts w:ascii="仿宋" w:eastAsia="仿宋" w:hAnsi="仿宋" w:hint="eastAsia"/>
          <w:sz w:val="28"/>
        </w:rPr>
        <w:t>制度手册分发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 制度培训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2.1 需求评估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2.2 计划制定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2.3 培训方式选择</w:t>
      </w:r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  <w:r w:rsidRPr="006E31B8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根据员工的特点和制度内容的复杂程度，选择内部员工培训、专业外部培训或在线学习平台等多种培训方式，以确保培训的全面性和有效性。</w:t>
      </w:r>
      <w:r w:rsidRPr="006E31B8">
        <w:rPr>
          <w:rFonts w:ascii="仿宋" w:eastAsia="仿宋" w:hAnsi="仿宋" w:hint="eastAsia"/>
          <w:sz w:val="28"/>
        </w:rPr>
        <w:br/>
      </w:r>
      <w:r w:rsidRPr="006E31B8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https://d.book118.com/118026070054006026</w:t>
        </w:r>
      </w:hyperlink>
    </w:p>
    <w:p w:rsidR="006E31B8" w:rsidRPr="006E31B8" w:rsidP="006E31B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1B8"/>
    <w:rsid w:val="00467471"/>
    <w:rsid w:val="006E31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E31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E31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E31B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E31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E31B8"/>
  </w:style>
  <w:style w:type="paragraph" w:styleId="TOC2">
    <w:name w:val="toc 2"/>
    <w:basedOn w:val="Normal"/>
    <w:next w:val="Normal"/>
    <w:autoRedefine/>
    <w:uiPriority w:val="39"/>
    <w:unhideWhenUsed/>
    <w:rsid w:val="006E31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026070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6164</Words>
  <Characters>35139</Characters>
  <Application>Microsoft Office Word</Application>
  <DocSecurity>0</DocSecurity>
  <Lines>292</Lines>
  <Paragraphs>82</Paragraphs>
  <ScaleCrop>false</ScaleCrop>
  <Company/>
  <LinksUpToDate>false</LinksUpToDate>
  <CharactersWithSpaces>41221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2023-12-07T21:55:00Z</dcterms:created>
  <dcterms:modified xsi:type="dcterms:W3CDTF">2023-12-07T21:56:00Z</dcterms:modified>
</cp:coreProperties>
</file>