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B7D69" w:rsidP="00BB7D69" w14:paraId="07373FFA" w14:textId="77777777">
      <w:pPr>
        <w:spacing w:before="48" w:beforeLines="20" w:after="360" w:afterLines="150" w:line="360" w:lineRule="auto"/>
        <w:jc w:val="center"/>
        <w:rPr>
          <w:rFonts w:ascii="华文中宋" w:eastAsia="华文中宋" w:hAnsi="华文中宋"/>
          <w:b/>
          <w:sz w:val="30"/>
        </w:rPr>
      </w:pPr>
      <w:r w:rsidRPr="00BB7D69">
        <w:rPr>
          <w:rFonts w:ascii="华文中宋" w:eastAsia="华文中宋" w:hAnsi="华文中宋"/>
          <w:b/>
          <w:sz w:val="30"/>
        </w:rPr>
        <w:t>2024</w:t>
      </w:r>
      <w:r w:rsidRPr="00BB7D69">
        <w:rPr>
          <w:rFonts w:ascii="华文中宋" w:eastAsia="华文中宋" w:hAnsi="华文中宋"/>
          <w:b/>
          <w:sz w:val="30"/>
        </w:rPr>
        <w:t>山东济宁市曲阜师范大学招聘</w:t>
      </w:r>
      <w:r w:rsidRPr="00BB7D69">
        <w:rPr>
          <w:rFonts w:ascii="华文中宋" w:eastAsia="华文中宋" w:hAnsi="华文中宋"/>
          <w:b/>
          <w:sz w:val="30"/>
        </w:rPr>
        <w:t>299</w:t>
      </w:r>
      <w:r w:rsidRPr="00BB7D69">
        <w:rPr>
          <w:rFonts w:ascii="华文中宋" w:eastAsia="华文中宋" w:hAnsi="华文中宋"/>
          <w:b/>
          <w:sz w:val="30"/>
        </w:rPr>
        <w:t>人（博士</w:t>
      </w:r>
      <w:r w:rsidRPr="00BB7D69">
        <w:rPr>
          <w:rFonts w:ascii="华文中宋" w:eastAsia="华文中宋" w:hAnsi="华文中宋"/>
          <w:b/>
          <w:sz w:val="30"/>
        </w:rPr>
        <w:t>—</w:t>
      </w:r>
      <w:r w:rsidRPr="00BB7D69">
        <w:rPr>
          <w:rFonts w:ascii="华文中宋" w:eastAsia="华文中宋" w:hAnsi="华文中宋"/>
          <w:b/>
          <w:sz w:val="30"/>
        </w:rPr>
        <w:t>长期招聘）笔试备考试题及答案解析</w:t>
      </w:r>
    </w:p>
    <w:p w:rsidR="00A77B3E" w14:paraId="6D9E1C6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5B59428" w14:textId="77777777">
      <w:pPr>
        <w:spacing w:after="260" w:line="360" w:lineRule="auto"/>
      </w:pPr>
      <w:r>
        <w:rPr>
          <w:rFonts w:ascii="微软雅黑" w:eastAsia="微软雅黑" w:cs="微软雅黑"/>
        </w:rPr>
        <w:t>一、选择题</w:t>
      </w:r>
    </w:p>
    <w:p w:rsidR="00D11858" w14:paraId="0201A777"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下列关于适用法的效力原则，说法错误的是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1482270C"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、发生冲突时，上位法的效力优于下位法</w:t>
      </w:r>
    </w:p>
    <w:p w:rsidR="00D11858" w14:paraId="6020AE4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、同一机关制定的法的形式，特别规定与一般规定不一致的，适用特别规定</w:t>
      </w:r>
    </w:p>
    <w:p w:rsidR="00D11858" w14:paraId="60CAF67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、根据授权制定的法规与法律不一致，不能确定如何适用时，由全国人民代表大会裁决</w:t>
      </w:r>
    </w:p>
    <w:p w:rsidR="00D11858" w14:paraId="655E2C2A"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、部门规章之间、部门规章与地方政府规章之间对同一事项的规定不一致时，由国务院裁决</w:t>
      </w:r>
    </w:p>
    <w:p w:rsidR="00D11858" w14:paraId="68D1278A"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3AE6C2A2"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上位法优于下位法。法的效力位阶主要取决于立法主体在国家机构中的地位。一般来说，立法主体在国家机构中的地位越高，法的效力就越高。因此，当下位法和上位法的规定不一致时，应当适用上位阶的法。这是处理法的效力层次的一般原则。</w:t>
      </w:r>
      <w:r w:rsidRPr="00D11858">
        <w:rPr>
          <w:rFonts w:ascii="微软雅黑" w:eastAsia="微软雅黑" w:cs="微软雅黑"/>
          <w:szCs w:val="14"/>
        </w:rPr>
        <w:t>B</w:t>
      </w:r>
      <w:r w:rsidRPr="00D11858">
        <w:rPr>
          <w:rFonts w:ascii="微软雅黑" w:eastAsia="微软雅黑" w:cs="微软雅黑"/>
          <w:szCs w:val="14"/>
        </w:rPr>
        <w:t>项正确，特别法优于一般法。同一主体在同一领域既有一般性立法，又有不同于一般立法的特别立法时，特别立法的效力通常优于一般性立法，也即所谓的</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。但是</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的原则只限于同一主体制定的法律规范，对于不同主体就相同领域内的问题制定的法律规范，仍然依照制定机关的等级决</w:t>
      </w:r>
      <w:r w:rsidRPr="00D11858">
        <w:rPr>
          <w:rFonts w:ascii="微软雅黑" w:eastAsia="微软雅黑" w:cs="微软雅黑"/>
          <w:szCs w:val="14"/>
        </w:rPr>
        <w:t>定法的效力位阶的高低。</w:t>
      </w:r>
      <w:r w:rsidRPr="00D11858">
        <w:rPr>
          <w:rFonts w:ascii="微软雅黑" w:eastAsia="微软雅黑" w:cs="微软雅黑"/>
          <w:szCs w:val="14"/>
        </w:rPr>
        <w:t>C</w:t>
      </w:r>
      <w:r w:rsidRPr="00D11858">
        <w:rPr>
          <w:rFonts w:ascii="微软雅黑" w:eastAsia="微软雅黑" w:cs="微软雅黑"/>
          <w:szCs w:val="14"/>
        </w:rPr>
        <w:t>项错误，《立法法》规定：</w:t>
      </w:r>
      <w:r w:rsidRPr="00D11858">
        <w:rPr>
          <w:rFonts w:ascii="微软雅黑" w:eastAsia="微软雅黑" w:cs="微软雅黑"/>
          <w:szCs w:val="14"/>
        </w:rPr>
        <w:t>“</w:t>
      </w:r>
      <w:r w:rsidRPr="00D11858">
        <w:rPr>
          <w:rFonts w:ascii="微软雅黑" w:eastAsia="微软雅黑" w:cs="微软雅黑"/>
          <w:szCs w:val="14"/>
        </w:rPr>
        <w:t>根据授权制定的法规与法律规定不一致，不能确定如何适用时，由全国人民代表大会常务委员会裁决。</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项正确，《立法法》规定：</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三</w:t>
      </w:r>
      <w:r w:rsidRPr="00D11858">
        <w:rPr>
          <w:rFonts w:ascii="微软雅黑" w:eastAsia="微软雅黑" w:cs="微软雅黑"/>
          <w:szCs w:val="14"/>
        </w:rPr>
        <w:t>)</w:t>
      </w:r>
      <w:r w:rsidRPr="00D11858">
        <w:rPr>
          <w:rFonts w:ascii="微软雅黑" w:eastAsia="微软雅黑" w:cs="微软雅黑"/>
          <w:szCs w:val="14"/>
        </w:rPr>
        <w:t>部门规章之间、部门规章与地方政府规章之间对同一事项的规定不一致时，由国务院裁决。</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41C5911A"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根据现行的《中华人民共和国食品安全法》，以下表述不正确的是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535C5A87"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、食品安全法是我国食品安全监管的重要法律</w:t>
      </w:r>
    </w:p>
    <w:p w:rsidR="00D11858" w14:paraId="1909BCD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、由国务院卫生行政部门，对现行食用农产品质量安全标准、食品卫生标准、食品的行业标准中强制执行的标准进行整合，统一公布食品安全标准</w:t>
      </w:r>
    </w:p>
    <w:p w:rsidR="00D11858" w14:paraId="259E6F1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、食品安全监督管理部门对食品不得实施免检制度，国家对</w:t>
      </w:r>
      <w:r w:rsidRPr="00D11858">
        <w:rPr>
          <w:rFonts w:ascii="微软雅黑" w:eastAsia="微软雅黑" w:cs="微软雅黑"/>
          <w:szCs w:val="14"/>
        </w:rPr>
        <w:t>“</w:t>
      </w:r>
      <w:r w:rsidRPr="00D11858">
        <w:rPr>
          <w:rFonts w:ascii="微软雅黑" w:eastAsia="微软雅黑" w:cs="微软雅黑"/>
          <w:szCs w:val="14"/>
        </w:rPr>
        <w:t>问题食品</w:t>
      </w:r>
      <w:r w:rsidRPr="00D11858">
        <w:rPr>
          <w:rFonts w:ascii="微软雅黑" w:eastAsia="微软雅黑" w:cs="微软雅黑"/>
          <w:szCs w:val="14"/>
        </w:rPr>
        <w:t>”</w:t>
      </w:r>
      <w:r w:rsidRPr="00D11858">
        <w:rPr>
          <w:rFonts w:ascii="微软雅黑" w:eastAsia="微软雅黑" w:cs="微软雅黑"/>
          <w:szCs w:val="14"/>
        </w:rPr>
        <w:t>建立召回制度</w:t>
      </w:r>
    </w:p>
    <w:p w:rsidR="00D11858" w14:paraId="4A1920F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、名人在食品广告中向消费者做虚假宣传，造成消费者权益受损的，与食品生产经营者共同承担连带责任</w:t>
      </w:r>
    </w:p>
    <w:p w:rsidR="00D11858" w14:paraId="4112B2D8"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0563DFC4"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中华人民共和国食品安全法》的颁布实施，对规范食品生产经营活动，防范食品安全事故发生，强化食品安全监管，落实食品安全责任，保障公众身体健康和生命安全，具有重要意义，是我国食品安全监管的重要法律。</w:t>
      </w:r>
      <w:r w:rsidRPr="00D11858">
        <w:rPr>
          <w:rFonts w:ascii="微软雅黑" w:eastAsia="微软雅黑" w:cs="微软雅黑"/>
          <w:szCs w:val="14"/>
        </w:rPr>
        <w:t>B</w:t>
      </w:r>
      <w:r w:rsidRPr="00D11858">
        <w:rPr>
          <w:rFonts w:ascii="微软雅黑" w:eastAsia="微软雅黑" w:cs="微软雅黑"/>
          <w:szCs w:val="14"/>
        </w:rPr>
        <w:t>项正确，根据《食品安全法》规定：</w:t>
      </w:r>
      <w:r w:rsidRPr="00D11858">
        <w:rPr>
          <w:rFonts w:ascii="微软雅黑" w:eastAsia="微软雅黑" w:cs="微软雅黑"/>
          <w:szCs w:val="14"/>
        </w:rPr>
        <w:t>“</w:t>
      </w:r>
      <w:r w:rsidRPr="00D11858">
        <w:rPr>
          <w:rFonts w:ascii="微软雅黑" w:eastAsia="微软雅黑" w:cs="微软雅黑"/>
          <w:szCs w:val="14"/>
        </w:rPr>
        <w:t>国务院设立食品安全委员会，其职责由国务院规定。国务院食品安全监督管理部门依照本法和国务院规定的职责，对食品生产经营活动实施监督管理。国务院卫生行政部门依照本法和国务院规定的职责，组织开展食品安全风险监测和风险评估，会同国务院食品安全监督管理部门制定并公布食品安全国家标准。</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国务院其他有关部门依照本法和国务院规定的职责，承担有关食品安全工作。</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项错误，根据《食品安全法》规定：</w:t>
      </w:r>
      <w:r w:rsidRPr="00D11858">
        <w:rPr>
          <w:rFonts w:ascii="微软雅黑" w:eastAsia="微软雅黑" w:cs="微软雅黑"/>
          <w:szCs w:val="14"/>
        </w:rPr>
        <w:t>“</w:t>
      </w:r>
      <w:r w:rsidRPr="00D11858">
        <w:rPr>
          <w:rFonts w:ascii="微软雅黑" w:eastAsia="微软雅黑" w:cs="微软雅黑"/>
          <w:szCs w:val="14"/>
        </w:rPr>
        <w:t>县级以上人民政府食品安全监督管理部门应当对食品进行定期或者不定期的抽样检验，并依据有关规定公布检验结果，不得免检。根据《食品安全法》规定：</w:t>
      </w:r>
      <w:r w:rsidRPr="00D11858">
        <w:rPr>
          <w:rFonts w:ascii="微软雅黑" w:eastAsia="微软雅黑" w:cs="微软雅黑"/>
          <w:szCs w:val="14"/>
        </w:rPr>
        <w:t>“</w:t>
      </w:r>
      <w:r w:rsidRPr="00D11858">
        <w:rPr>
          <w:rFonts w:ascii="微软雅黑" w:eastAsia="微软雅黑" w:cs="微软雅黑"/>
          <w:szCs w:val="14"/>
        </w:rPr>
        <w:t>国家建立食品召回制度。食品生产者发现其生产的食品不符合食品安全标准或者有证据证明可能危害人体健康的，应当立即停止生产，召回已经上市销售的食品，通知相关生产经营者和消费者，并记录召回和通知情况。故国家建立的是食品召回制度而并非问题食品召回制度。</w:t>
      </w:r>
      <w:r w:rsidRPr="00D11858">
        <w:rPr>
          <w:rFonts w:ascii="微软雅黑" w:eastAsia="微软雅黑" w:cs="微软雅黑"/>
          <w:szCs w:val="14"/>
        </w:rPr>
        <w:t>D</w:t>
      </w:r>
      <w:r w:rsidRPr="00D11858">
        <w:rPr>
          <w:rFonts w:ascii="微软雅黑" w:eastAsia="微软雅黑" w:cs="微软雅黑"/>
          <w:szCs w:val="14"/>
        </w:rPr>
        <w:t>项正确，根据《食品安全</w:t>
      </w:r>
      <w:r w:rsidRPr="00D11858">
        <w:rPr>
          <w:rFonts w:ascii="微软雅黑" w:eastAsia="微软雅黑" w:cs="微软雅黑"/>
          <w:szCs w:val="14"/>
        </w:rPr>
        <w:t>法》规定：</w:t>
      </w:r>
      <w:r w:rsidRPr="00D11858">
        <w:rPr>
          <w:rFonts w:ascii="微软雅黑" w:eastAsia="微软雅黑" w:cs="微软雅黑"/>
          <w:szCs w:val="14"/>
        </w:rPr>
        <w:t>“</w:t>
      </w:r>
      <w:r w:rsidRPr="00D11858">
        <w:rPr>
          <w:rFonts w:ascii="微软雅黑" w:eastAsia="微软雅黑" w:cs="微软雅黑"/>
          <w:szCs w:val="14"/>
        </w:rPr>
        <w:t>违反本法规定，在广告中对食品作虚假宣传，欺骗消费者，或者发布未取得批准文件、广告内容与批准文件不一致的保健食品广告的，依照《中华人民共和国广告法》的规定给予处罚。</w:t>
      </w:r>
      <w:r w:rsidRPr="00D11858">
        <w:rPr>
          <w:rFonts w:ascii="微软雅黑" w:eastAsia="微软雅黑" w:cs="微软雅黑"/>
          <w:szCs w:val="14"/>
        </w:rPr>
        <w:t>······</w:t>
      </w:r>
      <w:r w:rsidRPr="00D11858">
        <w:rPr>
          <w:rFonts w:ascii="微软雅黑" w:eastAsia="微软雅黑" w:cs="微软雅黑"/>
          <w:szCs w:val="14"/>
        </w:rPr>
        <w:t>社会团体或者其他组织、个人在虚假广告或者其他虚假宣传中向消费者推荐食品，使消费者的合法权益受到损害的，应当与食品生产经营者承担连带责任。故名人在食品广告中向消费者做虚假宣传，造成消费者权益受损的，与食品生产经营者共同承担连带责任。</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638C06C4"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国家消亡的最根本条件是</w:t>
      </w:r>
      <w:r w:rsidRPr="00D11858">
        <w:rPr>
          <w:rFonts w:ascii="微软雅黑" w:eastAsia="微软雅黑" w:cs="微软雅黑"/>
          <w:szCs w:val="14"/>
        </w:rPr>
        <w:t>()</w:t>
      </w:r>
      <w:r w:rsidRPr="00D11858">
        <w:rPr>
          <w:rFonts w:ascii="微软雅黑" w:eastAsia="微软雅黑" w:cs="微软雅黑"/>
          <w:szCs w:val="14"/>
        </w:rPr>
        <w:t>。</w:t>
      </w:r>
    </w:p>
    <w:p w:rsidR="00D11858" w14:paraId="0DEC7F9F"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、消灭阶级对立和阶级差别</w:t>
      </w:r>
    </w:p>
    <w:p w:rsidR="00D11858" w14:paraId="44E8B84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、提高全体人民思想道德和科学文化水平</w:t>
      </w:r>
    </w:p>
    <w:p w:rsidR="00D11858" w14:paraId="2EF13FA6"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、在全世界消灭一切剥削制度</w:t>
      </w:r>
    </w:p>
    <w:p w:rsidR="00D11858" w14:paraId="7823995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、社会生产力的高度发展</w:t>
      </w:r>
    </w:p>
    <w:p w:rsidR="00D11858" w14:paraId="08BDCCB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https://d.book118.com/118044131052006033</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rsidP="00B8546F" w14:paraId="4BB580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7D69" w14:paraId="6B3D19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rsidP="00B8546F" w14:paraId="0CFC7BC9" w14:textId="4B7C42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B7D69" w14:paraId="5957A4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paraId="46BB12A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7D6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rsidP="00B8546F" w14:textId="4B7C42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B7D6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7D6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rsidP="00B8546F" w14:textId="4B7C42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B7D6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paraId="08DF37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paraId="0F98F5B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paraId="100A464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D6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B8546F"/>
    <w:rsid w:val="00BB7D69"/>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081DE94"/>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BB7D6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B7D69"/>
    <w:rPr>
      <w:sz w:val="18"/>
      <w:szCs w:val="18"/>
    </w:rPr>
  </w:style>
  <w:style w:type="paragraph" w:styleId="Footer">
    <w:name w:val="footer"/>
    <w:basedOn w:val="Normal"/>
    <w:link w:val="a0"/>
    <w:rsid w:val="00BB7D69"/>
    <w:pPr>
      <w:tabs>
        <w:tab w:val="center" w:pos="4153"/>
        <w:tab w:val="right" w:pos="8306"/>
      </w:tabs>
      <w:snapToGrid w:val="0"/>
    </w:pPr>
    <w:rPr>
      <w:sz w:val="18"/>
      <w:szCs w:val="18"/>
    </w:rPr>
  </w:style>
  <w:style w:type="character" w:customStyle="1" w:styleId="a0">
    <w:name w:val="页脚 字符"/>
    <w:basedOn w:val="DefaultParagraphFont"/>
    <w:link w:val="Footer"/>
    <w:rsid w:val="00BB7D69"/>
    <w:rPr>
      <w:sz w:val="18"/>
      <w:szCs w:val="18"/>
    </w:rPr>
  </w:style>
  <w:style w:type="character" w:styleId="PageNumber">
    <w:name w:val="page number"/>
    <w:basedOn w:val="DefaultParagraphFont"/>
    <w:rsid w:val="00BB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18044131052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